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HISTORIA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ha completado todas las tareas del primer sprint también ya se subio el trabajo al docker a continuación se especificará las tareas ya completadas:</w:t>
            </w:r>
          </w:p>
          <w:p w:rsidR="00000000" w:rsidDel="00000000" w:rsidP="00000000" w:rsidRDefault="00000000" w:rsidRPr="00000000" w14:paraId="0000000F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la interfaz de usuario para la creación de nuevas historias clínicas.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campos necesarios para el registro de la historia clínica (nombre del paciente, fecha de nacimiento, motivo de consulta, etc.).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la lógica de backend para almacenar nuevas historias clínicas en la base de datos.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validaciones para los campos requeridos.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pruebas para asegurar que las historias clínicas se agregan correctamente.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la interfaz de usuario para la creación de nuevas historias clínicas.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campos necesarios para el registro de la historia clínica (nombre del paciente, fecha de nacimiento, motivo de consulta, etc.).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la lógica de backend para almacenar nuevas historias clínicas en la base de datos.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validaciones para los campos requeridos.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pruebas para asegurar que las historias clínicas se agregan correctamente.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Diseñar la interfaz de usuario para la edición de historias clínicas.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lógica de backend para actualizar los registros en la base de datos.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validaciones para los campos editables.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pruebas para asegurar que la edición de historias clínicas funciona correctamente.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Estamos atrasados o vamos bien en tiempo?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Porcentaje de avance 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hemos experimentado una sobreestimación en cuanto a los costos; estamos dentro de nuestro presupuesto previsto y nos sentimos satisfechos con el manejo de los gastos hasta el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Aún no se han llevado a cabo las pruebas exhaustivas del software, por lo que no podemos garantizar un rendimiento óptimo en este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8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2"/>
                <w:szCs w:val="22"/>
                <w:highlight w:val="white"/>
                <w:rtl w:val="0"/>
              </w:rPr>
              <w:t xml:space="preserve">Nuevas tecnologías presentan un desafío en el aprendizaje por la restricción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GRUPO DE TRABAJO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miembros del equipo se capacitaran en las herramientas tecnológicas en julio 2024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Retraso en la configuración de 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GRANDE CONTRERAS, Mario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Consultar documentación oficial, video tutoriales y foros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Pérdida de datos durante la actualización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ROLDAN HINOJOSA, Jhon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copias de seguridad frecuentes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programó la culminación del Sprint 2 y también el avance del Sprint 3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programó la ejecución de pruebas de calidad para el software.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fundamental seguir avanzando según el plan establecido, priorizando las tareas pendientes que estén cerca de su fecha límite. Esto asegurará que se cumplan los plazos previstos y se maximice la eficiencia del equipo.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d6Wjw7BFkHSYaOIvO+7YakYcQ==">CgMxLjA4AHIhMXd2aWw3Vkx6UWdjbVQwclprMGpMbFh3c2x4ZEd3X2Fz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