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0" w:before="1240" w:line="240" w:lineRule="auto"/>
        <w:jc w:val="center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0" distT="0" distL="114300" distR="114300">
            <wp:extent cx="3600000" cy="72992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9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120" w:before="168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e3a35"/>
          <w:sz w:val="72"/>
          <w:szCs w:val="7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0" w:before="28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152000" cy="1300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3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20" w:before="144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aa8a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4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3a35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0" w:before="0" w:line="240" w:lineRule="auto"/>
        <w:jc w:val="center"/>
        <w:rPr>
          <w:rFonts w:ascii="Calibri" w:cs="Calibri" w:eastAsia="Calibri" w:hAnsi="Calibri"/>
          <w:color w:val="1e3a3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e3a35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07">
      <w:pPr>
        <w:keepNext w:val="0"/>
        <w:spacing w:after="0" w:before="0" w:line="240" w:lineRule="auto"/>
        <w:jc w:val="center"/>
        <w:rPr>
          <w:rFonts w:ascii="Calibri" w:cs="Calibri" w:eastAsia="Calibri" w:hAnsi="Calibri"/>
          <w:color w:val="1e3a35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80" w:before="44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aa8a"/>
          <w:sz w:val="22"/>
          <w:szCs w:val="22"/>
          <w:rtl w:val="0"/>
        </w:rPr>
        <w:t xml:space="preserve">MATERIA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3a35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80" w:before="44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aa8a"/>
          <w:sz w:val="22"/>
          <w:szCs w:val="22"/>
          <w:rtl w:val="0"/>
        </w:rPr>
        <w:t xml:space="preserve">MAESTRA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3a35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92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f6b69"/>
          <w:sz w:val="24"/>
          <w:szCs w:val="24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color w:val="5f6b69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f6b69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29057/estr.v11i21.11779" TargetMode="External"/><Relationship Id="rId10" Type="http://schemas.openxmlformats.org/officeDocument/2006/relationships/hyperlink" Target="https://doi.org/10.15332/rev.m.v7i1.1012" TargetMode="External"/><Relationship Id="rId13" Type="http://schemas.openxmlformats.org/officeDocument/2006/relationships/hyperlink" Target="https://www.researchgate.net/publication/337903951" TargetMode="External"/><Relationship Id="rId12" Type="http://schemas.openxmlformats.org/officeDocument/2006/relationships/hyperlink" Target="https://www.researchgate.net/publication/4042796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omputersapiens.smia.mx/files_ALMoStuNrEaChaBLe/ks71_1.83MB_compacta.pdf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redalyc.org/pdf/2251/225125907002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