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F102" w14:textId="4B98DCC2" w:rsidR="005B034F" w:rsidRPr="005B034F" w:rsidRDefault="003B46BE" w:rsidP="00D50313">
      <w:pPr>
        <w:spacing w:after="0" w:line="240" w:lineRule="auto"/>
        <w:rPr>
          <w:rFonts w:ascii="Times New Roman" w:eastAsia="Times New Roman" w:hAnsi="Times New Roman" w:cs="Times New Roman"/>
          <w:b/>
          <w:bCs/>
          <w:sz w:val="24"/>
          <w:szCs w:val="24"/>
          <w:lang w:eastAsia="es-ES"/>
        </w:rPr>
      </w:pPr>
      <w:r w:rsidRPr="00ED5186">
        <w:rPr>
          <w:rFonts w:ascii="Times New Roman" w:eastAsia="Times New Roman" w:hAnsi="Times New Roman" w:cs="Times New Roman"/>
          <w:b/>
          <w:bCs/>
          <w:sz w:val="24"/>
          <w:szCs w:val="24"/>
          <w:lang w:eastAsia="es-ES"/>
        </w:rPr>
        <w:t>Evaluación de Rendimiento</w:t>
      </w:r>
    </w:p>
    <w:p w14:paraId="362DD658" w14:textId="07799AF3" w:rsidR="005B76DA" w:rsidRPr="00ED5186" w:rsidRDefault="003B46BE" w:rsidP="00483D4E">
      <w:pPr>
        <w:spacing w:after="0" w:line="240" w:lineRule="auto"/>
        <w:ind w:firstLine="708"/>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En este caso para Azure, se cuenta con una herramienta que esta integrada en el portal de Azure</w:t>
      </w:r>
      <w:r w:rsidR="005B76DA" w:rsidRPr="00ED5186">
        <w:rPr>
          <w:rFonts w:ascii="Times New Roman" w:eastAsia="Times New Roman" w:hAnsi="Times New Roman" w:cs="Times New Roman"/>
          <w:sz w:val="24"/>
          <w:szCs w:val="24"/>
          <w:lang w:eastAsia="es-ES"/>
        </w:rPr>
        <w:t xml:space="preserve"> la cual brinda un panel que da una experiencia de monitoreo de punto a punto. En nuestro caso nos sirve para monitorear nuestras bases de datos, pero también cuenta con muchos otros recursos como lo son maquinas virtuales, servicios web, </w:t>
      </w:r>
      <w:r w:rsidR="00483D4E" w:rsidRPr="00ED5186">
        <w:rPr>
          <w:rFonts w:ascii="Times New Roman" w:eastAsia="Times New Roman" w:hAnsi="Times New Roman" w:cs="Times New Roman"/>
          <w:sz w:val="24"/>
          <w:szCs w:val="24"/>
          <w:lang w:eastAsia="es-ES"/>
        </w:rPr>
        <w:t>tiempo de respuesta</w:t>
      </w:r>
      <w:r w:rsidR="00483D4E" w:rsidRPr="00ED5186">
        <w:rPr>
          <w:rFonts w:ascii="Times New Roman" w:eastAsia="Times New Roman" w:hAnsi="Times New Roman" w:cs="Times New Roman"/>
          <w:sz w:val="24"/>
          <w:szCs w:val="24"/>
          <w:lang w:eastAsia="es-ES"/>
        </w:rPr>
        <w:t xml:space="preserve">, </w:t>
      </w:r>
      <w:r w:rsidR="005B76DA" w:rsidRPr="00ED5186">
        <w:rPr>
          <w:rFonts w:ascii="Times New Roman" w:eastAsia="Times New Roman" w:hAnsi="Times New Roman" w:cs="Times New Roman"/>
          <w:sz w:val="24"/>
          <w:szCs w:val="24"/>
          <w:lang w:eastAsia="es-ES"/>
        </w:rPr>
        <w:t>telemetría</w:t>
      </w:r>
      <w:r w:rsidR="00483D4E" w:rsidRPr="00ED5186">
        <w:rPr>
          <w:rFonts w:ascii="Times New Roman" w:eastAsia="Times New Roman" w:hAnsi="Times New Roman" w:cs="Times New Roman"/>
          <w:sz w:val="24"/>
          <w:szCs w:val="24"/>
          <w:lang w:eastAsia="es-ES"/>
        </w:rPr>
        <w:t xml:space="preserve"> de aplicaciones</w:t>
      </w:r>
      <w:r w:rsidR="005B76DA" w:rsidRPr="00ED5186">
        <w:rPr>
          <w:rFonts w:ascii="Times New Roman" w:eastAsia="Times New Roman" w:hAnsi="Times New Roman" w:cs="Times New Roman"/>
          <w:sz w:val="24"/>
          <w:szCs w:val="24"/>
          <w:lang w:eastAsia="es-ES"/>
        </w:rPr>
        <w:t xml:space="preserve"> </w:t>
      </w:r>
      <w:r w:rsidR="00483D4E" w:rsidRPr="00ED5186">
        <w:rPr>
          <w:rFonts w:ascii="Times New Roman" w:eastAsia="Times New Roman" w:hAnsi="Times New Roman" w:cs="Times New Roman"/>
          <w:sz w:val="24"/>
          <w:szCs w:val="24"/>
          <w:lang w:eastAsia="es-ES"/>
        </w:rPr>
        <w:t xml:space="preserve">(que </w:t>
      </w:r>
      <w:r w:rsidR="00483D4E" w:rsidRPr="00ED5186">
        <w:rPr>
          <w:rStyle w:val="hgkelc"/>
          <w:rFonts w:ascii="Times New Roman" w:hAnsi="Times New Roman" w:cs="Times New Roman"/>
          <w:sz w:val="24"/>
          <w:szCs w:val="24"/>
        </w:rPr>
        <w:t>es un sistema de comunicación a distancia que permite recoger, procesar y transmitir información de un dispositivo electrónico a otro</w:t>
      </w:r>
      <w:r w:rsidR="00483D4E" w:rsidRPr="00ED5186">
        <w:rPr>
          <w:rFonts w:ascii="Times New Roman" w:eastAsia="Times New Roman" w:hAnsi="Times New Roman" w:cs="Times New Roman"/>
          <w:sz w:val="24"/>
          <w:szCs w:val="24"/>
          <w:lang w:eastAsia="es-ES"/>
        </w:rPr>
        <w:t>)</w:t>
      </w:r>
      <w:r w:rsidR="005B76DA" w:rsidRPr="00ED5186">
        <w:rPr>
          <w:rFonts w:ascii="Times New Roman" w:eastAsia="Times New Roman" w:hAnsi="Times New Roman" w:cs="Times New Roman"/>
          <w:sz w:val="24"/>
          <w:szCs w:val="24"/>
          <w:lang w:eastAsia="es-ES"/>
        </w:rPr>
        <w:t>.</w:t>
      </w:r>
    </w:p>
    <w:p w14:paraId="5136192C" w14:textId="77777777" w:rsidR="00483D4E" w:rsidRPr="00ED5186" w:rsidRDefault="00483D4E" w:rsidP="00483D4E">
      <w:pPr>
        <w:spacing w:after="0" w:line="240" w:lineRule="auto"/>
        <w:rPr>
          <w:rFonts w:ascii="Times New Roman" w:eastAsia="Times New Roman" w:hAnsi="Times New Roman" w:cs="Times New Roman"/>
          <w:sz w:val="24"/>
          <w:szCs w:val="24"/>
          <w:lang w:eastAsia="es-ES"/>
        </w:rPr>
      </w:pPr>
    </w:p>
    <w:p w14:paraId="2FA5AF3A" w14:textId="1EA81176"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Máquinas Virtuales</w:t>
      </w:r>
    </w:p>
    <w:p w14:paraId="44FB2122" w14:textId="48FDC330"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S</w:t>
      </w:r>
      <w:r w:rsidRPr="00ED5186">
        <w:rPr>
          <w:rFonts w:ascii="Times New Roman" w:eastAsia="Times New Roman" w:hAnsi="Times New Roman" w:cs="Times New Roman"/>
          <w:sz w:val="24"/>
          <w:szCs w:val="24"/>
          <w:lang w:eastAsia="es-ES"/>
        </w:rPr>
        <w:t>ervicios web</w:t>
      </w:r>
    </w:p>
    <w:p w14:paraId="4A35E5CC" w14:textId="54FC6D82"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Tiempo de respuesta</w:t>
      </w:r>
    </w:p>
    <w:p w14:paraId="77FED031" w14:textId="4FB8F741"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Telemetría de aplicaciones</w:t>
      </w:r>
    </w:p>
    <w:p w14:paraId="246E50D3" w14:textId="19927FC5" w:rsidR="00483D4E" w:rsidRPr="00ED5186" w:rsidRDefault="00483D4E" w:rsidP="00483D4E">
      <w:pPr>
        <w:pStyle w:val="Prrafodelista"/>
        <w:numPr>
          <w:ilvl w:val="0"/>
          <w:numId w:val="2"/>
        </w:num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Otros</w:t>
      </w:r>
    </w:p>
    <w:p w14:paraId="6C057C26" w14:textId="35281148" w:rsidR="00483D4E" w:rsidRDefault="00483D4E" w:rsidP="00D50313">
      <w:pPr>
        <w:spacing w:after="0" w:line="240" w:lineRule="auto"/>
        <w:rPr>
          <w:rFonts w:ascii="Times New Roman" w:eastAsia="Times New Roman" w:hAnsi="Times New Roman" w:cs="Times New Roman"/>
          <w:sz w:val="24"/>
          <w:szCs w:val="24"/>
          <w:lang w:eastAsia="es-ES"/>
        </w:rPr>
      </w:pPr>
    </w:p>
    <w:p w14:paraId="31FE627B" w14:textId="77777777" w:rsidR="00591ABD" w:rsidRPr="00E53B21" w:rsidRDefault="00591ABD" w:rsidP="00591ABD">
      <w:pPr>
        <w:spacing w:after="0" w:line="240" w:lineRule="auto"/>
        <w:rPr>
          <w:rFonts w:ascii="Times New Roman" w:hAnsi="Times New Roman" w:cs="Times New Roman"/>
          <w:b/>
          <w:bCs/>
          <w:sz w:val="24"/>
          <w:szCs w:val="24"/>
        </w:rPr>
      </w:pPr>
      <w:r w:rsidRPr="00E53B21">
        <w:rPr>
          <w:rFonts w:ascii="Times New Roman" w:hAnsi="Times New Roman" w:cs="Times New Roman"/>
          <w:b/>
          <w:bCs/>
          <w:sz w:val="24"/>
          <w:szCs w:val="24"/>
        </w:rPr>
        <w:t>Funcionamiento de Azure Monitor.</w:t>
      </w:r>
    </w:p>
    <w:p w14:paraId="0714D4AA" w14:textId="77777777" w:rsidR="00591ABD" w:rsidRDefault="00591ABD" w:rsidP="00591ABD">
      <w:pPr>
        <w:spacing w:after="0" w:line="240" w:lineRule="auto"/>
        <w:rPr>
          <w:rFonts w:ascii="Times New Roman" w:hAnsi="Times New Roman" w:cs="Times New Roman"/>
          <w:sz w:val="24"/>
          <w:szCs w:val="24"/>
        </w:rPr>
      </w:pPr>
    </w:p>
    <w:p w14:paraId="452F3847" w14:textId="77777777" w:rsidR="00591ABD" w:rsidRDefault="00591ABD" w:rsidP="00591ABD">
      <w:pPr>
        <w:spacing w:after="0" w:line="240" w:lineRule="auto"/>
        <w:rPr>
          <w:rFonts w:ascii="Times New Roman" w:hAnsi="Times New Roman" w:cs="Times New Roman"/>
          <w:sz w:val="24"/>
          <w:szCs w:val="24"/>
        </w:rPr>
      </w:pPr>
      <w:r w:rsidRPr="00E53B21">
        <w:rPr>
          <w:rFonts w:ascii="Times New Roman" w:hAnsi="Times New Roman" w:cs="Times New Roman"/>
          <w:sz w:val="24"/>
          <w:szCs w:val="24"/>
        </w:rPr>
        <w:t xml:space="preserve">El siguiente diagrama proporciona una visión general de Azure Monitor. </w:t>
      </w:r>
    </w:p>
    <w:p w14:paraId="3F8ED050" w14:textId="77777777" w:rsidR="00591ABD" w:rsidRPr="00E53B21" w:rsidRDefault="00591ABD" w:rsidP="00591ABD">
      <w:pPr>
        <w:spacing w:after="0" w:line="240" w:lineRule="auto"/>
        <w:rPr>
          <w:rFonts w:ascii="Times New Roman" w:eastAsia="Times New Roman" w:hAnsi="Times New Roman" w:cs="Times New Roman"/>
          <w:sz w:val="28"/>
          <w:szCs w:val="28"/>
          <w:lang w:eastAsia="es-ES"/>
        </w:rPr>
      </w:pPr>
      <w:r w:rsidRPr="00E53B21">
        <w:rPr>
          <w:rFonts w:ascii="Times New Roman" w:hAnsi="Times New Roman" w:cs="Times New Roman"/>
          <w:sz w:val="24"/>
          <w:szCs w:val="24"/>
        </w:rPr>
        <w:t>En el centro del diagrama están los almacenes de datos de las métricas y los registros, que son los dos tipos fundamentales de datos que se utilizan en Azure Monitor. En la parte izquierda están los orígenes de datos de supervisión que rellenan estos almacenes de datos. En la derecha puede ver las diferentes funciones que realiza Azure Monitor con los datos recopilados. Esto incluye acciones como el análisis, la alerta y la transmisión a sistemas externos.</w:t>
      </w:r>
    </w:p>
    <w:p w14:paraId="64DA62B4" w14:textId="77777777" w:rsidR="00591ABD" w:rsidRDefault="00591ABD" w:rsidP="00591AB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6D39B95E" wp14:editId="5A892AC1">
            <wp:extent cx="5391150" cy="2966085"/>
            <wp:effectExtent l="0" t="0" r="0" b="571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966085"/>
                    </a:xfrm>
                    <a:prstGeom prst="rect">
                      <a:avLst/>
                    </a:prstGeom>
                    <a:noFill/>
                    <a:ln>
                      <a:noFill/>
                    </a:ln>
                  </pic:spPr>
                </pic:pic>
              </a:graphicData>
            </a:graphic>
          </wp:inline>
        </w:drawing>
      </w:r>
    </w:p>
    <w:p w14:paraId="43C71CD1" w14:textId="2B40633A" w:rsidR="00591ABD" w:rsidRPr="00591ABD" w:rsidRDefault="00591ABD" w:rsidP="00591ABD">
      <w:pPr>
        <w:pStyle w:val="NormalWeb"/>
        <w:spacing w:before="0" w:beforeAutospacing="0" w:after="0" w:afterAutospacing="0"/>
        <w:ind w:left="720" w:hanging="720"/>
        <w:rPr>
          <w:sz w:val="18"/>
          <w:szCs w:val="18"/>
          <w:lang w:val="en-US"/>
        </w:rPr>
      </w:pPr>
      <w:proofErr w:type="spellStart"/>
      <w:r w:rsidRPr="00591ABD">
        <w:rPr>
          <w:sz w:val="18"/>
          <w:szCs w:val="18"/>
        </w:rPr>
        <w:t>Wren</w:t>
      </w:r>
      <w:proofErr w:type="spellEnd"/>
      <w:r w:rsidRPr="00591ABD">
        <w:rPr>
          <w:sz w:val="18"/>
          <w:szCs w:val="18"/>
        </w:rPr>
        <w:t>, B</w:t>
      </w:r>
      <w:r w:rsidR="00685544">
        <w:rPr>
          <w:sz w:val="18"/>
          <w:szCs w:val="18"/>
        </w:rPr>
        <w:t>,</w:t>
      </w:r>
      <w:r w:rsidRPr="00591ABD">
        <w:rPr>
          <w:sz w:val="18"/>
          <w:szCs w:val="18"/>
        </w:rPr>
        <w:t xml:space="preserve"> et al.</w:t>
      </w:r>
      <w:r w:rsidRPr="00591ABD">
        <w:rPr>
          <w:sz w:val="18"/>
          <w:szCs w:val="18"/>
        </w:rPr>
        <w:t xml:space="preserve"> (2022, 22 abril). </w:t>
      </w:r>
      <w:r w:rsidRPr="00591ABD">
        <w:rPr>
          <w:i/>
          <w:iCs/>
          <w:sz w:val="18"/>
          <w:szCs w:val="18"/>
        </w:rPr>
        <w:t>Introducción a Azure Monitor - Azure Monitor</w:t>
      </w:r>
      <w:r w:rsidRPr="00591ABD">
        <w:rPr>
          <w:sz w:val="18"/>
          <w:szCs w:val="18"/>
        </w:rPr>
        <w:t xml:space="preserve">. </w:t>
      </w:r>
      <w:r w:rsidRPr="00591ABD">
        <w:rPr>
          <w:sz w:val="18"/>
          <w:szCs w:val="18"/>
          <w:lang w:val="en-US"/>
        </w:rPr>
        <w:t>Microsoft Docs. https://docs.microsoft.com/es-es/azure/azure-monitor/overview</w:t>
      </w:r>
    </w:p>
    <w:p w14:paraId="4BCDD202" w14:textId="77777777" w:rsidR="00591ABD" w:rsidRPr="00591ABD" w:rsidRDefault="00591ABD" w:rsidP="00D50313">
      <w:pPr>
        <w:spacing w:after="0" w:line="240" w:lineRule="auto"/>
        <w:rPr>
          <w:rFonts w:ascii="Times New Roman" w:eastAsia="Times New Roman" w:hAnsi="Times New Roman" w:cs="Times New Roman"/>
          <w:sz w:val="24"/>
          <w:szCs w:val="24"/>
          <w:lang w:val="en-US" w:eastAsia="es-ES"/>
        </w:rPr>
      </w:pPr>
    </w:p>
    <w:p w14:paraId="64E780DA" w14:textId="4BC67DBA" w:rsidR="000C4709" w:rsidRDefault="003B46BE" w:rsidP="00131AEE">
      <w:p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 xml:space="preserve">Azure monitor nos </w:t>
      </w:r>
      <w:r w:rsidR="00131AEE" w:rsidRPr="00ED5186">
        <w:rPr>
          <w:rFonts w:ascii="Times New Roman" w:eastAsia="Times New Roman" w:hAnsi="Times New Roman" w:cs="Times New Roman"/>
          <w:sz w:val="24"/>
          <w:szCs w:val="24"/>
          <w:lang w:eastAsia="es-ES"/>
        </w:rPr>
        <w:t>proporciona</w:t>
      </w:r>
      <w:r w:rsidRPr="00ED5186">
        <w:rPr>
          <w:rFonts w:ascii="Times New Roman" w:eastAsia="Times New Roman" w:hAnsi="Times New Roman" w:cs="Times New Roman"/>
          <w:sz w:val="24"/>
          <w:szCs w:val="24"/>
          <w:lang w:eastAsia="es-ES"/>
        </w:rPr>
        <w:t xml:space="preserve"> una interfase de </w:t>
      </w:r>
      <w:r w:rsidR="00131AEE" w:rsidRPr="00ED5186">
        <w:rPr>
          <w:rFonts w:ascii="Times New Roman" w:eastAsia="Times New Roman" w:hAnsi="Times New Roman" w:cs="Times New Roman"/>
          <w:sz w:val="24"/>
          <w:szCs w:val="24"/>
          <w:lang w:eastAsia="es-ES"/>
        </w:rPr>
        <w:t>supervisión</w:t>
      </w:r>
      <w:r w:rsidRPr="00ED5186">
        <w:rPr>
          <w:rFonts w:ascii="Times New Roman" w:eastAsia="Times New Roman" w:hAnsi="Times New Roman" w:cs="Times New Roman"/>
          <w:sz w:val="24"/>
          <w:szCs w:val="24"/>
          <w:lang w:eastAsia="es-ES"/>
        </w:rPr>
        <w:t xml:space="preserve"> integrada que hace más fácil ver el rendimiento, estado y métricas, de los recursos que tenemos en Azure. </w:t>
      </w:r>
    </w:p>
    <w:p w14:paraId="18D21407" w14:textId="77777777" w:rsidR="00590094" w:rsidRDefault="00590094" w:rsidP="00131AEE">
      <w:pPr>
        <w:spacing w:after="0" w:line="240" w:lineRule="auto"/>
        <w:rPr>
          <w:rFonts w:ascii="Times New Roman" w:eastAsia="Times New Roman" w:hAnsi="Times New Roman" w:cs="Times New Roman"/>
          <w:sz w:val="24"/>
          <w:szCs w:val="24"/>
          <w:lang w:eastAsia="es-ES"/>
        </w:rPr>
      </w:pPr>
    </w:p>
    <w:p w14:paraId="7F89D758" w14:textId="7DE4C0D4" w:rsidR="00590094" w:rsidRPr="00ED5186" w:rsidRDefault="00590094" w:rsidP="00131AE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14:anchorId="090B5144" wp14:editId="16C0CF7E">
            <wp:extent cx="5391150" cy="3029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29585"/>
                    </a:xfrm>
                    <a:prstGeom prst="rect">
                      <a:avLst/>
                    </a:prstGeom>
                    <a:noFill/>
                    <a:ln>
                      <a:noFill/>
                    </a:ln>
                  </pic:spPr>
                </pic:pic>
              </a:graphicData>
            </a:graphic>
          </wp:inline>
        </w:drawing>
      </w:r>
    </w:p>
    <w:p w14:paraId="2054AAF6" w14:textId="368E05D5" w:rsidR="00883F0F" w:rsidRPr="00BD5A9C" w:rsidRDefault="00373C79" w:rsidP="00883F0F">
      <w:pPr>
        <w:pStyle w:val="NormalWeb"/>
        <w:spacing w:before="0" w:beforeAutospacing="0" w:after="0" w:afterAutospacing="0"/>
        <w:ind w:left="720" w:hanging="720"/>
        <w:rPr>
          <w:sz w:val="18"/>
          <w:szCs w:val="18"/>
          <w:lang w:val="en-US"/>
        </w:rPr>
      </w:pPr>
      <w:r w:rsidRPr="00BD5A9C">
        <w:rPr>
          <w:sz w:val="18"/>
          <w:szCs w:val="18"/>
          <w:lang w:val="en-US"/>
        </w:rPr>
        <w:t xml:space="preserve">Wren, </w:t>
      </w:r>
      <w:r w:rsidR="00883F0F" w:rsidRPr="00BD5A9C">
        <w:rPr>
          <w:sz w:val="18"/>
          <w:szCs w:val="18"/>
          <w:lang w:val="en-US"/>
        </w:rPr>
        <w:t xml:space="preserve">B. (2022). </w:t>
      </w:r>
      <w:r w:rsidR="00883F0F" w:rsidRPr="00BD5A9C">
        <w:rPr>
          <w:i/>
          <w:iCs/>
          <w:sz w:val="18"/>
          <w:szCs w:val="18"/>
          <w:lang w:val="en-US"/>
        </w:rPr>
        <w:t>Azure Monitor best practices - Analysis and visualizations - Azure Monitor</w:t>
      </w:r>
      <w:r w:rsidR="00883F0F" w:rsidRPr="00BD5A9C">
        <w:rPr>
          <w:sz w:val="18"/>
          <w:szCs w:val="18"/>
          <w:lang w:val="en-US"/>
        </w:rPr>
        <w:t>. Microsoft Docs. https://docs.microsoft.com/en-us/azure/azure-monitor/best-practices-analysis</w:t>
      </w:r>
    </w:p>
    <w:p w14:paraId="1FA16E2F" w14:textId="77777777" w:rsidR="00883F0F" w:rsidRPr="00883F0F" w:rsidRDefault="00883F0F" w:rsidP="00131AEE">
      <w:pPr>
        <w:spacing w:after="0" w:line="240" w:lineRule="auto"/>
        <w:rPr>
          <w:rFonts w:ascii="Times New Roman" w:eastAsia="Times New Roman" w:hAnsi="Times New Roman" w:cs="Times New Roman"/>
          <w:sz w:val="24"/>
          <w:szCs w:val="24"/>
          <w:lang w:val="en-US" w:eastAsia="es-ES"/>
        </w:rPr>
      </w:pPr>
    </w:p>
    <w:p w14:paraId="15E2BA7A" w14:textId="0A1059CD" w:rsidR="003D3DD2" w:rsidRDefault="007850A9" w:rsidP="003D3DD2">
      <w:pPr>
        <w:spacing w:after="0" w:line="240" w:lineRule="auto"/>
        <w:rPr>
          <w:rFonts w:ascii="Times New Roman" w:eastAsia="Times New Roman" w:hAnsi="Times New Roman" w:cs="Times New Roman"/>
          <w:sz w:val="24"/>
          <w:szCs w:val="24"/>
          <w:lang w:eastAsia="es-ES"/>
        </w:rPr>
      </w:pPr>
      <w:r w:rsidRPr="00ED5186">
        <w:rPr>
          <w:rFonts w:ascii="Times New Roman" w:eastAsia="Times New Roman" w:hAnsi="Times New Roman" w:cs="Times New Roman"/>
          <w:sz w:val="24"/>
          <w:szCs w:val="24"/>
          <w:lang w:eastAsia="es-ES"/>
        </w:rPr>
        <w:t>Azure monitor se encuentra habilitado en nuestra cuenta de Microsoft en el momento que se crea una suscripción de Azure y este comienza a recopilar información de las métricas de manera automática, pero también se puede personalizar para obtener un análisis más detallado de ciertos datos de servicios específicos.</w:t>
      </w:r>
    </w:p>
    <w:p w14:paraId="3051B171" w14:textId="77777777" w:rsidR="00E53B21" w:rsidRDefault="00E53B21" w:rsidP="003D3DD2">
      <w:pPr>
        <w:spacing w:after="0" w:line="240" w:lineRule="auto"/>
        <w:rPr>
          <w:rFonts w:ascii="Times New Roman" w:eastAsia="Times New Roman" w:hAnsi="Times New Roman" w:cs="Times New Roman"/>
          <w:sz w:val="24"/>
          <w:szCs w:val="24"/>
          <w:lang w:eastAsia="es-ES"/>
        </w:rPr>
      </w:pPr>
    </w:p>
    <w:p w14:paraId="423954DB" w14:textId="58399C25" w:rsidR="003D3DD2" w:rsidRPr="00591ABD" w:rsidRDefault="003D3DD2" w:rsidP="00591ABD">
      <w:pPr>
        <w:rPr>
          <w:rFonts w:ascii="Times New Roman" w:hAnsi="Times New Roman" w:cs="Times New Roman"/>
          <w:b/>
          <w:bCs/>
          <w:sz w:val="24"/>
          <w:szCs w:val="24"/>
        </w:rPr>
      </w:pPr>
      <w:r w:rsidRPr="003D3DD2">
        <w:rPr>
          <w:rFonts w:ascii="Times New Roman" w:hAnsi="Times New Roman" w:cs="Times New Roman"/>
          <w:b/>
          <w:bCs/>
          <w:sz w:val="24"/>
          <w:szCs w:val="24"/>
        </w:rPr>
        <w:t>¿Existe una versión local de Azure Monitor?</w:t>
      </w:r>
    </w:p>
    <w:p w14:paraId="50606610" w14:textId="073139A7" w:rsidR="00D50313" w:rsidRPr="00ED5186" w:rsidRDefault="00217C95" w:rsidP="003D3DD2">
      <w:pPr>
        <w:spacing w:line="240" w:lineRule="auto"/>
        <w:rPr>
          <w:rFonts w:ascii="Times New Roman" w:hAnsi="Times New Roman" w:cs="Times New Roman"/>
          <w:sz w:val="24"/>
          <w:szCs w:val="24"/>
        </w:rPr>
      </w:pPr>
      <w:r>
        <w:rPr>
          <w:rFonts w:ascii="Times New Roman" w:hAnsi="Times New Roman" w:cs="Times New Roman"/>
          <w:sz w:val="24"/>
          <w:szCs w:val="24"/>
        </w:rPr>
        <w:t>Este</w:t>
      </w:r>
      <w:r w:rsidR="00D50313" w:rsidRPr="00ED5186">
        <w:rPr>
          <w:rFonts w:ascii="Times New Roman" w:hAnsi="Times New Roman" w:cs="Times New Roman"/>
          <w:sz w:val="24"/>
          <w:szCs w:val="24"/>
        </w:rPr>
        <w:t xml:space="preserve"> es un servicio en la nube escalable que procesa y almacena grandes cantidades de datos, </w:t>
      </w:r>
      <w:r w:rsidR="007850A9" w:rsidRPr="00ED5186">
        <w:rPr>
          <w:rFonts w:ascii="Times New Roman" w:hAnsi="Times New Roman" w:cs="Times New Roman"/>
          <w:sz w:val="24"/>
          <w:szCs w:val="24"/>
        </w:rPr>
        <w:t>pero</w:t>
      </w:r>
      <w:r w:rsidR="00D50313" w:rsidRPr="00ED5186">
        <w:rPr>
          <w:rFonts w:ascii="Times New Roman" w:hAnsi="Times New Roman" w:cs="Times New Roman"/>
          <w:sz w:val="24"/>
          <w:szCs w:val="24"/>
        </w:rPr>
        <w:t xml:space="preserve"> </w:t>
      </w:r>
      <w:r w:rsidR="007850A9" w:rsidRPr="00ED5186">
        <w:rPr>
          <w:rFonts w:ascii="Times New Roman" w:hAnsi="Times New Roman" w:cs="Times New Roman"/>
          <w:sz w:val="24"/>
          <w:szCs w:val="24"/>
        </w:rPr>
        <w:t>también</w:t>
      </w:r>
      <w:r w:rsidR="00D50313" w:rsidRPr="00ED5186">
        <w:rPr>
          <w:rFonts w:ascii="Times New Roman" w:hAnsi="Times New Roman" w:cs="Times New Roman"/>
          <w:sz w:val="24"/>
          <w:szCs w:val="24"/>
        </w:rPr>
        <w:t xml:space="preserve"> puede supervisar los recursos que están en el entorno local y en otras nubes</w:t>
      </w:r>
      <w:r w:rsidR="007850A9" w:rsidRPr="00ED5186">
        <w:rPr>
          <w:rFonts w:ascii="Times New Roman" w:hAnsi="Times New Roman" w:cs="Times New Roman"/>
          <w:sz w:val="24"/>
          <w:szCs w:val="24"/>
        </w:rPr>
        <w:t xml:space="preserve">, no hay un </w:t>
      </w:r>
      <w:r w:rsidR="00B612D3" w:rsidRPr="00ED5186">
        <w:rPr>
          <w:rFonts w:ascii="Times New Roman" w:hAnsi="Times New Roman" w:cs="Times New Roman"/>
          <w:sz w:val="24"/>
          <w:szCs w:val="24"/>
        </w:rPr>
        <w:t>límite</w:t>
      </w:r>
      <w:r w:rsidR="007850A9" w:rsidRPr="00ED5186">
        <w:rPr>
          <w:rFonts w:ascii="Times New Roman" w:hAnsi="Times New Roman" w:cs="Times New Roman"/>
          <w:sz w:val="24"/>
          <w:szCs w:val="24"/>
        </w:rPr>
        <w:t xml:space="preserve"> </w:t>
      </w:r>
      <w:r w:rsidR="00B612D3" w:rsidRPr="00ED5186">
        <w:rPr>
          <w:rFonts w:ascii="Times New Roman" w:hAnsi="Times New Roman" w:cs="Times New Roman"/>
          <w:sz w:val="24"/>
          <w:szCs w:val="24"/>
        </w:rPr>
        <w:t>de recopilación de datos, pero estos se almacenan solamente por 93 días</w:t>
      </w:r>
      <w:r w:rsidR="00D50313" w:rsidRPr="00ED5186">
        <w:rPr>
          <w:rFonts w:ascii="Times New Roman" w:hAnsi="Times New Roman" w:cs="Times New Roman"/>
          <w:sz w:val="24"/>
          <w:szCs w:val="24"/>
        </w:rPr>
        <w:t>.</w:t>
      </w:r>
    </w:p>
    <w:p w14:paraId="6815D014" w14:textId="77777777" w:rsidR="00D60022" w:rsidRPr="00ED5186" w:rsidRDefault="00D60022">
      <w:pPr>
        <w:rPr>
          <w:rFonts w:ascii="Times New Roman" w:hAnsi="Times New Roman" w:cs="Times New Roman"/>
          <w:sz w:val="24"/>
          <w:szCs w:val="24"/>
        </w:rPr>
      </w:pPr>
    </w:p>
    <w:sectPr w:rsidR="00D60022" w:rsidRPr="00ED51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C52"/>
    <w:multiLevelType w:val="hybridMultilevel"/>
    <w:tmpl w:val="7ED658E0"/>
    <w:lvl w:ilvl="0" w:tplc="8592D6F2">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90D6C"/>
    <w:multiLevelType w:val="hybridMultilevel"/>
    <w:tmpl w:val="C262D2C6"/>
    <w:lvl w:ilvl="0" w:tplc="22FEEEB8">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6099537">
    <w:abstractNumId w:val="1"/>
  </w:num>
  <w:num w:numId="2" w16cid:durableId="154987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33"/>
    <w:rsid w:val="000C4709"/>
    <w:rsid w:val="00131AEE"/>
    <w:rsid w:val="001469F0"/>
    <w:rsid w:val="00217C95"/>
    <w:rsid w:val="002C7314"/>
    <w:rsid w:val="00373C79"/>
    <w:rsid w:val="003B46BE"/>
    <w:rsid w:val="003D3DD2"/>
    <w:rsid w:val="00466233"/>
    <w:rsid w:val="00483D4E"/>
    <w:rsid w:val="00590094"/>
    <w:rsid w:val="00591ABD"/>
    <w:rsid w:val="005B034F"/>
    <w:rsid w:val="005B76DA"/>
    <w:rsid w:val="005C3CBD"/>
    <w:rsid w:val="00685544"/>
    <w:rsid w:val="007850A9"/>
    <w:rsid w:val="00883F0F"/>
    <w:rsid w:val="00B612D3"/>
    <w:rsid w:val="00BD5A9C"/>
    <w:rsid w:val="00D50313"/>
    <w:rsid w:val="00D60022"/>
    <w:rsid w:val="00E53B21"/>
    <w:rsid w:val="00ED5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D243"/>
  <w15:chartTrackingRefBased/>
  <w15:docId w15:val="{A82C2D7A-2CF5-4526-A89B-FECD7F06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5031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D50313"/>
  </w:style>
  <w:style w:type="character" w:customStyle="1" w:styleId="Ttulo3Car">
    <w:name w:val="Título 3 Car"/>
    <w:basedOn w:val="Fuentedeprrafopredeter"/>
    <w:link w:val="Ttulo3"/>
    <w:uiPriority w:val="9"/>
    <w:rsid w:val="00D5031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03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50313"/>
    <w:rPr>
      <w:color w:val="0000FF"/>
      <w:u w:val="single"/>
    </w:rPr>
  </w:style>
  <w:style w:type="paragraph" w:styleId="Prrafodelista">
    <w:name w:val="List Paragraph"/>
    <w:basedOn w:val="Normal"/>
    <w:uiPriority w:val="34"/>
    <w:qFormat/>
    <w:rsid w:val="00483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6148">
      <w:bodyDiv w:val="1"/>
      <w:marLeft w:val="0"/>
      <w:marRight w:val="0"/>
      <w:marTop w:val="0"/>
      <w:marBottom w:val="0"/>
      <w:divBdr>
        <w:top w:val="none" w:sz="0" w:space="0" w:color="auto"/>
        <w:left w:val="none" w:sz="0" w:space="0" w:color="auto"/>
        <w:bottom w:val="none" w:sz="0" w:space="0" w:color="auto"/>
        <w:right w:val="none" w:sz="0" w:space="0" w:color="auto"/>
      </w:divBdr>
    </w:div>
    <w:div w:id="647906263">
      <w:bodyDiv w:val="1"/>
      <w:marLeft w:val="0"/>
      <w:marRight w:val="0"/>
      <w:marTop w:val="0"/>
      <w:marBottom w:val="0"/>
      <w:divBdr>
        <w:top w:val="none" w:sz="0" w:space="0" w:color="auto"/>
        <w:left w:val="none" w:sz="0" w:space="0" w:color="auto"/>
        <w:bottom w:val="none" w:sz="0" w:space="0" w:color="auto"/>
        <w:right w:val="none" w:sz="0" w:space="0" w:color="auto"/>
      </w:divBdr>
    </w:div>
    <w:div w:id="1313605642">
      <w:bodyDiv w:val="1"/>
      <w:marLeft w:val="0"/>
      <w:marRight w:val="0"/>
      <w:marTop w:val="0"/>
      <w:marBottom w:val="0"/>
      <w:divBdr>
        <w:top w:val="none" w:sz="0" w:space="0" w:color="auto"/>
        <w:left w:val="none" w:sz="0" w:space="0" w:color="auto"/>
        <w:bottom w:val="none" w:sz="0" w:space="0" w:color="auto"/>
        <w:right w:val="none" w:sz="0" w:space="0" w:color="auto"/>
      </w:divBdr>
    </w:div>
    <w:div w:id="1534880966">
      <w:bodyDiv w:val="1"/>
      <w:marLeft w:val="0"/>
      <w:marRight w:val="0"/>
      <w:marTop w:val="0"/>
      <w:marBottom w:val="0"/>
      <w:divBdr>
        <w:top w:val="none" w:sz="0" w:space="0" w:color="auto"/>
        <w:left w:val="none" w:sz="0" w:space="0" w:color="auto"/>
        <w:bottom w:val="none" w:sz="0" w:space="0" w:color="auto"/>
        <w:right w:val="none" w:sz="0" w:space="0" w:color="auto"/>
      </w:divBdr>
      <w:divsChild>
        <w:div w:id="631591997">
          <w:marLeft w:val="0"/>
          <w:marRight w:val="0"/>
          <w:marTop w:val="0"/>
          <w:marBottom w:val="0"/>
          <w:divBdr>
            <w:top w:val="none" w:sz="0" w:space="0" w:color="auto"/>
            <w:left w:val="none" w:sz="0" w:space="0" w:color="auto"/>
            <w:bottom w:val="none" w:sz="0" w:space="0" w:color="auto"/>
            <w:right w:val="none" w:sz="0" w:space="0" w:color="auto"/>
          </w:divBdr>
        </w:div>
      </w:divsChild>
    </w:div>
    <w:div w:id="1734961867">
      <w:bodyDiv w:val="1"/>
      <w:marLeft w:val="0"/>
      <w:marRight w:val="0"/>
      <w:marTop w:val="0"/>
      <w:marBottom w:val="0"/>
      <w:divBdr>
        <w:top w:val="none" w:sz="0" w:space="0" w:color="auto"/>
        <w:left w:val="none" w:sz="0" w:space="0" w:color="auto"/>
        <w:bottom w:val="none" w:sz="0" w:space="0" w:color="auto"/>
        <w:right w:val="none" w:sz="0" w:space="0" w:color="auto"/>
      </w:divBdr>
      <w:divsChild>
        <w:div w:id="2022656774">
          <w:marLeft w:val="0"/>
          <w:marRight w:val="0"/>
          <w:marTop w:val="0"/>
          <w:marBottom w:val="0"/>
          <w:divBdr>
            <w:top w:val="none" w:sz="0" w:space="0" w:color="auto"/>
            <w:left w:val="none" w:sz="0" w:space="0" w:color="auto"/>
            <w:bottom w:val="none" w:sz="0" w:space="0" w:color="auto"/>
            <w:right w:val="none" w:sz="0" w:space="0" w:color="auto"/>
          </w:divBdr>
          <w:divsChild>
            <w:div w:id="2135169846">
              <w:marLeft w:val="0"/>
              <w:marRight w:val="0"/>
              <w:marTop w:val="0"/>
              <w:marBottom w:val="0"/>
              <w:divBdr>
                <w:top w:val="none" w:sz="0" w:space="0" w:color="auto"/>
                <w:left w:val="none" w:sz="0" w:space="0" w:color="auto"/>
                <w:bottom w:val="none" w:sz="0" w:space="0" w:color="auto"/>
                <w:right w:val="none" w:sz="0" w:space="0" w:color="auto"/>
              </w:divBdr>
            </w:div>
          </w:divsChild>
        </w:div>
        <w:div w:id="2060741001">
          <w:marLeft w:val="0"/>
          <w:marRight w:val="0"/>
          <w:marTop w:val="0"/>
          <w:marBottom w:val="0"/>
          <w:divBdr>
            <w:top w:val="none" w:sz="0" w:space="0" w:color="auto"/>
            <w:left w:val="none" w:sz="0" w:space="0" w:color="auto"/>
            <w:bottom w:val="none" w:sz="0" w:space="0" w:color="auto"/>
            <w:right w:val="none" w:sz="0" w:space="0" w:color="auto"/>
          </w:divBdr>
          <w:divsChild>
            <w:div w:id="1398505230">
              <w:marLeft w:val="0"/>
              <w:marRight w:val="0"/>
              <w:marTop w:val="0"/>
              <w:marBottom w:val="0"/>
              <w:divBdr>
                <w:top w:val="none" w:sz="0" w:space="0" w:color="auto"/>
                <w:left w:val="none" w:sz="0" w:space="0" w:color="auto"/>
                <w:bottom w:val="none" w:sz="0" w:space="0" w:color="auto"/>
                <w:right w:val="none" w:sz="0" w:space="0" w:color="auto"/>
              </w:divBdr>
              <w:divsChild>
                <w:div w:id="1174105842">
                  <w:marLeft w:val="0"/>
                  <w:marRight w:val="0"/>
                  <w:marTop w:val="0"/>
                  <w:marBottom w:val="0"/>
                  <w:divBdr>
                    <w:top w:val="none" w:sz="0" w:space="0" w:color="auto"/>
                    <w:left w:val="none" w:sz="0" w:space="0" w:color="auto"/>
                    <w:bottom w:val="none" w:sz="0" w:space="0" w:color="auto"/>
                    <w:right w:val="none" w:sz="0" w:space="0" w:color="auto"/>
                  </w:divBdr>
                  <w:divsChild>
                    <w:div w:id="975377504">
                      <w:marLeft w:val="0"/>
                      <w:marRight w:val="0"/>
                      <w:marTop w:val="0"/>
                      <w:marBottom w:val="0"/>
                      <w:divBdr>
                        <w:top w:val="none" w:sz="0" w:space="0" w:color="auto"/>
                        <w:left w:val="none" w:sz="0" w:space="0" w:color="auto"/>
                        <w:bottom w:val="none" w:sz="0" w:space="0" w:color="auto"/>
                        <w:right w:val="none" w:sz="0" w:space="0" w:color="auto"/>
                      </w:divBdr>
                      <w:divsChild>
                        <w:div w:id="913665804">
                          <w:marLeft w:val="0"/>
                          <w:marRight w:val="0"/>
                          <w:marTop w:val="0"/>
                          <w:marBottom w:val="0"/>
                          <w:divBdr>
                            <w:top w:val="none" w:sz="0" w:space="0" w:color="auto"/>
                            <w:left w:val="none" w:sz="0" w:space="0" w:color="auto"/>
                            <w:bottom w:val="none" w:sz="0" w:space="0" w:color="auto"/>
                            <w:right w:val="none" w:sz="0" w:space="0" w:color="auto"/>
                          </w:divBdr>
                          <w:divsChild>
                            <w:div w:id="12341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833727">
      <w:bodyDiv w:val="1"/>
      <w:marLeft w:val="0"/>
      <w:marRight w:val="0"/>
      <w:marTop w:val="0"/>
      <w:marBottom w:val="0"/>
      <w:divBdr>
        <w:top w:val="none" w:sz="0" w:space="0" w:color="auto"/>
        <w:left w:val="none" w:sz="0" w:space="0" w:color="auto"/>
        <w:bottom w:val="none" w:sz="0" w:space="0" w:color="auto"/>
        <w:right w:val="none" w:sz="0" w:space="0" w:color="auto"/>
      </w:divBdr>
      <w:divsChild>
        <w:div w:id="61505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Quirós Luna</dc:creator>
  <cp:keywords/>
  <dc:description/>
  <cp:lastModifiedBy>Mario Quirós Luna</cp:lastModifiedBy>
  <cp:revision>16</cp:revision>
  <dcterms:created xsi:type="dcterms:W3CDTF">2022-05-08T15:01:00Z</dcterms:created>
  <dcterms:modified xsi:type="dcterms:W3CDTF">2022-05-08T17:51:00Z</dcterms:modified>
</cp:coreProperties>
</file>