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color w:val="222222"/>
          <w:sz w:val="40"/>
        </w:rPr>
        <w:t>MARIO HUARTE NOLASCO</w:t>
      </w:r>
    </w:p>
    <w:p>
      <w:pPr>
        <w:spacing w:after="60" w:before="0"/>
        <w:jc w:val="center"/>
      </w:pPr>
      <w:r>
        <w:rPr>
          <w:b/>
          <w:color w:val="1F5FA8"/>
          <w:sz w:val="24"/>
        </w:rPr>
        <w:t>Especialista MDM | Desarrollador TIBCO EBX | Java | Gobierno de Datos</w:t>
      </w:r>
    </w:p>
    <w:p>
      <w:pPr>
        <w:spacing w:after="20" w:before="0"/>
        <w:jc w:val="center"/>
      </w:pPr>
      <w:r>
        <w:rPr>
          <w:b w:val="0"/>
          <w:color w:val="555555"/>
          <w:sz w:val="18"/>
        </w:rPr>
        <w:t>Tel: 55 6229 3691     Email: mario_huarte@outlook.com     LinkedIn: linkedin.com/in/mario-huarte-nolasco-874436202</w:t>
      </w:r>
    </w:p>
    <w:p>
      <w:pPr>
        <w:spacing w:after="120" w:before="0"/>
        <w:jc w:val="center"/>
      </w:pPr>
      <w:r>
        <w:rPr>
          <w:b w:val="0"/>
          <w:color w:val="555555"/>
          <w:sz w:val="18"/>
        </w:rPr>
        <w:t>Ciudad de México, México     Portafolio: mariounam.github.io     Cédula Profesional: 14265872</w:t>
      </w:r>
    </w:p>
    <w:p>
      <w:pPr>
        <w:spacing w:after="40" w:before="40"/>
      </w:pPr>
      <w:r>
        <w:rPr>
          <w:b w:val="0"/>
          <w:color w:val="222222"/>
          <w:sz w:val="20"/>
        </w:rPr>
        <w:t xml:space="preserve">Ingeniero en Computación (UNAM) con </w:t>
      </w:r>
      <w:r>
        <w:rPr>
          <w:b/>
          <w:color w:val="222222"/>
          <w:sz w:val="20"/>
        </w:rPr>
        <w:t>5 años de experiencia</w:t>
      </w:r>
      <w:r>
        <w:rPr>
          <w:b w:val="0"/>
          <w:color w:val="222222"/>
          <w:sz w:val="20"/>
        </w:rPr>
        <w:t xml:space="preserve"> en Master Data Management (MDM) e implementación de </w:t>
      </w:r>
      <w:r>
        <w:rPr>
          <w:b/>
          <w:color w:val="222222"/>
          <w:sz w:val="20"/>
        </w:rPr>
        <w:t>TIBCO EBX</w:t>
      </w:r>
      <w:r>
        <w:rPr>
          <w:b w:val="0"/>
          <w:color w:val="222222"/>
          <w:sz w:val="20"/>
        </w:rPr>
        <w:t xml:space="preserve">, desde diciembre de 2021. Cinco implementaciones MDM para clientes de retail, manufactura, servicios financieros, farmacéutico y telecomunicaciones, modelando dominios de cliente, empleado y ubicaciones sobre conjuntos de hasta </w:t>
      </w:r>
      <w:r>
        <w:rPr>
          <w:b/>
          <w:color w:val="222222"/>
          <w:sz w:val="20"/>
        </w:rPr>
        <w:t>200M de registros</w:t>
      </w:r>
      <w:r>
        <w:rPr>
          <w:b w:val="0"/>
          <w:color w:val="222222"/>
          <w:sz w:val="20"/>
        </w:rPr>
        <w:t xml:space="preserve">. Especializado en modelado de datos maestros, extensiones </w:t>
      </w:r>
      <w:r>
        <w:rPr>
          <w:b/>
          <w:color w:val="222222"/>
          <w:sz w:val="20"/>
        </w:rPr>
        <w:t>Java</w:t>
      </w:r>
      <w:r>
        <w:rPr>
          <w:b w:val="0"/>
          <w:color w:val="222222"/>
          <w:sz w:val="20"/>
        </w:rPr>
        <w:t xml:space="preserve"> sobre EBX, workflows de Gobierno de Datos, reglas de Calidad de Datos y Match &amp; Merge. Uso diario de </w:t>
      </w:r>
      <w:r>
        <w:rPr>
          <w:b/>
          <w:color w:val="222222"/>
          <w:sz w:val="20"/>
        </w:rPr>
        <w:t>SQL</w:t>
      </w:r>
      <w:r>
        <w:rPr>
          <w:b w:val="0"/>
          <w:color w:val="222222"/>
          <w:sz w:val="20"/>
        </w:rPr>
        <w:t xml:space="preserve">; integración mediante </w:t>
      </w:r>
      <w:r>
        <w:rPr>
          <w:b/>
          <w:color w:val="222222"/>
          <w:sz w:val="20"/>
        </w:rPr>
        <w:t>SnapLogic iPaaS</w:t>
      </w:r>
      <w:r>
        <w:rPr>
          <w:b w:val="0"/>
          <w:color w:val="222222"/>
          <w:sz w:val="20"/>
        </w:rPr>
        <w:t xml:space="preserve">, Oracle, PostgreSQL, SQL Server y AWS. Uso ocasional de </w:t>
      </w:r>
      <w:r>
        <w:rPr>
          <w:b/>
          <w:color w:val="222222"/>
          <w:sz w:val="20"/>
        </w:rPr>
        <w:t>Python</w:t>
      </w:r>
      <w:r>
        <w:rPr>
          <w:b w:val="0"/>
          <w:color w:val="222222"/>
          <w:sz w:val="20"/>
        </w:rPr>
        <w:t xml:space="preserve"> para automatización de procesos. Inglés B2 — competencia técnica.</w:t>
      </w:r>
    </w:p>
    <w:p>
      <w:pPr>
        <w:spacing w:after="60" w:before="180"/>
        <w:pBdr>
          <w:bottom w:val="single" w:sz="8" w:space="1" w:color="1F5FA8"/>
        </w:pBdr>
      </w:pPr>
      <w:r>
        <w:rPr>
          <w:b/>
          <w:color w:val="1F5FA8"/>
          <w:sz w:val="21"/>
        </w:rPr>
        <w:t>COMPETENCIAS CLAVE</w:t>
      </w:r>
    </w:p>
    <w:p>
      <w:pPr>
        <w:spacing w:after="40" w:before="0"/>
      </w:pPr>
      <w:r>
        <w:rPr>
          <w:b w:val="0"/>
          <w:color w:val="222222"/>
          <w:sz w:val="19"/>
        </w:rPr>
        <w:t>Master Data Management (MDM)  |  TIBCO EBX 5.x–6.x  |  Add-ons EBX y módulos personalizados  |  Java  |  Gobierno de datos  |  Calidad de datos  |  Limpieza de datos  |  Match &amp; Merge  |  Data Stewardship  |  Gestión de datos de referencia  |  Modelado de datos  |  Workflows EBX  |  Data Spaces y Datasets EBX  |  SnapLogic iPaaS  |  Servicios REST  |  SQL  |  Oracle  |  PostgreSQL  |  SQL Server  |  AWS  |  Azure (AZ-900)  |  Python  |  Power BI  |  Enterprise Data Management</w:t>
      </w:r>
    </w:p>
    <w:p>
      <w:pPr>
        <w:spacing w:after="60" w:before="180"/>
        <w:pBdr>
          <w:bottom w:val="single" w:sz="8" w:space="1" w:color="1F5FA8"/>
        </w:pBdr>
      </w:pPr>
      <w:r>
        <w:rPr>
          <w:b/>
          <w:color w:val="1F5FA8"/>
          <w:sz w:val="21"/>
        </w:rPr>
        <w:t>EXPERIENCIA PROFESIONAL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8064"/>
          </w:tcPr>
          <w:p>
            <w:r>
              <w:rPr>
                <w:b/>
                <w:color w:val="222222"/>
                <w:sz w:val="22"/>
              </w:rPr>
              <w:t>Consultor MDM | Desarrollador TIBCO EBX</w:t>
            </w:r>
          </w:p>
        </w:tc>
        <w:tc>
          <w:tcPr>
            <w:tcW w:type="dxa" w:w="2448"/>
          </w:tcPr>
          <w:p>
            <w:pPr>
              <w:jc w:val="right"/>
            </w:pPr>
            <w:r>
              <w:rPr>
                <w:color w:val="555555"/>
                <w:sz w:val="19"/>
              </w:rPr>
              <w:t>Ago 2023 – Presente</w:t>
            </w:r>
          </w:p>
        </w:tc>
      </w:tr>
      <w:tr>
        <w:tc>
          <w:tcPr>
            <w:tcW w:type="dxa" w:w="8064"/>
          </w:tcPr>
          <w:p>
            <w:r>
              <w:rPr>
                <w:b/>
                <w:color w:val="1F5FA8"/>
                <w:sz w:val="20"/>
              </w:rPr>
              <w:t>Alldatum Business  ·  Ciudad de México</w:t>
            </w:r>
          </w:p>
        </w:tc>
        <w:tc>
          <w:tcPr>
            <w:tcW w:type="dxa" w:w="2448"/>
          </w:tcPr>
          <w:p>
            <w:pPr>
              <w:jc w:val="right"/>
            </w:pPr>
            <w:r>
              <w:rPr>
                <w:b/>
                <w:color w:val="1F5FA8"/>
                <w:sz w:val="19"/>
              </w:rPr>
              <w:t>3 años 2 meses</w:t>
            </w:r>
          </w:p>
        </w:tc>
      </w:tr>
    </w:tbl>
    <w:p>
      <w:pPr>
        <w:spacing w:after="20"/>
      </w:pPr>
    </w:p>
    <w:p>
      <w:pPr>
        <w:pStyle w:val="ListBullet"/>
        <w:spacing w:after="30"/>
        <w:ind w:left="317"/>
      </w:pPr>
      <w:r>
        <w:rPr>
          <w:b w:val="0"/>
          <w:color w:val="222222"/>
          <w:sz w:val="20"/>
        </w:rPr>
        <w:t xml:space="preserve">Implementación y configuración de soluciones MDM en </w:t>
      </w:r>
      <w:r>
        <w:rPr>
          <w:b/>
          <w:color w:val="222222"/>
          <w:sz w:val="20"/>
        </w:rPr>
        <w:t>TIBCO EBX</w:t>
      </w:r>
      <w:r>
        <w:rPr>
          <w:b w:val="0"/>
          <w:color w:val="222222"/>
          <w:sz w:val="20"/>
        </w:rPr>
        <w:t>: diseño del modelo de datos, Data Spaces y Datasets para dominios de cliente, empleado y ubicaciones, sobre conjuntos de hasta 200M de registros.</w:t>
      </w:r>
    </w:p>
    <w:p>
      <w:pPr>
        <w:pStyle w:val="ListBullet"/>
        <w:spacing w:after="30"/>
        <w:ind w:left="317"/>
      </w:pPr>
      <w:r>
        <w:rPr>
          <w:b w:val="0"/>
          <w:color w:val="222222"/>
          <w:sz w:val="20"/>
        </w:rPr>
        <w:t xml:space="preserve">Reglas de limpieza y calidad de datos en </w:t>
      </w:r>
      <w:r>
        <w:rPr>
          <w:b/>
          <w:color w:val="222222"/>
          <w:sz w:val="20"/>
        </w:rPr>
        <w:t>TIBCO EBX</w:t>
      </w:r>
      <w:r>
        <w:rPr>
          <w:b w:val="0"/>
          <w:color w:val="222222"/>
          <w:sz w:val="20"/>
        </w:rPr>
        <w:t>: validaciones, restricciones y correcciones sobre registros maestros dentro de la plataforma.</w:t>
      </w:r>
    </w:p>
    <w:p>
      <w:pPr>
        <w:pStyle w:val="ListBullet"/>
        <w:spacing w:after="30"/>
        <w:ind w:left="317"/>
      </w:pPr>
      <w:r>
        <w:rPr>
          <w:b w:val="0"/>
          <w:color w:val="222222"/>
          <w:sz w:val="20"/>
        </w:rPr>
        <w:t>Extensiones Java sobre EBX: triggers, constraints, validaciones personalizadas, servicios REST, scripts de workflow e importadores — creados desde cero o evolucionados a partir de módulos existentes.</w:t>
      </w:r>
    </w:p>
    <w:p>
      <w:pPr>
        <w:pStyle w:val="ListBullet"/>
        <w:spacing w:after="30"/>
        <w:ind w:left="317"/>
      </w:pPr>
      <w:r>
        <w:rPr>
          <w:b w:val="0"/>
          <w:color w:val="222222"/>
          <w:sz w:val="20"/>
        </w:rPr>
        <w:t xml:space="preserve">Integración de EBX con sistemas externos mediante </w:t>
      </w:r>
      <w:r>
        <w:rPr>
          <w:b/>
          <w:color w:val="222222"/>
          <w:sz w:val="20"/>
        </w:rPr>
        <w:t>SnapLogic iPaaS</w:t>
      </w:r>
      <w:r>
        <w:rPr>
          <w:b w:val="0"/>
          <w:color w:val="222222"/>
          <w:sz w:val="20"/>
        </w:rPr>
        <w:t xml:space="preserve"> y servicios REST nativos de EBX: Oracle, PostgreSQL, SQL Server y AWS.</w:t>
      </w:r>
    </w:p>
    <w:p>
      <w:pPr>
        <w:pStyle w:val="ListBullet"/>
        <w:spacing w:after="30"/>
        <w:ind w:left="317"/>
      </w:pPr>
      <w:r>
        <w:rPr>
          <w:b w:val="0"/>
          <w:color w:val="222222"/>
          <w:sz w:val="20"/>
        </w:rPr>
        <w:t xml:space="preserve">Telecomunicaciones: diseño de reglas de limpieza y </w:t>
      </w:r>
      <w:r>
        <w:rPr>
          <w:b/>
          <w:color w:val="222222"/>
          <w:sz w:val="20"/>
        </w:rPr>
        <w:t>Match &amp; Merge</w:t>
      </w:r>
      <w:r>
        <w:rPr>
          <w:b w:val="0"/>
          <w:color w:val="222222"/>
          <w:sz w:val="20"/>
        </w:rPr>
        <w:t xml:space="preserve"> para datos de clientes de dos países centroamericanos, tras investigar la numeración telefónica y los estándares de direcciones de cada país; entrega de datos limpios y deduplicados a la operadora.</w:t>
      </w:r>
    </w:p>
    <w:p>
      <w:pPr>
        <w:pStyle w:val="ListBullet"/>
        <w:spacing w:after="30"/>
        <w:ind w:left="317"/>
      </w:pPr>
      <w:r>
        <w:rPr>
          <w:b w:val="0"/>
          <w:color w:val="222222"/>
          <w:sz w:val="20"/>
        </w:rPr>
        <w:t xml:space="preserve">Monitoreo y reporte de calidad de datos con </w:t>
      </w:r>
      <w:r>
        <w:rPr>
          <w:b/>
          <w:color w:val="222222"/>
          <w:sz w:val="20"/>
        </w:rPr>
        <w:t>Power BI</w:t>
      </w:r>
      <w:r>
        <w:rPr>
          <w:b w:val="0"/>
          <w:color w:val="222222"/>
          <w:sz w:val="20"/>
        </w:rPr>
        <w:t xml:space="preserve"> y </w:t>
      </w:r>
      <w:r>
        <w:rPr>
          <w:b/>
          <w:color w:val="222222"/>
          <w:sz w:val="20"/>
        </w:rPr>
        <w:t>SQL</w:t>
      </w:r>
      <w:r>
        <w:rPr>
          <w:b w:val="0"/>
          <w:color w:val="222222"/>
          <w:sz w:val="20"/>
        </w:rPr>
        <w:t xml:space="preserve"> para dar seguimiento a KPIs de gobierno en proyectos de clientes.</w:t>
      </w:r>
    </w:p>
    <w:p>
      <w:pPr>
        <w:pStyle w:val="ListBullet"/>
        <w:spacing w:after="30"/>
        <w:ind w:left="317"/>
      </w:pPr>
      <w:r>
        <w:rPr>
          <w:b w:val="0"/>
          <w:color w:val="222222"/>
          <w:sz w:val="20"/>
        </w:rPr>
        <w:t xml:space="preserve">Cinco implementaciones MDM en </w:t>
      </w:r>
      <w:r>
        <w:rPr>
          <w:b/>
          <w:color w:val="222222"/>
          <w:sz w:val="20"/>
        </w:rPr>
        <w:t>retail, manufactura, servicios financieros, farmacéutico y telecomunicaciones</w:t>
      </w:r>
      <w:r>
        <w:rPr>
          <w:b w:val="0"/>
          <w:color w:val="222222"/>
          <w:sz w:val="20"/>
        </w:rPr>
        <w:t>, trabajando con equipos de negocio y TI para traducir requerimientos a configuraciones técnicas en EBX.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8064"/>
          </w:tcPr>
          <w:p>
            <w:r>
              <w:rPr>
                <w:b/>
                <w:color w:val="222222"/>
                <w:sz w:val="22"/>
              </w:rPr>
              <w:t>Becario – Consultor de Datos y MDM</w:t>
            </w:r>
          </w:p>
        </w:tc>
        <w:tc>
          <w:tcPr>
            <w:tcW w:type="dxa" w:w="2448"/>
          </w:tcPr>
          <w:p>
            <w:pPr>
              <w:jc w:val="right"/>
            </w:pPr>
            <w:r>
              <w:rPr>
                <w:color w:val="555555"/>
                <w:sz w:val="19"/>
              </w:rPr>
              <w:t>Dic 2021 – Ago 2023</w:t>
            </w:r>
          </w:p>
        </w:tc>
      </w:tr>
      <w:tr>
        <w:tc>
          <w:tcPr>
            <w:tcW w:type="dxa" w:w="8064"/>
          </w:tcPr>
          <w:p>
            <w:r>
              <w:rPr>
                <w:b/>
                <w:color w:val="1F5FA8"/>
                <w:sz w:val="20"/>
              </w:rPr>
              <w:t>Alldatum Business  ·  Ciudad de México</w:t>
            </w:r>
          </w:p>
        </w:tc>
        <w:tc>
          <w:tcPr>
            <w:tcW w:type="dxa" w:w="2448"/>
          </w:tcPr>
          <w:p>
            <w:pPr>
              <w:jc w:val="right"/>
            </w:pPr>
            <w:r>
              <w:rPr>
                <w:b/>
                <w:color w:val="1F5FA8"/>
                <w:sz w:val="19"/>
              </w:rPr>
              <w:t>1 año 9 meses</w:t>
            </w:r>
          </w:p>
        </w:tc>
      </w:tr>
    </w:tbl>
    <w:p>
      <w:pPr>
        <w:spacing w:after="20"/>
      </w:pPr>
    </w:p>
    <w:p>
      <w:pPr>
        <w:pStyle w:val="ListBullet"/>
        <w:spacing w:after="30"/>
        <w:ind w:left="317"/>
      </w:pPr>
      <w:r>
        <w:rPr>
          <w:b w:val="0"/>
          <w:color w:val="222222"/>
          <w:sz w:val="20"/>
        </w:rPr>
        <w:t>Aprendizaje y configuración inicial de la plataforma TIBCO EBX bajo supervisión de consultores senior.</w:t>
      </w:r>
    </w:p>
    <w:p>
      <w:pPr>
        <w:pStyle w:val="ListBullet"/>
        <w:spacing w:after="30"/>
        <w:ind w:left="317"/>
      </w:pPr>
      <w:r>
        <w:rPr>
          <w:b w:val="0"/>
          <w:color w:val="222222"/>
          <w:sz w:val="20"/>
        </w:rPr>
        <w:t>Apoyo en la identificación de fuentes de datos y su mapeo a modelos MDM durante proyectos de implementación.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8064"/>
          </w:tcPr>
          <w:p>
            <w:r>
              <w:rPr>
                <w:b/>
                <w:color w:val="222222"/>
                <w:sz w:val="22"/>
              </w:rPr>
              <w:t>Instructor de programación</w:t>
            </w:r>
          </w:p>
        </w:tc>
        <w:tc>
          <w:tcPr>
            <w:tcW w:type="dxa" w:w="2448"/>
          </w:tcPr>
          <w:p>
            <w:pPr>
              <w:jc w:val="right"/>
            </w:pPr>
            <w:r>
              <w:rPr>
                <w:color w:val="555555"/>
                <w:sz w:val="19"/>
              </w:rPr>
              <w:t>Feb 2021 – Feb 2022</w:t>
            </w:r>
          </w:p>
        </w:tc>
      </w:tr>
      <w:tr>
        <w:tc>
          <w:tcPr>
            <w:tcW w:type="dxa" w:w="8064"/>
          </w:tcPr>
          <w:p>
            <w:r>
              <w:rPr>
                <w:b/>
                <w:color w:val="1F5FA8"/>
                <w:sz w:val="20"/>
              </w:rPr>
              <w:t>PROTECO  ·  Facultad de Ingeniería, UNAM</w:t>
            </w:r>
          </w:p>
        </w:tc>
        <w:tc>
          <w:tcPr>
            <w:tcW w:type="dxa" w:w="2448"/>
          </w:tcPr>
          <w:p>
            <w:pPr>
              <w:jc w:val="right"/>
            </w:pPr>
            <w:r>
              <w:rPr>
                <w:b/>
                <w:color w:val="1F5FA8"/>
                <w:sz w:val="19"/>
              </w:rPr>
              <w:t>1 año 1 mes</w:t>
            </w:r>
          </w:p>
        </w:tc>
      </w:tr>
    </w:tbl>
    <w:p>
      <w:pPr>
        <w:spacing w:after="20"/>
      </w:pPr>
    </w:p>
    <w:p>
      <w:pPr>
        <w:pStyle w:val="ListBullet"/>
        <w:spacing w:after="30"/>
        <w:ind w:left="317"/>
      </w:pPr>
      <w:r>
        <w:rPr>
          <w:b w:val="0"/>
          <w:color w:val="222222"/>
          <w:sz w:val="20"/>
        </w:rPr>
        <w:t>Impartí 10+ cursos y talleres en línea (POO, desarrollo web, Python, Linux) a grupos de 20–30 estudiantes de Ingeniería en Computación, incluyendo la inducción de nuevos integrantes del programa.</w:t>
      </w:r>
    </w:p>
    <w:p>
      <w:pPr>
        <w:pStyle w:val="ListBullet"/>
        <w:spacing w:after="30"/>
        <w:ind w:left="317"/>
      </w:pPr>
      <w:r>
        <w:rPr>
          <w:b w:val="0"/>
          <w:color w:val="222222"/>
          <w:sz w:val="20"/>
        </w:rPr>
        <w:t>Creación de material didáctico y tutorías individuales enfocadas en resolución de problemas técnicos, además de talleres prácticos como armar un CV profesional.</w:t>
      </w:r>
    </w:p>
    <w:p>
      <w:pPr>
        <w:spacing w:after="60" w:before="180"/>
        <w:pBdr>
          <w:bottom w:val="single" w:sz="8" w:space="1" w:color="1F5FA8"/>
        </w:pBdr>
      </w:pPr>
      <w:r>
        <w:rPr>
          <w:b/>
          <w:color w:val="1F5FA8"/>
          <w:sz w:val="21"/>
        </w:rPr>
        <w:t>EDUCACIÓN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8064"/>
          </w:tcPr>
          <w:p>
            <w:r>
              <w:rPr>
                <w:b/>
                <w:color w:val="222222"/>
                <w:sz w:val="22"/>
              </w:rPr>
              <w:t>Ingeniero en Computación</w:t>
            </w:r>
          </w:p>
        </w:tc>
        <w:tc>
          <w:tcPr>
            <w:tcW w:type="dxa" w:w="2448"/>
          </w:tcPr>
          <w:p>
            <w:pPr>
              <w:jc w:val="right"/>
            </w:pPr>
            <w:r>
              <w:rPr>
                <w:color w:val="555555"/>
                <w:sz w:val="19"/>
              </w:rPr>
              <w:t>2017 – 2024</w:t>
            </w:r>
          </w:p>
        </w:tc>
      </w:tr>
      <w:tr>
        <w:tc>
          <w:tcPr>
            <w:tcW w:type="dxa" w:w="8064"/>
          </w:tcPr>
          <w:p>
            <w:r>
              <w:rPr>
                <w:b/>
                <w:color w:val="1F5FA8"/>
                <w:sz w:val="20"/>
              </w:rPr>
              <w:t>Facultad de Ingeniería · Universidad Nacional Autónoma de México (UNAM)</w:t>
            </w:r>
          </w:p>
        </w:tc>
        <w:tc>
          <w:tcPr>
            <w:tcW w:type="dxa" w:w="2448"/>
          </w:tcPr>
          <w:p>
            <w:pPr>
              <w:jc w:val="right"/>
            </w:pPr>
            <w:r>
              <w:rPr>
                <w:b/>
                <w:color w:val="1F5FA8"/>
                <w:sz w:val="19"/>
              </w:rPr>
              <w:t>Título y cédula 2024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8064"/>
          </w:tcPr>
          <w:p>
            <w:r>
              <w:rPr>
                <w:b/>
                <w:color w:val="222222"/>
                <w:sz w:val="22"/>
              </w:rPr>
              <w:t>Técnico en Desarrollo de Software</w:t>
            </w:r>
          </w:p>
        </w:tc>
        <w:tc>
          <w:tcPr>
            <w:tcW w:type="dxa" w:w="2448"/>
          </w:tcPr>
          <w:p>
            <w:pPr>
              <w:jc w:val="right"/>
            </w:pPr>
            <w:r>
              <w:rPr>
                <w:color w:val="555555"/>
                <w:sz w:val="19"/>
              </w:rPr>
              <w:t>Ago 2014 – Mar 2017</w:t>
            </w:r>
          </w:p>
        </w:tc>
      </w:tr>
      <w:tr>
        <w:tc>
          <w:tcPr>
            <w:tcW w:type="dxa" w:w="8064"/>
          </w:tcPr>
          <w:p>
            <w:r>
              <w:rPr>
                <w:b/>
                <w:color w:val="1F5FA8"/>
                <w:sz w:val="20"/>
              </w:rPr>
              <w:t>Colegio de Ciencias y Humanidades, Azcapotzalco · UNAM</w:t>
            </w:r>
          </w:p>
        </w:tc>
        <w:tc>
          <w:tcPr>
            <w:tcW w:type="dxa" w:w="2448"/>
          </w:tcPr>
          <w:p>
            <w:pPr>
              <w:jc w:val="right"/>
            </w:pPr>
            <w:r>
              <w:rPr>
                <w:b/>
                <w:color w:val="1F5FA8"/>
                <w:sz w:val="19"/>
              </w:rPr>
              <w:t>Egresado</w:t>
            </w:r>
          </w:p>
        </w:tc>
      </w:tr>
    </w:tbl>
    <w:p>
      <w:pPr>
        <w:spacing w:after="20"/>
      </w:pPr>
    </w:p>
    <w:p>
      <w:pPr>
        <w:spacing w:after="60" w:before="180"/>
        <w:pBdr>
          <w:bottom w:val="single" w:sz="8" w:space="1" w:color="1F5FA8"/>
        </w:pBdr>
      </w:pPr>
      <w:r>
        <w:rPr>
          <w:b/>
          <w:color w:val="1F5FA8"/>
          <w:sz w:val="21"/>
        </w:rPr>
        <w:t>CERTIFICACIONES</w:t>
      </w:r>
    </w:p>
    <w:p>
      <w:pPr>
        <w:pStyle w:val="ListBullet"/>
        <w:spacing w:after="30"/>
        <w:ind w:left="317"/>
      </w:pPr>
      <w:r>
        <w:rPr>
          <w:b/>
          <w:color w:val="222222"/>
          <w:sz w:val="20"/>
        </w:rPr>
        <w:t>Google AI</w:t>
      </w:r>
      <w:r>
        <w:rPr>
          <w:b w:val="0"/>
          <w:color w:val="222222"/>
          <w:sz w:val="20"/>
        </w:rPr>
        <w:t xml:space="preserve"> — Google · Ago 2026 · ID de credencial LY3LGZVG593W</w:t>
      </w:r>
    </w:p>
    <w:p>
      <w:pPr>
        <w:pStyle w:val="ListBullet"/>
        <w:spacing w:after="30"/>
        <w:ind w:left="317"/>
      </w:pPr>
      <w:r>
        <w:rPr>
          <w:b/>
          <w:color w:val="222222"/>
          <w:sz w:val="20"/>
        </w:rPr>
        <w:t>Diplomado: Desarrollo de Habilidades Directivas (240 h)</w:t>
      </w:r>
      <w:r>
        <w:rPr>
          <w:b w:val="0"/>
          <w:color w:val="222222"/>
          <w:sz w:val="20"/>
        </w:rPr>
        <w:t xml:space="preserve"> — Facultad de Ingeniería, UNAM · Mar 2024 · Folio 4283</w:t>
      </w:r>
    </w:p>
    <w:p>
      <w:pPr>
        <w:pStyle w:val="ListBullet"/>
        <w:spacing w:after="30"/>
        <w:ind w:left="317"/>
      </w:pPr>
      <w:r>
        <w:rPr>
          <w:b/>
          <w:color w:val="222222"/>
          <w:sz w:val="20"/>
        </w:rPr>
        <w:t>SnapLogic Integrator Certification</w:t>
      </w:r>
      <w:r>
        <w:rPr>
          <w:b w:val="0"/>
          <w:color w:val="222222"/>
          <w:sz w:val="20"/>
        </w:rPr>
        <w:t xml:space="preserve"> — SnapLogic · Ago 2023 · verify.skilljar.com/c/ewn4n2hoqxh5</w:t>
      </w:r>
    </w:p>
    <w:p>
      <w:pPr>
        <w:pStyle w:val="ListBullet"/>
        <w:spacing w:after="30"/>
        <w:ind w:left="317"/>
      </w:pPr>
      <w:r>
        <w:rPr>
          <w:b/>
          <w:color w:val="222222"/>
          <w:sz w:val="20"/>
        </w:rPr>
        <w:t>Google Data Analytics Professional Certificate</w:t>
      </w:r>
      <w:r>
        <w:rPr>
          <w:b w:val="0"/>
          <w:color w:val="222222"/>
          <w:sz w:val="20"/>
        </w:rPr>
        <w:t xml:space="preserve"> — Google / Coursera · Mar 2023 · coursera.org/share/ef3d02dd5eafc5509d940ecdb1be61b2</w:t>
      </w:r>
    </w:p>
    <w:p>
      <w:pPr>
        <w:pStyle w:val="ListBullet"/>
        <w:spacing w:after="30"/>
        <w:ind w:left="317"/>
      </w:pPr>
      <w:r>
        <w:rPr>
          <w:b/>
          <w:color w:val="222222"/>
          <w:sz w:val="20"/>
        </w:rPr>
        <w:t>Microsoft Certified: Azure Fundamentals (AZ-900)</w:t>
      </w:r>
      <w:r>
        <w:rPr>
          <w:b w:val="0"/>
          <w:color w:val="222222"/>
          <w:sz w:val="20"/>
        </w:rPr>
        <w:t xml:space="preserve"> — Microsoft vía Certiport · Jun 2020</w:t>
      </w:r>
    </w:p>
    <w:p>
      <w:pPr>
        <w:spacing w:after="20" w:before="60"/>
      </w:pPr>
      <w:r>
        <w:rPr>
          <w:b/>
          <w:color w:val="222222"/>
          <w:sz w:val="20"/>
        </w:rPr>
        <w:t xml:space="preserve">Formación continua (Udemy, 2025): </w:t>
      </w:r>
      <w:r>
        <w:rPr>
          <w:b w:val="0"/>
          <w:color w:val="222222"/>
          <w:sz w:val="20"/>
        </w:rPr>
        <w:t>Curso Práctico SQL Server: De Principiante a Experto · SQL Consultas en SQL Server · Administrador Linux – Curso completo desde cero (LPIC-1) · Ciberseguridad – CompTIA Security+ Módulo 1 · Ciberseguridad: Protege tu información de cibercriminales. Formación oficial en la plataforma TIBCO EBX.</w:t>
      </w:r>
    </w:p>
    <w:p>
      <w:pPr>
        <w:spacing w:after="60" w:before="180"/>
        <w:pBdr>
          <w:bottom w:val="single" w:sz="8" w:space="1" w:color="1F5FA8"/>
        </w:pBdr>
      </w:pPr>
      <w:r>
        <w:rPr>
          <w:b/>
          <w:color w:val="1F5FA8"/>
          <w:sz w:val="21"/>
        </w:rPr>
        <w:t>IDIOMAS</w:t>
      </w:r>
    </w:p>
    <w:p>
      <w:pPr>
        <w:spacing w:after="0" w:before="0"/>
      </w:pPr>
      <w:r>
        <w:rPr>
          <w:b w:val="0"/>
          <w:color w:val="222222"/>
          <w:sz w:val="20"/>
        </w:rPr>
        <w:t>Español — Nativo     |     Inglés — B2 (competencia técnica)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