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qu1j1jqharw" w:id="0"/>
      <w:bookmarkEnd w:id="0"/>
      <w:r w:rsidDel="00000000" w:rsidR="00000000" w:rsidRPr="00000000">
        <w:rPr>
          <w:rtl w:val="0"/>
        </w:rPr>
        <w:t xml:space="preserve">A Photographic Essay on Educational Technology in the African Community</w:t>
      </w:r>
    </w:p>
    <w:p w:rsidR="00000000" w:rsidDel="00000000" w:rsidP="00000000" w:rsidRDefault="00000000" w:rsidRPr="00000000" w14:paraId="00000002">
      <w:pPr>
        <w:pStyle w:val="Heading1"/>
        <w:rPr/>
      </w:pPr>
      <w:bookmarkStart w:colFirst="0" w:colLast="0" w:name="_ebdaj5oxf78r" w:id="1"/>
      <w:bookmarkEnd w:id="1"/>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drawing>
          <wp:inline distB="114300" distT="114300" distL="114300" distR="114300">
            <wp:extent cx="4762500" cy="344805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762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The "Digital Divide" in African communities represents a profound structural barrier that extends far beyond a simple lack of internet access. While urban centers thrive as high-speed technological hubs, rural areas often struggle with basic connectivity, creating a tiered educational landscape. This gap significantly impacts the youngest members of the community, as students in underserved regions are denied the vast global databases and interactive learning platforms available to their urban peers. Consequently, a child’s geographical location becomes a primary determinant of their ability to compete in a globalized, tech-driven economy, effectively stalling social and economic mobility from a young age.</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The divide further manifests as a "homework gap" where the inequality of the classroom follows the student home. Even if a school provides limited computer access during the day, rural students frequently return to households without electricity or affordable broadband, making research-based assignments impossible to complete. This disparity is often compounded by a lack of personal devices; while an urban student may have a dedicated laptop, a rural family might share a single low-specification smartphone. This constant struggle for access prevents students from developing the intuitive digital fluency required for modern higher education and professional life.</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Furthermore, the divide impacts the quality of instruction, as educators in remote areas often lack the professional development opportunities found in connected cities. Without reliable internet, teachers cannot access modern pedagogical resources or participate in global training webinars, further isolating rural classrooms. This isolation is often exacerbated by a lack of localized digital content, meaning that when students do gain access, the material may be in a foreign language or culturally disconnected from their daily lives. Addressing this issue requires not just hardware, but a concerted effort to produce local digital resources that resonate with the community's specific language and values.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Ultimately, the digital divide is an issue of equity and human rights within the African community. It creates a cycle where those without access are less likely to acquire the 21st-century skills such as evaluating source credibility or mastering productivity software needed to break the cycle of poverty. By documenting these challenges through a photographic essay, the narrative shifts toward identifying the resilience of these students and the urgent need for inclusive infrastructure. The goal is a future where educational equity is no longer a privilege of the urban elite, but a standard accessible to every child regardless of their proximity to a cell tower.</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r3huhmlbw4mk" w:id="2"/>
      <w:bookmarkEnd w:id="2"/>
      <w:r w:rsidDel="00000000" w:rsidR="00000000" w:rsidRPr="00000000">
        <w:rPr>
          <w:rtl w:val="0"/>
        </w:rPr>
        <w:t xml:space="preserve">The Infrastructure Challenge</w:t>
      </w:r>
    </w:p>
    <w:p w:rsidR="00000000" w:rsidDel="00000000" w:rsidP="00000000" w:rsidRDefault="00000000" w:rsidRPr="00000000" w14:paraId="0000000F">
      <w:pPr>
        <w:rPr/>
      </w:pPr>
      <w:r w:rsidDel="00000000" w:rsidR="00000000" w:rsidRPr="00000000">
        <w:rPr/>
        <w:drawing>
          <wp:inline distB="114300" distT="114300" distL="114300" distR="114300">
            <wp:extent cx="5591175" cy="385756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591175" cy="385756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2"/>
        <w:spacing w:after="240" w:before="240" w:lineRule="auto"/>
        <w:rPr>
          <w:sz w:val="24"/>
          <w:szCs w:val="24"/>
        </w:rPr>
      </w:pPr>
      <w:bookmarkStart w:colFirst="0" w:colLast="0" w:name="_42zw93by1cf0" w:id="3"/>
      <w:bookmarkEnd w:id="3"/>
      <w:r w:rsidDel="00000000" w:rsidR="00000000" w:rsidRPr="00000000">
        <w:rPr>
          <w:sz w:val="24"/>
          <w:szCs w:val="24"/>
          <w:rtl w:val="0"/>
        </w:rPr>
        <w:t xml:space="preserve">The physical infrastructure of a community serves as the essential foundation for all digital advancement, yet in many regions, this foundation remains incomplete. The primary hurdle is often physical, as the absence of a consistent utility grid creates a significant barrier to education. Without reliable electricity, hardware cannot be powered or maintained, and without affordable broadband, schools are unable to integrate modern digital tools into their curriculum. Identifying these infrastructural bottlenecks is crucial, as even the most sophisticated software remains entirely inaccessible if the basic requirements of power and connectivity are not met.</w:t>
      </w:r>
    </w:p>
    <w:p w:rsidR="00000000" w:rsidDel="00000000" w:rsidP="00000000" w:rsidRDefault="00000000" w:rsidRPr="00000000" w14:paraId="00000011">
      <w:pPr>
        <w:pStyle w:val="Heading2"/>
        <w:spacing w:after="240" w:before="240" w:lineRule="auto"/>
        <w:rPr>
          <w:sz w:val="24"/>
          <w:szCs w:val="24"/>
        </w:rPr>
      </w:pPr>
      <w:bookmarkStart w:colFirst="0" w:colLast="0" w:name="_ykk5hnxh675m" w:id="4"/>
      <w:bookmarkEnd w:id="4"/>
      <w:r w:rsidDel="00000000" w:rsidR="00000000" w:rsidRPr="00000000">
        <w:rPr>
          <w:sz w:val="24"/>
          <w:szCs w:val="24"/>
          <w:rtl w:val="0"/>
        </w:rPr>
        <w:t xml:space="preserve">To address these challenges, sustainable stop-gap solutions are being implemented to ensure students remain competitive. Solar-powered systems provide schools with a decentralized energy source, allowing technology to function independently of a national power grid. Similarly, offline digital libraries local servers that store vast amounts of educational data permit students to navigate resources like encyclopedias and textbooks without needing an active internet connection. By focusing on these localized solutions, communities can bypass traditional infrastructure delays, ensuring that the current generation of students is not left behind while waiting for physical grid connectivity.</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pStyle w:val="Heading2"/>
        <w:rPr/>
      </w:pPr>
      <w:bookmarkStart w:colFirst="0" w:colLast="0" w:name="_42zw93by1cf0" w:id="3"/>
      <w:bookmarkEnd w:id="3"/>
      <w:r w:rsidDel="00000000" w:rsidR="00000000" w:rsidRPr="00000000">
        <w:rPr>
          <w:rtl w:val="0"/>
        </w:rPr>
        <w:t xml:space="preserve">Section 2: The Human Element</w:t>
      </w:r>
    </w:p>
    <w:p w:rsidR="00000000" w:rsidDel="00000000" w:rsidP="00000000" w:rsidRDefault="00000000" w:rsidRPr="00000000" w14:paraId="00000014">
      <w:pPr>
        <w:rPr>
          <w:sz w:val="24"/>
          <w:szCs w:val="24"/>
        </w:rPr>
      </w:pPr>
      <w:r w:rsidDel="00000000" w:rsidR="00000000" w:rsidRPr="00000000">
        <w:rPr/>
        <w:drawing>
          <wp:inline distB="114300" distT="114300" distL="114300" distR="114300">
            <wp:extent cx="5943600" cy="42926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4292600"/>
                    </a:xfrm>
                    <a:prstGeom prst="rect"/>
                    <a:ln/>
                  </pic:spPr>
                </pic:pic>
              </a:graphicData>
            </a:graphic>
          </wp:inline>
        </w:drawing>
      </w:r>
      <w:r w:rsidDel="00000000" w:rsidR="00000000" w:rsidRPr="00000000">
        <w:rPr>
          <w:sz w:val="24"/>
          <w:szCs w:val="24"/>
          <w:rtl w:val="0"/>
        </w:rPr>
        <w:t xml:space="preserve">The challenge of bridging the digital divide extends far beyond the mere provision of hardware; it fundamentally involves the critical development of digital literacy. In many African communities, the successful integration of technology depends less on the devices themselves and more on the human element driving their use. As digital tools become more prevalent, the role of the educator is undergoing a significant transformation. Teachers are no longer just traditional instructors delivering a fixed curriculum; they have become technological pioneers who must navigate and master new platforms to guide their students through an increasingly complex digital landscape.</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These educators often demonstrate a profound commitment to community empowerment, frequently using their own limited personal resources to ensure their students are not excluded from the globalized economy. In many rural or underfunded classrooms, a single laptop or smartphone must serve an entire group of learners. This creates a unique, collaborative learning environment where that solitary device becomes a collective window to the world. By documenting these spaces, it becomes clear how teachers facilitate shared discovery, turning a scarcity of hardware into an opportunity for teamwork and peer-to-peer knowledge exchange.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This shift in the educational paradigm emphasizes that digital literacy is a social process as much as a technical one. The expertise required to document these environments involves capturing the nuance of how a community adapts to technological change. It highlights the resilience of instructors who bridge the gap between their students' current realities and their future potential. Through this lens, the photographic narrative focuses on the teacher as a vital catalyst for change, ensuring that even with minimal equipment, the sparks of curiosity and global connection are ignited within the classroom.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jqtf7xyjozy3" w:id="5"/>
      <w:bookmarkEnd w:id="5"/>
      <w:r w:rsidDel="00000000" w:rsidR="00000000" w:rsidRPr="00000000">
        <w:rPr>
          <w:rtl w:val="0"/>
        </w:rPr>
        <w:t xml:space="preserve">Section 3: The Path Forward</w:t>
      </w:r>
    </w:p>
    <w:p w:rsidR="00000000" w:rsidDel="00000000" w:rsidP="00000000" w:rsidRDefault="00000000" w:rsidRPr="00000000" w14:paraId="0000001A">
      <w:pPr>
        <w:rPr/>
      </w:pPr>
      <w:r w:rsidDel="00000000" w:rsidR="00000000" w:rsidRPr="00000000">
        <w:rPr>
          <w:rtl w:val="0"/>
        </w:rPr>
        <w:t xml:space="preserve">   </w:t>
      </w:r>
      <w:r w:rsidDel="00000000" w:rsidR="00000000" w:rsidRPr="00000000">
        <w:rPr/>
        <w:drawing>
          <wp:inline distB="114300" distT="114300" distL="114300" distR="114300">
            <wp:extent cx="5943600" cy="59436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 core objective of modern developmental efforts is shifting away from the mere distribution of physical tools toward the intentional fostering of a culture of innovation. By integrating low-cost computing hardware and leveraging mobile-first platforms, many African communities are engaging in a process known as "leapfrogging." This phenomenon occurs when a society skips over older, traditional stages of development such as the widespread installation of landline telephones or the establishment of massive physical banking branches and moves directly into advanced mobile solutions that better suit the local context.</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Sustainable growth is increasingly driven by localized technological solutions, consisting of applications and systems built by Africans specifically for the African market. These home-grown innovations address unique regional challenges, such as mobile payment systems for the unbanked or agricultural apps that provide weather data to small-scale farmers in local languages. Highlighting these advancements reveals a critical truth: the primary barrier to progress is not a deficit of talent or creativity within the community, but rather a persistent lack of access to the global digital stage where such talent can be showcased and scaled.</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Through a photographic lens, the narrative focuses on the empowerment that results when creators are given the necessary resources to solve their own problems. The visual story moves past the idea of charity and instead documents a vibrant ecosystem of developers, engineers, and entrepreneurs who are redefining their own futures. This perspective clarifies that providing digital access is not an end in itself, but a means to unlock the immense latent potential already present within the community, allowing local ingenuity to thrive on a global scale.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pdi9n2gchqlp" w:id="6"/>
      <w:bookmarkEnd w:id="6"/>
      <w:r w:rsidDel="00000000" w:rsidR="00000000" w:rsidRPr="00000000">
        <w:rPr>
          <w:b w:val="1"/>
          <w:bCs w:val="1"/>
          <w:color w:val="000000"/>
          <w:sz w:val="26"/>
          <w:szCs w:val="26"/>
          <w:rtl w:val="0"/>
        </w:rPr>
        <w:t xml:space="preserve"> Financial Empowerment through Mobile Tech</w:t>
      </w:r>
    </w:p>
    <w:p w:rsidR="00000000" w:rsidDel="00000000" w:rsidP="00000000" w:rsidRDefault="00000000" w:rsidRPr="00000000" w14:paraId="00000021">
      <w:pPr>
        <w:rPr/>
      </w:pPr>
      <w:r w:rsidDel="00000000" w:rsidR="00000000" w:rsidRPr="00000000">
        <w:rPr/>
        <w:drawing>
          <wp:inline distB="114300" distT="114300" distL="114300" distR="114300">
            <wp:extent cx="2562225" cy="1905000"/>
            <wp:effectExtent b="0" l="0" r="0" t="0"/>
            <wp:docPr id="1" name="image5.png"/>
            <a:graphic>
              <a:graphicData uri="http://schemas.openxmlformats.org/drawingml/2006/picture">
                <pic:pic>
                  <pic:nvPicPr>
                    <pic:cNvPr id="0" name="image5.png"/>
                    <pic:cNvPicPr preferRelativeResize="0"/>
                  </pic:nvPicPr>
                  <pic:blipFill>
                    <a:blip r:embed="rId10"/>
                    <a:srcRect b="0" l="0" r="-6746" t="0"/>
                    <a:stretch>
                      <a:fillRect/>
                    </a:stretch>
                  </pic:blipFill>
                  <pic:spPr>
                    <a:xfrm>
                      <a:off x="0" y="0"/>
                      <a:ext cx="25622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The transformative power of mobile technology represents a critical economic shift within many African communities, acting as a primary engine for financial inclusion. In many regions, the traditional banking infrastructure characterized by physical brick-and-mortar branches and complex credit requirements has historically excluded a vast majority of the population. However, the widespread adoption of mobile phones has allowed communities to bypass these legacy systems entirely. By utilizing digital payment ecosystems, vendors in even the most remote marketplaces can now engage in secure, instant transactions, effectively bringing the "unbanked" into the formal economy without the need for traditional bank accounts.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This shift is particularly impactful for entrepreneurs and women working within the informal sector. Mobile banking provides these individuals with a digital identity and a verifiable transaction history, which are essential for accessing micro-loans, managing savings, and protecting their earnings from physical theft. Visual documentation of vibrant marketplaces highlights this reality, showing how a simple handheld device serves as a comprehensive financial toolkit. This digital autonomy allows small-scale business owners to scale their operations and manage supply chains with a level of efficiency that was previously impossible, fostering a new wave of grassroots economic growth.</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Furthermore, the integration of these digital ecosystems builds profound community resilience despite geographical isolation. When a marketplace is digitally connected, it is no longer limited by the physical circulation of cash or the constraints of local distance. Entrepreneurs can receive payments from across the country or pay distant suppliers instantly, mitigating the risks associated with long-distance travel and delayed settlements. This connectivity ensures that local economies remain robust and adaptable, proving that mobile technology is not just a tool for communication, but a foundational pillar for sustainable economic independence and regional stability.</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v2p0ipkdk48f" w:id="7"/>
      <w:bookmarkEnd w:id="7"/>
      <w:r w:rsidDel="00000000" w:rsidR="00000000" w:rsidRPr="00000000">
        <w:rPr>
          <w:b w:val="1"/>
          <w:bCs w:val="1"/>
          <w:color w:val="000000"/>
          <w:sz w:val="26"/>
          <w:szCs w:val="26"/>
          <w:rtl w:val="0"/>
        </w:rPr>
        <w:t xml:space="preserve"> Preserving Heritage in a Digital Age</w:t>
      </w:r>
    </w:p>
    <w:p w:rsidR="00000000" w:rsidDel="00000000" w:rsidP="00000000" w:rsidRDefault="00000000" w:rsidRPr="00000000" w14:paraId="00000027">
      <w:pPr>
        <w:rPr/>
      </w:pPr>
      <w:r w:rsidDel="00000000" w:rsidR="00000000" w:rsidRPr="00000000">
        <w:rPr/>
        <w:drawing>
          <wp:inline distB="114300" distT="114300" distL="114300" distR="114300">
            <wp:extent cx="3333750" cy="2400998"/>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333750" cy="240099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The preservation of heritage within a digital age is a complex and vital endeavor that seeks to harmonize ancient traditions with modern innovation. As communities across the continent undergo rapid technological transformation, there is a legitimate concern that ancestral knowledge and indigenous languages might be overshadowed by globalized digital culture. However, the integration of technology is increasingly being used as a defensive tool for cultural survival. By utilizing digital archiving, communities are able to record and store fragile oral histories, traditional music, and linguistic nuances in formats that are immune to the physical decay of time.</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This movement is further amplified through the power of social media storytelling, which allows for the wide-scale dissemination of cultural pride. Indigenous languages, once restricted to localized speech, are now finding new life in digital spaces, where younger generations can engage with their heritage through modern interfaces. This transition ensures that as a community progresses economically and technologically, it does not suffer from cultural erasure. Instead, digital tools serve as a bridge, carrying the weight of the past into the future and ensuring that identity remains a central pillar of modern development.</w:t>
      </w:r>
      <w:r w:rsidDel="00000000" w:rsidR="00000000" w:rsidRPr="00000000">
        <w:rPr>
          <w:rtl w:val="0"/>
        </w:rPr>
      </w:r>
    </w:p>
    <w:p w:rsidR="00000000" w:rsidDel="00000000" w:rsidP="00000000" w:rsidRDefault="00000000" w:rsidRPr="00000000" w14:paraId="0000002B">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Expanding Healthcare Access</w:t>
      </w:r>
    </w:p>
    <w:p w:rsidR="00000000" w:rsidDel="00000000" w:rsidP="00000000" w:rsidRDefault="00000000" w:rsidRPr="00000000" w14:paraId="0000002C">
      <w:pPr>
        <w:rPr/>
      </w:pPr>
      <w:r w:rsidDel="00000000" w:rsidR="00000000" w:rsidRPr="00000000">
        <w:rPr/>
        <w:drawing>
          <wp:inline distB="114300" distT="114300" distL="114300" distR="114300">
            <wp:extent cx="2833688" cy="19050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833688"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The advancement of telemedicine represents a critical leap in achieving health equity, effectively bridging the vast geographical divide between specialized urban medical centers and underserved rural clinics. In many regions, the physical distance to a hospital can be a matter of life or death, but the integration of digital health platforms allows for the real-time exchange of medical expertise. Through these advancements, a nurse in a remote village can consult with a specialist hundreds of miles away, ensuring that high-quality diagnostic and treatment advice is no longer a privilege reserved solely for those living in major cities.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The practical application of this technology is most visible through the use of mobile health diagnostic tools and the deployment of autonomous delivery systems. Portable devices, often connected to smartphones, allow for the immediate testing and monitoring of vital signs, which can then be transmitted to central databases for analysis. Furthermore, the use of drone-delivered medical supplies has revolutionized the supply chain for life-saving materials, such as blood packets, vaccines, and emergency medications. These drones bypass unreliable road infrastructure, reaching isolated areas in a fraction of the time traditional transport would require.</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This visual segment of the photographic essay highlights that critical care is becoming increasingly accessible in real-time, regardless of a community's physical location. By documenting these technological interventions, the narrative identifies health equity as a primary focus for the community’s development. It showcases a shift toward a more inclusive healthcare model where technology acts as a lifeline, ensuring that the most remote populations are no longer excluded from modern medical progress.</w:t>
      </w:r>
    </w:p>
    <w:p w:rsidR="00000000" w:rsidDel="00000000" w:rsidP="00000000" w:rsidRDefault="00000000" w:rsidRPr="00000000" w14:paraId="00000030">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12"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