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Dann,</w:t>
      </w:r>
      <w:r>
        <w:t xml:space="preserve"> </w:t>
      </w:r>
      <w:r>
        <w:t xml:space="preserve">Michael</w:t>
      </w:r>
      <w:r>
        <w:t xml:space="preserve"> </w:t>
      </w:r>
      <w:r>
        <w:t xml:space="preserve">D.</w:t>
      </w:r>
      <w:r>
        <w:t xml:space="preserve"> </w:t>
      </w:r>
      <w:r>
        <w:t xml:space="preserve">Morgan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description-of-milo"/>
      <w:r>
        <w:t xml:space="preserve">Description of</w:t>
      </w:r>
      <w:r>
        <w:t xml:space="preserve"> </w:t>
      </w:r>
      <w:r>
        <w:rPr>
          <w:i/>
        </w:rPr>
        <w:t xml:space="preserve">Milo</w:t>
      </w:r>
      <w:bookmarkEnd w:id="20"/>
    </w:p>
    <w:p>
      <w:pPr>
        <w:pStyle w:val="Heading2"/>
      </w:pPr>
      <w:bookmarkStart w:id="21" w:name="building-the-knn-graph"/>
      <w:r>
        <w:t xml:space="preserve">Building the KNN graph</w:t>
      </w:r>
      <w:bookmarkEnd w:id="21"/>
    </w:p>
    <w:p>
      <w:pPr>
        <w:pStyle w:val="FirstParagraph"/>
      </w:pPr>
      <w:r>
        <w:t xml:space="preserve">Similarly to many other tasks in single-cell analysis,</w:t>
      </w:r>
      <w:r>
        <w:t xml:space="preserve"> </w:t>
      </w:r>
      <w:r>
        <w:rPr>
          <w:i/>
        </w:rPr>
        <w:t xml:space="preserve">Milo</w:t>
      </w:r>
      <w:r>
        <w:t xml:space="preserve"> </w:t>
      </w:r>
      <w:r>
        <w:t xml:space="preserve">uses a KNN graph computed based on similarities in gene expression space as a representation of the phenotypic manifold in which cells lie. While</w:t>
      </w:r>
      <w:r>
        <w:t xml:space="preserve"> </w:t>
      </w:r>
      <w:r>
        <w:rPr>
          <w:i/>
        </w:rPr>
        <w:t xml:space="preserve">Milo</w:t>
      </w:r>
      <w:r>
        <w:t xml:space="preserve"> </w:t>
      </w:r>
      <w:r>
        <w:t xml:space="preserve">can be used on graphs built with different similarity kernels, here we compute the graph as follows: for a gene expression matrix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cells is projected onto the first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principal components (PCs) to obtain a</w:t>
      </w:r>
      <w:r>
        <w:t xml:space="preserve"> </w:t>
      </w:r>
      <m:oMath>
        <m:r>
          <m:t>N</m:t>
        </m:r>
        <m:r>
          <m:t>×</m:t>
        </m:r>
        <m:r>
          <m:t>d</m:t>
        </m:r>
      </m:oMath>
      <w:r>
        <w:t xml:space="preserve"> </w:t>
      </w:r>
      <w:r>
        <w:t xml:space="preserve">matrix</w:t>
      </w:r>
      <w:r>
        <w:t xml:space="preserve"> </w:t>
      </w:r>
      <m:oMath>
        <m:sSub>
          <m:e>
            <m:r>
              <m:t>X</m:t>
            </m:r>
          </m:e>
          <m:sub>
            <m:r>
              <m:t>P</m:t>
            </m:r>
            <m:r>
              <m:t>C</m:t>
            </m:r>
          </m:sub>
        </m:sSub>
      </m:oMath>
      <w:r>
        <w:t xml:space="preserve">. Then, for each cell</w:t>
      </w:r>
      <w:r>
        <w:t xml:space="preserve"> </w:t>
      </w:r>
      <m:oMath>
        <m:r>
          <m:t>i</m:t>
        </m:r>
      </m:oMath>
      <w:r>
        <w:t xml:space="preserve">, the euclidean distances to its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nearest neighbors in</w:t>
      </w:r>
      <w:r>
        <w:t xml:space="preserve"> </w:t>
      </w:r>
      <m:oMath>
        <m:sSub>
          <m:e>
            <m:r>
              <m:t>X</m:t>
            </m:r>
          </m:e>
          <m:sub>
            <m:r>
              <m:t>P</m:t>
            </m:r>
            <m:r>
              <m:t>C</m:t>
            </m:r>
          </m:sub>
        </m:sSub>
      </m:oMath>
      <w:r>
        <w:t xml:space="preserve"> </w:t>
      </w:r>
      <w:r>
        <w:t xml:space="preserve">are computed and stored in a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 </w:t>
      </w:r>
      <w:r>
        <w:t xml:space="preserve">adjacency matrix. Then,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symmetrized, such that cells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are nearest neighbors (i.e. connected by an edge) if either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nearest neighbor of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nearest neighbor of</w:t>
      </w:r>
      <w:r>
        <w:t xml:space="preserve"> </w:t>
      </w:r>
      <m:oMath>
        <m:r>
          <m:t>i</m:t>
        </m:r>
      </m:oMath>
      <w:r>
        <w:t xml:space="preserve">. The KNN graph is encoded by the undirected symmetric version of</w:t>
      </w:r>
      <w:r>
        <w:t xml:space="preserve"> </w:t>
      </w:r>
      <m:oMath>
        <m:acc>
          <m:accPr>
            <m:chr m:val="̃"/>
          </m:accPr>
          <m:e>
            <m:r>
              <m:t>D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D</m:t>
        </m:r>
      </m:oMath>
      <w:r>
        <w:t xml:space="preserve">, where each cell has at least K nearest neighbors.</w:t>
      </w:r>
    </w:p>
    <w:p>
      <w:pPr>
        <w:pStyle w:val="Heading2"/>
      </w:pPr>
      <w:bookmarkStart w:id="22" w:name="X3f691c51864a28e3eb4caa849eef9f89c662267"/>
      <w:r>
        <w:t xml:space="preserve">Definition of cell neighbourhoods and index sampling algorithm</w:t>
      </w:r>
      <w:bookmarkEnd w:id="22"/>
    </w:p>
    <w:p>
      <w:pPr>
        <w:pStyle w:val="FirstParagraph"/>
      </w:pPr>
      <w:r>
        <w:t xml:space="preserve">We define the neighbourhood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of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the group of cells that are connected to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by an edge in the graph.</w:t>
      </w:r>
      <w:r>
        <w:t xml:space="preserve"> </w:t>
      </w:r>
      <w:r>
        <w:t xml:space="preserve"> </w:t>
      </w:r>
      <w:r>
        <w:t xml:space="preserve">Formally, a cell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belongs to neighbourhood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D</m:t>
                </m:r>
              </m:e>
            </m:acc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&gt;</m:t>
        </m:r>
        <m:r>
          <m:t>0</m:t>
        </m:r>
      </m:oMath>
      <w:r>
        <w:t xml:space="preserve">. We refer to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the index of the neighbourhood.</w:t>
      </w:r>
    </w:p>
    <w:p>
      <w:pPr>
        <w:pStyle w:val="BodyText"/>
      </w:pPr>
      <w:r>
        <w:t xml:space="preserve">In order to define a representative subset of neighbourhoods that span the whole KNN graph, we implement a previously adopted algorithm to sample the index cells in a graph</w:t>
      </w:r>
      <w:r>
        <w:t xml:space="preserve"> </w:t>
      </w:r>
      <w:r>
        <w:t xml:space="preserve">(Gut et al. 2015; Setty et al. 2016)</w:t>
      </w:r>
      <w:r>
        <w:t xml:space="preserve">.</w:t>
      </w:r>
      <w:r>
        <w:t xml:space="preserve"> </w:t>
      </w:r>
      <w:r>
        <w:t xml:space="preserve">Briefly, we start by randomly sampling</w:t>
      </w:r>
      <w:r>
        <w:t xml:space="preserve"> </w:t>
      </w:r>
      <m:oMath>
        <m:r>
          <m:t>p</m:t>
        </m:r>
        <m:r>
          <m:t>⋅</m:t>
        </m:r>
        <m:r>
          <m:t>N</m:t>
        </m:r>
      </m:oMath>
      <w:r>
        <w:t xml:space="preserve"> </w:t>
      </w:r>
      <w:r>
        <w:t xml:space="preserve">cells from the dataset, where</w:t>
      </w:r>
      <w:r>
        <w:t xml:space="preserve"> </w:t>
      </w:r>
      <m:oMath>
        <m:r>
          <m:t>p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(we use</w:t>
      </w:r>
      <w:r>
        <w:t xml:space="preserve"> </w:t>
      </w:r>
      <m:oMath>
        <m:r>
          <m:t>p</m:t>
        </m:r>
        <m:r>
          <m:t>=</m:t>
        </m:r>
        <m:r>
          <m:t>0.1</m:t>
        </m:r>
      </m:oMath>
      <w:r>
        <w:t xml:space="preserve"> </w:t>
      </w:r>
      <w:r>
        <w:t xml:space="preserve">by default).</w:t>
      </w:r>
      <w:r>
        <w:t xml:space="preserve"> </w:t>
      </w:r>
      <w:r>
        <w:t xml:space="preserve">Given the reduced dimension matrix used for graph construction</w:t>
      </w:r>
      <w:r>
        <w:t xml:space="preserve"> </w:t>
      </w:r>
      <m:oMath>
        <m:sSub>
          <m:e>
            <m:r>
              <m:t>X</m:t>
            </m:r>
          </m:e>
          <m:sub>
            <m:r>
              <m:t>P</m:t>
            </m:r>
            <m:r>
              <m:t>C</m:t>
            </m:r>
          </m:sub>
        </m:sSub>
      </m:oMath>
      <w:r>
        <w:t xml:space="preserve">, for each sampled cell we consider its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nearest neighbors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k</m:t>
        </m:r>
      </m:oMath>
      <w:r>
        <w:t xml:space="preserve"> </w:t>
      </w:r>
      <w:r>
        <w:t xml:space="preserve">with PC profiles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k</m:t>
            </m:r>
          </m:sub>
        </m:sSub>
      </m:oMath>
      <w:r>
        <w:t xml:space="preserve">. We measure the mean PC profile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for the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cells and search for the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such that the euclidean distance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minimized. This yields a set of</w:t>
      </w:r>
      <w:r>
        <w:t xml:space="preserve"> </w:t>
      </w:r>
      <m:oMath>
        <m:r>
          <m:t>M</m:t>
        </m:r>
        <m:r>
          <m:t>≤</m:t>
        </m:r>
        <m:r>
          <m:t>p</m:t>
        </m:r>
        <m:r>
          <m:t>⋅</m:t>
        </m:r>
        <m:r>
          <m:t>N</m:t>
        </m:r>
      </m:oMath>
      <w:r>
        <w:t xml:space="preserve"> </w:t>
      </w:r>
      <w:r>
        <w:t xml:space="preserve">index cells that are used to define neighbourhoods.</w:t>
      </w:r>
    </w:p>
    <w:p>
      <w:pPr>
        <w:pStyle w:val="Heading2"/>
      </w:pPr>
      <w:bookmarkStart w:id="23" w:name="X1b3a9216ef01c4c618e4e02a3c6b6f331be4551"/>
      <w:r>
        <w:t xml:space="preserve">Testing for differential abundance in neighbourhoods</w:t>
      </w:r>
      <w:bookmarkEnd w:id="23"/>
    </w:p>
    <w:p>
      <w:pPr>
        <w:pStyle w:val="FirstParagraph"/>
      </w:pPr>
      <w:r>
        <w:rPr>
          <w:i/>
        </w:rPr>
        <w:t xml:space="preserve">Milo</w:t>
      </w:r>
      <w:r>
        <w:t xml:space="preserve"> </w:t>
      </w:r>
      <w:r>
        <w:t xml:space="preserve">builds upon the framework for differential abundance testing implemented by</w:t>
      </w:r>
      <w:r>
        <w:t xml:space="preserve"> </w:t>
      </w:r>
      <w:r>
        <w:rPr>
          <w:i/>
        </w:rPr>
        <w:t xml:space="preserve">Cydar</w:t>
      </w:r>
      <w:r>
        <w:t xml:space="preserve"> </w:t>
      </w:r>
      <w:r>
        <w:t xml:space="preserve">(Lun, Richard, and Marioni 2017)</w:t>
      </w:r>
      <w:r>
        <w:t xml:space="preserve">. In this section, we briefly describe the statistical model and adaptations to the KNN graph setting.</w:t>
      </w:r>
    </w:p>
    <w:p>
      <w:pPr>
        <w:pStyle w:val="Heading3"/>
      </w:pPr>
      <w:bookmarkStart w:id="24" w:name="Xe1a276eb0a8f85c2501faf886a0b29192d63909"/>
      <w:r>
        <w:t xml:space="preserve">Quasi-likelihood negative bionomial generalized linear models</w:t>
      </w:r>
      <w:bookmarkEnd w:id="24"/>
    </w:p>
    <w:p>
      <w:pPr>
        <w:pStyle w:val="FirstParagraph"/>
      </w:pPr>
      <w:r>
        <w:t xml:space="preserve">We consider a neighbourhood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with cell counts</w:t>
      </w:r>
      <w:r>
        <w:t xml:space="preserve"> </w:t>
      </w:r>
      <m:oMath>
        <m:sSub>
          <m:e>
            <m:r>
              <m:t>y</m:t>
            </m:r>
          </m:e>
          <m:sub>
            <m:r>
              <m:t>n</m:t>
            </m:r>
            <m:r>
              <m:t>s</m:t>
            </m:r>
          </m:sub>
        </m:sSub>
      </m:oMath>
      <w:r>
        <w:t xml:space="preserve"> </w:t>
      </w:r>
      <w:r>
        <w:t xml:space="preserve">for each sample</w:t>
      </w:r>
      <w:r>
        <w:t xml:space="preserve"> </w:t>
      </w:r>
      <m:oMath>
        <m:r>
          <m:t>s</m:t>
        </m:r>
      </m:oMath>
      <w:r>
        <w:t xml:space="preserve">. The counts are modelled by the negative binomial (NB) distribution, as it is supported over all non-negative integers and can accurately model both small and large cell counts. For such non-normally distributed data we use generalized-linear models (GLMs) as an extension of classic linear models that can accomodate complex experimental designs. We therefore assume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n</m:t>
              </m:r>
              <m:r>
                <m:t>s</m:t>
              </m:r>
            </m:sub>
          </m:sSub>
          <m:r>
            <m:t>∼</m:t>
          </m:r>
          <m:r>
            <m:t>N</m:t>
          </m:r>
          <m:r>
            <m:t>B</m:t>
          </m:r>
          <m:r>
            <m:t>(</m:t>
          </m:r>
          <m:sSub>
            <m:e>
              <m:r>
                <m:t>μ</m:t>
              </m:r>
            </m:e>
            <m:sub>
              <m:r>
                <m:t>n</m:t>
              </m:r>
              <m:r>
                <m:t>s</m:t>
              </m:r>
            </m:sub>
          </m:sSub>
          <m:r>
            <m:t>,</m:t>
          </m:r>
          <m:sSub>
            <m:e>
              <m:r>
                <m:t>ϕ</m:t>
              </m:r>
            </m:e>
            <m:sub>
              <m:r>
                <m:t>n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μ</m:t>
            </m:r>
          </m:e>
          <m:sub>
            <m:r>
              <m:t>n</m:t>
            </m:r>
            <m:r>
              <m:t>s</m:t>
            </m:r>
          </m:sub>
        </m:sSub>
      </m:oMath>
      <w:r>
        <w:t xml:space="preserve"> </w:t>
      </w:r>
      <w:r>
        <w:t xml:space="preserve">is the mean and</w:t>
      </w:r>
      <w:r>
        <w:t xml:space="preserve"> </w:t>
      </w:r>
      <m:oMath>
        <m:sSub>
          <m:e>
            <m:r>
              <m:t>ϕ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the NB dispersion parameter.</w:t>
      </w:r>
      <w:r>
        <w:t xml:space="preserve"> </w:t>
      </w:r>
      <w:r>
        <w:t xml:space="preserve">The expected count value for neighbourhood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 sample</w:t>
      </w:r>
      <w:r>
        <w:t xml:space="preserve"> </w:t>
      </w:r>
      <m:oMath>
        <m:r>
          <m:t>s</m:t>
        </m:r>
      </m:oMath>
      <w:r>
        <w:t xml:space="preserve"> </w:t>
      </w:r>
      <m:oMath>
        <m:sSub>
          <m:e>
            <m:r>
              <m:t>μ</m:t>
            </m:r>
          </m:e>
          <m:sub>
            <m:r>
              <m:t>n</m:t>
            </m:r>
            <m:r>
              <m:t>s</m:t>
            </m:r>
          </m:sub>
        </m:sSub>
      </m:oMath>
      <w:r>
        <w:t xml:space="preserve"> </w:t>
      </w:r>
      <w:r>
        <w:t xml:space="preserve">is given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n</m:t>
              </m:r>
              <m:r>
                <m:t>s</m:t>
              </m:r>
            </m:sub>
          </m:sSub>
          <m:r>
            <m:t>=</m:t>
          </m:r>
          <m:sSub>
            <m:e>
              <m:r>
                <m:t>λ</m:t>
              </m:r>
            </m:e>
            <m:sub>
              <m:r>
                <m:t>n</m:t>
              </m:r>
              <m:r>
                <m:t>s</m:t>
              </m:r>
            </m:sub>
          </m:sSub>
          <m:sSub>
            <m:e>
              <m:r>
                <m:t>N</m:t>
              </m:r>
            </m:e>
            <m:sub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λ</m:t>
            </m:r>
          </m:e>
          <m:sub>
            <m:r>
              <m:t>n</m:t>
            </m:r>
            <m:r>
              <m:t>s</m:t>
            </m:r>
          </m:sub>
        </m:sSub>
      </m:oMath>
      <w:r>
        <w:t xml:space="preserve"> </w:t>
      </w:r>
      <w:r>
        <w:t xml:space="preserve">is the proportion of cells belonging to sample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total number of cells of</w:t>
      </w:r>
      <w:r>
        <w:t xml:space="preserve"> </w:t>
      </w:r>
      <m:oMath>
        <m:r>
          <m:t>s</m:t>
        </m:r>
      </m:oMath>
      <w:r>
        <w:t xml:space="preserve">. In practice,</w:t>
      </w:r>
      <w:r>
        <w:t xml:space="preserve"> </w:t>
      </w:r>
      <m:oMath>
        <m:sSub>
          <m:e>
            <m:r>
              <m:t>λ</m:t>
            </m:r>
          </m:e>
          <m:sub>
            <m:r>
              <m:t>n</m:t>
            </m:r>
            <m:r>
              <m:t>s</m:t>
            </m:r>
          </m:sub>
        </m:sSub>
      </m:oMath>
      <w:r>
        <w:t xml:space="preserve"> </w:t>
      </w:r>
      <w:r>
        <w:t xml:space="preserve">represents the biological variability that can be affected by treatment condition, age or any biological covariate of interest. We use a log-linear model to represent the influence of the biological condition on the expected counts in neighbourhoods: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 </m:t>
          </m:r>
          <m:sSub>
            <m:e>
              <m:r>
                <m:t>μ</m:t>
              </m:r>
            </m:e>
            <m:sub>
              <m:r>
                <m:t>n</m:t>
              </m:r>
              <m:r>
                <m:t>s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g</m:t>
              </m:r>
              <m: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s</m:t>
                  </m:r>
                  <m:r>
                    <m:t>g</m:t>
                  </m:r>
                </m:sub>
              </m:sSub>
            </m:e>
          </m:nary>
          <m:sSub>
            <m:e>
              <m:r>
                <m:t>β</m:t>
              </m:r>
            </m:e>
            <m:sub>
              <m:r>
                <m:t>n</m:t>
              </m:r>
              <m:r>
                <m:t>g</m:t>
              </m:r>
            </m:sub>
          </m:sSub>
          <m:r>
            <m:t>+</m:t>
          </m:r>
          <m:r>
            <m:t>l</m:t>
          </m:r>
          <m:r>
            <m:t>o</m:t>
          </m:r>
          <m:r>
            <m:t>g</m:t>
          </m:r>
          <m:r>
            <m:t> </m:t>
          </m:r>
          <m:sSub>
            <m:e>
              <m:r>
                <m:t>N</m:t>
              </m:r>
            </m:e>
            <m:sub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  <m:r>
          <m:t>g</m:t>
        </m:r>
      </m:oMath>
      <w:r>
        <w:t xml:space="preserve"> </w:t>
      </w:r>
      <w:r>
        <w:t xml:space="preserve">is the covariate vector indicating the condition applied to sample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n</m:t>
            </m:r>
            <m:r>
              <m:t>g</m:t>
            </m:r>
          </m:sub>
        </m:sSub>
      </m:oMath>
      <w:r>
        <w:t xml:space="preserve"> </w:t>
      </w:r>
      <w:r>
        <w:t xml:space="preserve">is the regression coefficient by which the covariate effects are mediated for neighbourhood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Estimation of</w:t>
      </w:r>
      <w:r>
        <w:t xml:space="preserve"> </w:t>
      </w:r>
      <m:oMath>
        <m:sSub>
          <m:e>
            <m:r>
              <m:t>β</m:t>
            </m:r>
          </m:e>
          <m:sub>
            <m:r>
              <m:t>n</m:t>
            </m:r>
            <m:r>
              <m:t>g</m:t>
            </m:r>
          </m:sub>
        </m:sSub>
      </m:oMath>
      <w:r>
        <w:t xml:space="preserve"> </w:t>
      </w:r>
      <w:r>
        <w:t xml:space="preserve">for each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performed by fitting the GLM to the count data for each neighbourhood, i.e. by estimating the dispersion</w:t>
      </w:r>
      <w:r>
        <w:t xml:space="preserve"> </w:t>
      </w:r>
      <m:oMath>
        <m:sSub>
          <m:e>
            <m:r>
              <m:t>ϕ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that models the variability of cell counts for replicate samples for each neighbourhood. Dispersion estimation is done using the quasi-likelihood method in</w:t>
      </w:r>
      <w:r>
        <w:t xml:space="preserve"> </w:t>
      </w:r>
      <w:r>
        <w:rPr>
          <w:rStyle w:val="VerbatimChar"/>
        </w:rPr>
        <w:t xml:space="preserve">edgeR</w:t>
      </w:r>
      <w:r>
        <w:t xml:space="preserve">(Robinson, McCarthy, and Smyth 2010)</w:t>
      </w:r>
      <w:r>
        <w:t xml:space="preserve">, where the dispersion is modelled from the GLM deviance and stabilized with empirical Bayes shrinkage, to stabilize the estimates in the presence of limited replication.</w:t>
      </w:r>
    </w:p>
    <w:p>
      <w:pPr>
        <w:pStyle w:val="Heading3"/>
      </w:pPr>
      <w:bookmarkStart w:id="25" w:name="Xe9a96951ae370385f77af65cddb1498bffba07d"/>
      <w:r>
        <w:t xml:space="preserve">Adaptation of Spatial FDR to neighbourhoods</w:t>
      </w:r>
      <w:bookmarkEnd w:id="25"/>
    </w:p>
    <w:p>
      <w:pPr>
        <w:pStyle w:val="FirstParagraph"/>
      </w:pPr>
      <w:r>
        <w:t xml:space="preserve">To control for multiple testing, we adapt the Spatial FDR method introduced by</w:t>
      </w:r>
      <w:r>
        <w:t xml:space="preserve"> </w:t>
      </w:r>
      <m:oMath>
        <m:r>
          <m:t>C</m:t>
        </m:r>
        <m:r>
          <m:t>y</m:t>
        </m:r>
        <m:r>
          <m:t>d</m:t>
        </m:r>
        <m:r>
          <m:t>a</m:t>
        </m:r>
        <m:r>
          <m:t>r</m:t>
        </m:r>
      </m:oMath>
      <w:r>
        <w:t xml:space="preserve"> </w:t>
      </w:r>
      <w:r>
        <w:t xml:space="preserve">(Lun, Richard, and Marioni 2017)</w:t>
      </w:r>
      <w:r>
        <w:t xml:space="preserve">. The Spatial FDR can be interpreted as the proportion of the union of neighbourhoods that is occupied by false-positive neighbourhoods. This accounts for the fact that some neighbourhoods are more densely connected than others. To control spatial FDR in the KNN graph, we apply a weighted version of the Benjamini-Hochberg (BH) method. Briefly, to control for FDR at some threshold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we reject null hypothesis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where the associated p-value is less than the threshold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max</m:t>
              </m:r>
            </m:e>
            <m:lim>
              <m:r>
                <m:t>i</m:t>
              </m:r>
            </m:lim>
          </m:limLow>
          <m:sSub>
            <m:e>
              <m:r>
                <m:t>p</m:t>
              </m:r>
            </m:e>
            <m:sub>
              <m:r>
                <m:t>(</m:t>
              </m:r>
              <m:r>
                <m:t>i</m:t>
              </m:r>
              <m:r>
                <m:t>)</m:t>
              </m:r>
            </m:sub>
          </m:sSub>
          <m:r>
            <m:t>:</m:t>
          </m:r>
          <m:sSub>
            <m:e>
              <m:r>
                <m:t>p</m:t>
              </m:r>
            </m:e>
            <m:sub>
              <m:r>
                <m:t>(</m:t>
              </m:r>
              <m:r>
                <m:t>i</m:t>
              </m:r>
              <m:r>
                <m:t>)</m:t>
              </m:r>
            </m:sub>
          </m:sSub>
          <m:r>
            <m:t>≤</m:t>
          </m:r>
          <m:r>
            <m:t>α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l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(</m:t>
                      </m:r>
                      <m:r>
                        <m:t>l</m:t>
                      </m:r>
                      <m:r>
                        <m:t>)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l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(</m:t>
                      </m:r>
                      <m:r>
                        <m:t>l</m:t>
                      </m:r>
                      <m:r>
                        <m:t>)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Where the weight</w:t>
      </w:r>
      <w:r>
        <w:t xml:space="preserve"> </w:t>
      </w:r>
      <m:oMath>
        <m:sSub>
          <m:e>
            <m:r>
              <m:t>w</m:t>
            </m:r>
          </m:e>
          <m:sub>
            <m:r>
              <m:t>(</m:t>
            </m:r>
            <m:r>
              <m:t>i</m:t>
            </m:r>
            <m:r>
              <m:t>)</m:t>
            </m:r>
          </m:sub>
        </m:sSub>
      </m:oMath>
      <w:r>
        <w:t xml:space="preserve"> </w:t>
      </w:r>
      <w:r>
        <w:t xml:space="preserve">is the reciprocal of the neighbourhood connectivity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. As a measure of neighbourhood connectivity, we use the euclidean distance to the kth nearest neighbour of the index cell for each neighbourhood.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26" w:name="references"/>
      <w:r>
        <w:t xml:space="preserve">References</w:t>
      </w:r>
      <w:bookmarkEnd w:id="26"/>
    </w:p>
    <w:bookmarkStart w:id="35" w:name="refs"/>
    <w:bookmarkStart w:id="28" w:name="X57f938d9f0c0e11d8cfa9283c4ea51fc2b84aee"/>
    <w:p>
      <w:pPr>
        <w:pStyle w:val="Bibliography"/>
      </w:pPr>
      <w:r>
        <w:t xml:space="preserve">Gut, Gabriele, Michelle D. Tadmor, Dana Pe’er, Lucas Pelkmans, and Prisca Liberali. 2015. “Trajectories of Cell-Cycle Progression from Fixed Cell Populations.”</w:t>
      </w:r>
      <w:r>
        <w:t xml:space="preserve"> </w:t>
      </w:r>
      <w:r>
        <w:rPr>
          <w:i/>
        </w:rPr>
        <w:t xml:space="preserve">Nature Methods</w:t>
      </w:r>
      <w:r>
        <w:t xml:space="preserve"> </w:t>
      </w:r>
      <w:r>
        <w:t xml:space="preserve">12 (10): 951–54.</w:t>
      </w:r>
      <w:r>
        <w:t xml:space="preserve"> </w:t>
      </w:r>
      <w:hyperlink r:id="rId27">
        <w:r>
          <w:rPr>
            <w:rStyle w:val="Hyperlink"/>
          </w:rPr>
          <w:t xml:space="preserve">https://doi.org/10.1038/nmeth.3545</w:t>
        </w:r>
      </w:hyperlink>
      <w:r>
        <w:t xml:space="preserve">.</w:t>
      </w:r>
    </w:p>
    <w:bookmarkEnd w:id="28"/>
    <w:bookmarkStart w:id="30" w:name="ref-lunTestingDifferentialAbundance2017"/>
    <w:p>
      <w:pPr>
        <w:pStyle w:val="Bibliography"/>
      </w:pPr>
      <w:r>
        <w:t xml:space="preserve">Lun, Aaron T. L., Arianne C. Richard, and John C. Marioni. 2017. “Testing for Differential Abundance in Mass Cytometry Data.”</w:t>
      </w:r>
      <w:r>
        <w:t xml:space="preserve"> </w:t>
      </w:r>
      <w:r>
        <w:rPr>
          <w:i/>
        </w:rPr>
        <w:t xml:space="preserve">Nature Methods</w:t>
      </w:r>
      <w:r>
        <w:t xml:space="preserve"> </w:t>
      </w:r>
      <w:r>
        <w:t xml:space="preserve">14 (7): 707–9.</w:t>
      </w:r>
      <w:r>
        <w:t xml:space="preserve"> </w:t>
      </w:r>
      <w:hyperlink r:id="rId29">
        <w:r>
          <w:rPr>
            <w:rStyle w:val="Hyperlink"/>
          </w:rPr>
          <w:t xml:space="preserve">https://doi.org/10.1038/nmeth.4295</w:t>
        </w:r>
      </w:hyperlink>
      <w:r>
        <w:t xml:space="preserve">.</w:t>
      </w:r>
    </w:p>
    <w:bookmarkEnd w:id="30"/>
    <w:bookmarkStart w:id="32" w:name="X8aad208e548dce47acb0e9933dff6675149053c"/>
    <w:p>
      <w:pPr>
        <w:pStyle w:val="Bibliography"/>
      </w:pPr>
      <w:r>
        <w:t xml:space="preserve">Robinson, Mark D., Davis J. McCarthy, and Gordon K. Smyth. 2010. “edgeR: A Bioconductor Package for Differential Expression Analysis of Digital Gene Expression Data.”</w:t>
      </w:r>
      <w:r>
        <w:t xml:space="preserve"> </w:t>
      </w:r>
      <w:r>
        <w:rPr>
          <w:i/>
        </w:rPr>
        <w:t xml:space="preserve">Bioinformatics</w:t>
      </w:r>
      <w:r>
        <w:t xml:space="preserve"> </w:t>
      </w:r>
      <w:r>
        <w:t xml:space="preserve">26 (1): 139–40.</w:t>
      </w:r>
      <w:r>
        <w:t xml:space="preserve"> </w:t>
      </w:r>
      <w:hyperlink r:id="rId31">
        <w:r>
          <w:rPr>
            <w:rStyle w:val="Hyperlink"/>
          </w:rPr>
          <w:t xml:space="preserve">https://doi.org/10.1093/bioinformatics/btp616</w:t>
        </w:r>
      </w:hyperlink>
      <w:r>
        <w:t xml:space="preserve">.</w:t>
      </w:r>
    </w:p>
    <w:bookmarkEnd w:id="32"/>
    <w:bookmarkStart w:id="34" w:name="Xf8f557aa62542a350ca695587ad518b2de526b6"/>
    <w:p>
      <w:pPr>
        <w:pStyle w:val="Bibliography"/>
      </w:pPr>
      <w:r>
        <w:t xml:space="preserve">Setty, Manu, Michelle D. Tadmor, Shlomit Reich-Zeliger, Omer Angel, Tomer Meir Salame, Pooja Kathail, Kristy Choi, Sean Bendall, Nir Friedman, and Dana Pe’er. 2016. “Wishbone Identifies Bifurcating Developmental Trajectories from Single-Cell Data.”</w:t>
      </w:r>
      <w:r>
        <w:t xml:space="preserve"> </w:t>
      </w:r>
      <w:r>
        <w:rPr>
          <w:i/>
        </w:rPr>
        <w:t xml:space="preserve">Nature Biotechnology</w:t>
      </w:r>
      <w:r>
        <w:t xml:space="preserve"> </w:t>
      </w:r>
      <w:r>
        <w:t xml:space="preserve">34 (6): 637–45.</w:t>
      </w:r>
      <w:r>
        <w:t xml:space="preserve"> </w:t>
      </w:r>
      <w:hyperlink r:id="rId33">
        <w:r>
          <w:rPr>
            <w:rStyle w:val="Hyperlink"/>
          </w:rPr>
          <w:t xml:space="preserve">https://doi.org/10.1038/nbt.3569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oi.org/10.1038/nbt.3569" TargetMode="External" /><Relationship Type="http://schemas.openxmlformats.org/officeDocument/2006/relationships/hyperlink" Id="rId27" Target="https://doi.org/10.1038/nmeth.3545" TargetMode="External" /><Relationship Type="http://schemas.openxmlformats.org/officeDocument/2006/relationships/hyperlink" Id="rId29" Target="https://doi.org/10.1038/nmeth.4295" TargetMode="External" /><Relationship Type="http://schemas.openxmlformats.org/officeDocument/2006/relationships/hyperlink" Id="rId31" Target="https://doi.org/10.1093/bioinformatics/btp6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i.org/10.1038/nbt.3569" TargetMode="External" /><Relationship Type="http://schemas.openxmlformats.org/officeDocument/2006/relationships/hyperlink" Id="rId27" Target="https://doi.org/10.1038/nmeth.3545" TargetMode="External" /><Relationship Type="http://schemas.openxmlformats.org/officeDocument/2006/relationships/hyperlink" Id="rId29" Target="https://doi.org/10.1038/nmeth.4295" TargetMode="External" /><Relationship Type="http://schemas.openxmlformats.org/officeDocument/2006/relationships/hyperlink" Id="rId31" Target="https://doi.org/10.1093/bioinformatics/btp6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methods</dc:title>
  <dc:creator>Emma Dann, Michael D. Morgan</dc:creator>
  <cp:keywords/>
  <dcterms:created xsi:type="dcterms:W3CDTF">2020-10-22T13:53:03Z</dcterms:created>
  <dcterms:modified xsi:type="dcterms:W3CDTF">2020-10-22T13:53:03Z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milo_bib.bib</vt:lpwstr>
  </property>
  <property fmtid="{D5CDD505-2E9C-101B-9397-08002B2CF9AE}" pid="3" name="date">
    <vt:lpwstr>22 October, 2020</vt:lpwstr>
  </property>
  <property fmtid="{D5CDD505-2E9C-101B-9397-08002B2CF9AE}" pid="4" name="output">
    <vt:lpwstr/>
  </property>
</Properties>
</file>