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051A31AC" w:rsidR="007906AF" w:rsidRDefault="00A404DE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A76FC">
              <w:rPr>
                <w:rFonts w:ascii="Arial" w:hAnsi="Arial" w:cs="Arial"/>
              </w:rPr>
              <w:t>/</w:t>
            </w:r>
            <w:r w:rsidR="00B81B1D">
              <w:rPr>
                <w:rFonts w:ascii="Arial" w:hAnsi="Arial" w:cs="Arial"/>
              </w:rPr>
              <w:t>6</w:t>
            </w:r>
            <w:r w:rsidR="00DA76FC">
              <w:rPr>
                <w:rFonts w:ascii="Arial" w:hAnsi="Arial" w:cs="Arial"/>
              </w:rPr>
              <w:t>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2B029AE3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:rsidRPr="004F1BC3" w14:paraId="0274C431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87423C8" w14:textId="77777777" w:rsidR="00375E73" w:rsidRDefault="00375E73" w:rsidP="003773F9">
            <w:pPr>
              <w:rPr>
                <w:rFonts w:asciiTheme="minorHAnsi" w:hAnsiTheme="minorHAnsi"/>
              </w:rPr>
            </w:pPr>
          </w:p>
          <w:p w14:paraId="688EE81B" w14:textId="3E442E31" w:rsidR="00611BAA" w:rsidRDefault="003D26D8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Reviewed the results of </w:t>
            </w:r>
            <w:r w:rsidR="00611BAA">
              <w:rPr>
                <w:rFonts w:asciiTheme="minorHAnsi" w:hAnsiTheme="minorHAnsi"/>
              </w:rPr>
              <w:t xml:space="preserve">models </w:t>
            </w:r>
            <w:r w:rsidR="00E93C89">
              <w:rPr>
                <w:rFonts w:asciiTheme="minorHAnsi" w:hAnsiTheme="minorHAnsi"/>
              </w:rPr>
              <w:t xml:space="preserve">with different architectures. Added hidden layers and re-performed the </w:t>
            </w:r>
            <w:r w:rsidR="00E90212">
              <w:rPr>
                <w:rFonts w:asciiTheme="minorHAnsi" w:hAnsiTheme="minorHAnsi"/>
              </w:rPr>
              <w:t>hyperparameter optimization</w:t>
            </w:r>
            <w:r w:rsidR="00F71DB6" w:rsidRPr="00F71DB6">
              <w:rPr>
                <w:rFonts w:asciiTheme="minorHAnsi" w:hAnsiTheme="minorHAnsi"/>
                <w:lang w:val="en-US"/>
              </w:rPr>
              <w:t>.</w:t>
            </w:r>
            <w:r w:rsidR="001C6E56">
              <w:rPr>
                <w:rFonts w:asciiTheme="minorHAnsi" w:hAnsiTheme="minorHAnsi"/>
                <w:lang w:val="en-US"/>
              </w:rPr>
              <w:t xml:space="preserve"> </w:t>
            </w:r>
          </w:p>
          <w:p w14:paraId="1C4EC80F" w14:textId="77777777" w:rsidR="00E93C89" w:rsidRDefault="00E93C89" w:rsidP="003773F9">
            <w:pPr>
              <w:rPr>
                <w:rFonts w:asciiTheme="minorHAnsi" w:hAnsiTheme="minorHAnsi"/>
                <w:lang w:val="en-US"/>
              </w:rPr>
            </w:pPr>
          </w:p>
          <w:p w14:paraId="460425A1" w14:textId="399A5449" w:rsidR="00E93C89" w:rsidRDefault="00E93C89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Additionally, tried normalizing to the maximum allowed value for the reaction wheels and the results seem to be better, there is no upper limit in the predictions. </w:t>
            </w:r>
            <w:r w:rsidR="00C2754F">
              <w:rPr>
                <w:rFonts w:asciiTheme="minorHAnsi" w:hAnsiTheme="minorHAnsi"/>
                <w:lang w:val="en-US"/>
              </w:rPr>
              <w:t>Moreover, the plot of the RMSE shows that more epochs could be used.</w:t>
            </w:r>
          </w:p>
          <w:p w14:paraId="0F94FA53" w14:textId="77777777" w:rsidR="009D7A87" w:rsidRDefault="009D7A87" w:rsidP="003773F9">
            <w:pPr>
              <w:rPr>
                <w:rFonts w:asciiTheme="minorHAnsi" w:hAnsiTheme="minorHAnsi"/>
                <w:lang w:val="en-US"/>
              </w:rPr>
            </w:pPr>
          </w:p>
          <w:p w14:paraId="5A67B262" w14:textId="6153FC25" w:rsidR="00E90212" w:rsidRDefault="003A50B1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However, the main problem is that the losses and the RMSE drop very fast, even from the 1</w:t>
            </w:r>
            <w:r w:rsidRPr="003A50B1">
              <w:rPr>
                <w:rFonts w:asciiTheme="minorHAnsi" w:hAnsiTheme="minorHAnsi"/>
                <w:vertAlign w:val="superscript"/>
                <w:lang w:val="en-US"/>
              </w:rPr>
              <w:t>st</w:t>
            </w:r>
            <w:r>
              <w:rPr>
                <w:rFonts w:asciiTheme="minorHAnsi" w:hAnsiTheme="minorHAnsi"/>
                <w:lang w:val="en-US"/>
              </w:rPr>
              <w:t xml:space="preserve"> or 2</w:t>
            </w:r>
            <w:r w:rsidRPr="003A50B1">
              <w:rPr>
                <w:rFonts w:asciiTheme="minorHAnsi" w:hAnsiTheme="minorHAnsi"/>
                <w:vertAlign w:val="superscript"/>
                <w:lang w:val="en-US"/>
              </w:rPr>
              <w:t>nd</w:t>
            </w:r>
            <w:r>
              <w:rPr>
                <w:rFonts w:asciiTheme="minorHAnsi" w:hAnsiTheme="minorHAnsi"/>
                <w:lang w:val="en-US"/>
              </w:rPr>
              <w:t xml:space="preserve"> epoch. This is an issue that needs to be resolved.</w:t>
            </w:r>
          </w:p>
          <w:p w14:paraId="3AFCCF3E" w14:textId="5D7AE55F" w:rsidR="009D7A87" w:rsidRDefault="009D7A87" w:rsidP="003773F9">
            <w:pPr>
              <w:rPr>
                <w:rFonts w:asciiTheme="minorHAnsi" w:hAnsiTheme="minorHAnsi"/>
                <w:lang w:val="en-US"/>
              </w:rPr>
            </w:pPr>
          </w:p>
          <w:p w14:paraId="76118A5D" w14:textId="7CE654FB" w:rsidR="009D7A87" w:rsidRDefault="009D7A87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 suggestion is to go a step back and examine how we can manipulate the data</w:t>
            </w:r>
            <w:r w:rsidR="003C573E">
              <w:rPr>
                <w:rFonts w:asciiTheme="minorHAnsi" w:hAnsiTheme="minorHAnsi"/>
                <w:lang w:val="en-US"/>
              </w:rPr>
              <w:t xml:space="preserve"> or experiment with different input windows. So far have been using 24h measurements to predict the next hour. Try with different size windows (12h, 48h, 72h etc.).</w:t>
            </w:r>
            <w:r w:rsidR="008E3293">
              <w:rPr>
                <w:rFonts w:asciiTheme="minorHAnsi" w:hAnsiTheme="minorHAnsi"/>
                <w:lang w:val="en-US"/>
              </w:rPr>
              <w:t xml:space="preserve"> </w:t>
            </w:r>
            <w:r w:rsidR="003C573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14:paraId="2C77601D" w14:textId="77777777" w:rsidR="00BC02F3" w:rsidRDefault="00BC02F3" w:rsidP="003773F9">
            <w:pPr>
              <w:rPr>
                <w:rFonts w:asciiTheme="minorHAnsi" w:hAnsiTheme="minorHAnsi"/>
              </w:rPr>
            </w:pPr>
          </w:p>
          <w:p w14:paraId="064CB7F5" w14:textId="77777777" w:rsidR="008E3293" w:rsidRPr="003773F9" w:rsidRDefault="008E3293" w:rsidP="003773F9">
            <w:pPr>
              <w:rPr>
                <w:rFonts w:asciiTheme="minorHAnsi" w:hAnsiTheme="minorHAnsi"/>
              </w:rPr>
            </w:pPr>
          </w:p>
          <w:p w14:paraId="7AD904BB" w14:textId="2F49942A" w:rsidR="003773F9" w:rsidRPr="00866490" w:rsidRDefault="003773F9" w:rsidP="003773F9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3A4A6F9A" w14:textId="3DB53415" w:rsidR="00B14F7B" w:rsidRDefault="008E3293" w:rsidP="002A403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Experiment with different input window size</w:t>
            </w:r>
          </w:p>
          <w:p w14:paraId="70A636B1" w14:textId="79F9F135" w:rsidR="002B3BFA" w:rsidRDefault="002B3BFA" w:rsidP="002A403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Try manipulating the input </w:t>
            </w:r>
            <w:proofErr w:type="gramStart"/>
            <w:r>
              <w:rPr>
                <w:rFonts w:asciiTheme="minorHAnsi" w:hAnsiTheme="minorHAnsi"/>
              </w:rPr>
              <w:t>data</w:t>
            </w:r>
            <w:proofErr w:type="gramEnd"/>
          </w:p>
          <w:p w14:paraId="53D1A287" w14:textId="54DF945C" w:rsidR="008E3293" w:rsidRDefault="008E3293" w:rsidP="002A403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Review the structure of the code to make sure that’s not the root of the </w:t>
            </w:r>
            <w:proofErr w:type="gramStart"/>
            <w:r>
              <w:rPr>
                <w:rFonts w:asciiTheme="minorHAnsi" w:hAnsiTheme="minorHAnsi"/>
              </w:rPr>
              <w:t>issue</w:t>
            </w:r>
            <w:proofErr w:type="gramEnd"/>
          </w:p>
          <w:p w14:paraId="1DFCB33C" w14:textId="06547DEB" w:rsidR="00DA76FC" w:rsidRPr="00E90212" w:rsidRDefault="008E3293" w:rsidP="00E90212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Start w</w:t>
            </w:r>
            <w:r w:rsidR="00C923AE">
              <w:rPr>
                <w:rFonts w:asciiTheme="minorHAnsi" w:hAnsiTheme="minorHAnsi"/>
              </w:rPr>
              <w:t xml:space="preserve">orking on </w:t>
            </w:r>
            <w:r>
              <w:rPr>
                <w:rFonts w:asciiTheme="minorHAnsi" w:hAnsiTheme="minorHAnsi"/>
              </w:rPr>
              <w:t xml:space="preserve">the </w:t>
            </w:r>
            <w:r w:rsidR="00C923AE">
              <w:rPr>
                <w:rFonts w:asciiTheme="minorHAnsi" w:hAnsiTheme="minorHAnsi"/>
              </w:rPr>
              <w:t>main text of the thesis</w:t>
            </w:r>
          </w:p>
        </w:tc>
      </w:tr>
      <w:tr w:rsidR="007906AF" w14:paraId="477AAE74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5BFD0394" w:rsidR="007906AF" w:rsidRPr="00C25464" w:rsidRDefault="00A40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70612">
              <w:rPr>
                <w:rFonts w:ascii="Arial" w:hAnsi="Arial" w:cs="Arial"/>
              </w:rPr>
              <w:t>/</w:t>
            </w:r>
            <w:r w:rsidR="00E9309D">
              <w:rPr>
                <w:rFonts w:ascii="Arial" w:hAnsi="Arial" w:cs="Arial"/>
              </w:rPr>
              <w:t>6</w:t>
            </w:r>
            <w:r w:rsidR="00DA76FC" w:rsidRPr="00C25464">
              <w:rPr>
                <w:rFonts w:ascii="Arial" w:hAnsi="Arial" w:cs="Arial"/>
              </w:rPr>
              <w:t>/2023</w:t>
            </w:r>
          </w:p>
        </w:tc>
      </w:tr>
    </w:tbl>
    <w:p w14:paraId="107C669D" w14:textId="77777777" w:rsidR="00D018D2" w:rsidRDefault="00000000" w:rsidP="007939DC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1491E"/>
    <w:rsid w:val="00044C6C"/>
    <w:rsid w:val="00096168"/>
    <w:rsid w:val="000A4C6B"/>
    <w:rsid w:val="000C0F20"/>
    <w:rsid w:val="001069F1"/>
    <w:rsid w:val="0012192C"/>
    <w:rsid w:val="0017586E"/>
    <w:rsid w:val="00194FB2"/>
    <w:rsid w:val="001C6E56"/>
    <w:rsid w:val="002052CA"/>
    <w:rsid w:val="00260FCB"/>
    <w:rsid w:val="002A4037"/>
    <w:rsid w:val="002B3BFA"/>
    <w:rsid w:val="002C170C"/>
    <w:rsid w:val="003107E6"/>
    <w:rsid w:val="003575C0"/>
    <w:rsid w:val="00375E73"/>
    <w:rsid w:val="003773F9"/>
    <w:rsid w:val="003A50B1"/>
    <w:rsid w:val="003C573E"/>
    <w:rsid w:val="003D26D8"/>
    <w:rsid w:val="00404531"/>
    <w:rsid w:val="0045139D"/>
    <w:rsid w:val="00470612"/>
    <w:rsid w:val="00476026"/>
    <w:rsid w:val="00483A6E"/>
    <w:rsid w:val="004F1BC3"/>
    <w:rsid w:val="00611BAA"/>
    <w:rsid w:val="006F6975"/>
    <w:rsid w:val="00751507"/>
    <w:rsid w:val="007701C4"/>
    <w:rsid w:val="007906AF"/>
    <w:rsid w:val="007939DC"/>
    <w:rsid w:val="007C6D48"/>
    <w:rsid w:val="007D19D2"/>
    <w:rsid w:val="007E37BF"/>
    <w:rsid w:val="007F5636"/>
    <w:rsid w:val="00807016"/>
    <w:rsid w:val="008428FB"/>
    <w:rsid w:val="00866490"/>
    <w:rsid w:val="008737FA"/>
    <w:rsid w:val="008778C3"/>
    <w:rsid w:val="008D0BD5"/>
    <w:rsid w:val="008E0FFA"/>
    <w:rsid w:val="008E3293"/>
    <w:rsid w:val="00911694"/>
    <w:rsid w:val="00941ECD"/>
    <w:rsid w:val="009901DE"/>
    <w:rsid w:val="009C4D0C"/>
    <w:rsid w:val="009D7A87"/>
    <w:rsid w:val="00A33D43"/>
    <w:rsid w:val="00A404DE"/>
    <w:rsid w:val="00AC08E0"/>
    <w:rsid w:val="00B14F7B"/>
    <w:rsid w:val="00B60CF9"/>
    <w:rsid w:val="00B773A7"/>
    <w:rsid w:val="00B81B1D"/>
    <w:rsid w:val="00B92A1C"/>
    <w:rsid w:val="00BA21D0"/>
    <w:rsid w:val="00BC02F3"/>
    <w:rsid w:val="00BD7EAC"/>
    <w:rsid w:val="00C25464"/>
    <w:rsid w:val="00C2754F"/>
    <w:rsid w:val="00C32E19"/>
    <w:rsid w:val="00C70EF9"/>
    <w:rsid w:val="00C923AE"/>
    <w:rsid w:val="00DA76FC"/>
    <w:rsid w:val="00DB5DE0"/>
    <w:rsid w:val="00E02332"/>
    <w:rsid w:val="00E90212"/>
    <w:rsid w:val="00E9309D"/>
    <w:rsid w:val="00E93C89"/>
    <w:rsid w:val="00ED559D"/>
    <w:rsid w:val="00F71DB6"/>
    <w:rsid w:val="00F73287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[Student] Marios Anastasopoulos</cp:lastModifiedBy>
  <cp:revision>77</cp:revision>
  <dcterms:created xsi:type="dcterms:W3CDTF">2023-04-28T10:07:00Z</dcterms:created>
  <dcterms:modified xsi:type="dcterms:W3CDTF">2023-06-19T14:30:00Z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