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Reinforcement Learning</w:t>
        <w:br/>
        <w:t xml:space="preserve">    2.3 Q-Learning και SARSA</w:t>
        <w:br/>
        <w:t xml:space="preserve">    2.4 Deep Q-Network</w:t>
        <w:br/>
        <w:t xml:space="preserve">    2.5 Proximal Policy Optimization</w:t>
        <w:br/>
        <w:t xml:space="preserve">    2.6 Dyna και Dyna-Q+</w:t>
        <w:br/>
        <w:t xml:space="preserve">    2.7 Non-stationarity και δυναμικές μεταβολές</w:t>
        <w:br/>
        <w:t xml:space="preserve">    2.8 Action uncertainty, observation uncertainty και hidden change</w:t>
        <w:br/>
        <w:t xml:space="preserve">    2.9 Ανθεκτικότητα, προσαρμογή και ανάκαμψη</w:t>
        <w:br/>
        <w:t xml:space="preserve">    2.10 Continual adaptation, replay και model organization</w:t>
        <w:br/>
        <w:t xml:space="preserve">    2.11 Empirical RL design και δίκαιη σύγκριση</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testbed</w:t>
        <w:br/>
        <w:t xml:space="preserve">    3.3 Τελικές μέθοδοι και fairness boundaries</w:t>
        <w:br/>
        <w:t xml:space="preserve">    3.4 Phase A: ανεξάρτητη ονομαστική μάθηση και checkpoints</w:t>
        <w:br/>
        <w:t xml:space="preserve">    3.5 Phase B: matched FN/FD/AN/AD design</w:t>
        <w:br/>
        <w:t xml:space="preserve">    3.6 Μηχανισμοί αβεβαιότητας και disturbance conditions</w:t>
        <w:br/>
        <w:t xml:space="preserve">    3.7 RQ1: estimands ονομαστικής μάθησης</w:t>
        <w:br/>
        <w:t xml:space="preserve">    3.8 RQ2: resilience και adaptation-benefit estimand</w:t>
        <w:br/>
        <w:t xml:space="preserve">    3.9 RQ3: recovery, passive windows και right-censoring</w:t>
        <w:br/>
        <w:t xml:space="preserve">    3.10 Roots, layouts, budgets και πειραματικός πίνακας</w:t>
        <w:br/>
        <w:t xml:space="preserve">    3.11 Στατιστική ανάλυση και άμεσες συγκρίσεις</w:t>
        <w:br/>
        <w:t xml:space="preserve">    3.12 Reproducibility, provenance και scientific firewall</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Study ως μονάδα εκτέλεσης και provenance</w:t>
        <w:br/>
        <w:t xml:space="preserve">    4.4 Deterministic planning και stage barriers</w:t>
        <w:br/>
        <w:t xml:space="preserve">    4.5 Checkpoints και ακριβής συνέχεια της μάθησης</w:t>
        <w:br/>
        <w:t xml:space="preserve">    4.6 RNG isolation και reproducibility</w:t>
        <w:br/>
        <w:t xml:space="preserve">    4.7 Run bundles, manifests και ακεραιότητα</w:t>
        <w:br/>
        <w:t xml:space="preserve">    4.8 Evidence-v2 validation και analysis layer</w:t>
        <w:br/>
        <w:t xml:space="preserve">    4.9 Χειρισμός αποτυχίας και το T-610 recovery path</w:t>
        <w:br/>
        <w:t xml:space="preserve">    4.10 Desktop εφαρμογή PySide6</w:t>
        <w:br/>
        <w:t xml:space="preserve">        4.10.1 Experiment</w:t>
        <w:br/>
        <w:t xml:space="preserve">        4.10.2 Run</w:t>
        <w:br/>
        <w:t xml:space="preserve">        4.10.3 Results</w:t>
        <w:br/>
        <w:t xml:space="preserve">        4.10.4 Evidence</w:t>
        <w:br/>
        <w:t xml:space="preserve">    4.11 Live visualization και επιστημονική παθητικότητα</w:t>
        <w:br/>
        <w:t xml:space="preserve">    4.12 Execution supervision και restart safety</w:t>
        <w:br/>
        <w:t xml:space="preserve">    4.13 Final-reserve firewall και authorization</w:t>
        <w:br/>
        <w:t xml:space="preserve">    4.14 Παραγωγή αποτελεσμάτων και thesis assets</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budget</w:t>
        <w:br/>
        <w:t xml:space="preserve">    5.3 RQ2 — Ανθεκτικότητα και όφελος προσαρμογής</w:t>
        <w:br/>
        <w:t xml:space="preserve">        5.3.1 Συνολική εικόνα ανά condition</w:t>
        <w:br/>
        <w:t xml:space="preserve">        5.3.2 Persistent action-remap cycle</w:t>
        <w:br/>
        <w:t xml:space="preserve">        5.3.3 Persistent action-remap swap</w:t>
        <w:br/>
        <w:t xml:space="preserve">        5.3.4 Action failure 15%</w:t>
        <w:br/>
        <w:t xml:space="preserve">        5.3.5 Observation corruption 5%</w:t>
        <w:br/>
        <w:t xml:space="preserve">        5.3.6 Σύνοψη RQ2</w:t>
        <w:br/>
        <w:t xml:space="preserve">    5.4 RQ3 — Ανάκαμψη μετά από persistent action remapping</w:t>
        <w:br/>
        <w:t xml:space="preserve">        5.4.1 Cycle remap</w:t>
        <w:br/>
        <w:t xml:space="preserve">        5.4.2 Swap remap</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sample efficiency δεν είναι το ίδιο</w:t>
        <w:br/>
        <w:t xml:space="preserve">    6.3 RQ2: η προσαρμογή είναι condition-dependent</w:t>
        <w:br/>
        <w:t xml:space="preserve">    6.4 Dyna-Q+: γρήγορη ονομαστική μάθηση δεν συνεπάγεται ταχύτερη ανάκαμψη</w:t>
        <w:br/>
        <w:t xml:space="preserve">    6.5 RQ3: recovery incidence, timing και censoring</w:t>
        <w:br/>
        <w:t xml:space="preserve">    6.6 Ευαισθησία στον operational ορισμό της ανάκαμψης</w:t>
        <w:br/>
        <w:t xml:space="preserve">    6.7 Σχέση με continual RL και hidden change</w:t>
        <w:br/>
        <w:t xml:space="preserve">    6.8 Απειλές προς την εσωτερική εγκυρότητα</w:t>
        <w:br/>
        <w:t xml:space="preserve">        6.8.1 Fairness και tuning</w:t>
        <w:br/>
        <w:t xml:space="preserve">        6.8.2 Checkpoint equivalence</w:t>
        <w:br/>
        <w:t xml:space="preserve">        6.8.3 Information leakage</w:t>
        <w:br/>
        <w:t xml:space="preserve">    6.9 Construct validity</w:t>
        <w:br/>
        <w:t xml:space="preserve">    6.10 Statistical conclusion validity</w:t>
        <w:br/>
        <w:t xml:space="preserve">    6.11 External validity</w:t>
        <w:br/>
        <w:t xml:space="preserve">    6.12 Reproducibility validity</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Διαφορετικά budgets και learning timescales</w:t>
        <w:br/>
        <w:t xml:space="preserve">        7.7.3 Ρητή ανίχνευση αλλαγής και context inference</w:t>
        <w:br/>
        <w:t xml:space="preserve">        7.7.4 Specialized continual-learning mechanisms</w:t>
        <w:br/>
        <w:t xml:space="preserve">        7.7.5 Modular model-based adaptation</w:t>
        <w:br/>
        <w:t xml:space="preserve">        7.7.6 Διαχείριση replay υπό non-stationarity</w:t>
        <w:br/>
        <w:t xml:space="preserve">        7.7.7 Πλουσιότερη μελέτη recovery</w:t>
        <w:br/>
        <w:t xml:space="preserve">        7.7.8 Περισσότερες ανεξάρτητες roots και ιεραρχική ανάλυση</w:t>
        <w:br/>
        <w:t xml:space="preserve">        7.7.9 Safety και constraint-aware adaptation</w:t>
        <w:br/>
        <w:t xml:space="preserve">    7.8 Τελικό συμπέρασμα</w:t>
        <w:br/>
        <w:t xml:space="preserve">Γλωσσάριο και Ακρωνύμια</w:t>
        <w:br/>
        <w:t xml:space="preserve">    Ακρωνύμια</w:t>
        <w:br/>
        <w:t xml:space="preserve">    Βασικοί όροι</w:t>
        <w:br/>
        <w:t xml:space="preserve">        Actual environment interaction</w:t>
        <w:br/>
        <w:t xml:space="preserve">        Adaptation benefit</w:t>
        <w:br/>
        <w:t xml:space="preserve">        Adaptive regime</w:t>
        <w:br/>
        <w:t xml:space="preserve">        Censoring / Right-censoring</w:t>
        <w:br/>
        <w:t xml:space="preserve">        Checkpoint</w:t>
        <w:br/>
        <w:t xml:space="preserve">        Continual / continued learning</w:t>
        <w:br/>
        <w:t xml:space="preserve">        Disturbance-associated loss</w:t>
        <w:br/>
        <w:t xml:space="preserve">        Dyna-Q+</w:t>
        <w:br/>
        <w:t xml:space="preserve">        Equal-layout reduction</w:t>
        <w:br/>
        <w:t xml:space="preserve">        Frozen regime</w:t>
        <w:br/>
        <w:t xml:space="preserve">        GridWorld</w:t>
        <w:br/>
        <w:t xml:space="preserve">        Hidden change</w:t>
        <w:br/>
        <w:t xml:space="preserve">        Independent root</w:t>
        <w:br/>
        <w:t xml:space="preserve">        Non-stationarity</w:t>
        <w:br/>
        <w:t xml:space="preserve">        Pointwise interval</w:t>
        <w:br/>
        <w:t xml:space="preserve">        Recovery</w:t>
        <w:br/>
        <w:t xml:space="preserve">        Recovery incidence / recovered proportion</w:t>
        <w:br/>
        <w:t xml:space="preserve">        Recovery time</w:t>
        <w:br/>
        <w:t xml:space="preserve">        Restricted recovery delay</w:t>
        <w:br/>
        <w:t xml:space="preserve">        Resilience / Ανθεκτικότητα</w:t>
        <w:br/>
        <w:t xml:space="preserve">        Stable recovery</w:t>
        <w:br/>
        <w:t xml:space="preserve">        Study</w:t>
        <w:br/>
        <w:t xml:space="preserve">        StudyRecipe</w:t>
        <w:br/>
        <w:t xml:space="preserve">        Time-average return</w:t>
        <w:br/>
        <w:t xml:space="preserve">Παραρτήματα</w:t>
        <w:br/>
        <w:t xml:space="preserve">    Παράρτημα Α — Παγωμένο πειραματικό συμβόλαιο</w:t>
        <w:br/>
        <w:t xml:space="preserve">        Α.1 Methods και βασικές frozen ρυθμίσεις</w:t>
        <w:br/>
        <w:t xml:space="preserve">        Α.2 Final layouts και roots</w:t>
        <w:br/>
        <w:t xml:space="preserve">        Α.3 Disturbance definitions</w:t>
        <w:br/>
        <w:t xml:space="preserve">    Παράρτημα Β — Πλήρη RQ αποτελέσματα και diagnostics</w:t>
        <w:br/>
        <w:t xml:space="preserve">        Β.1 RQ1</w:t>
        <w:br/>
        <w:t xml:space="preserve">        Β.2 RQ2</w:t>
        <w:br/>
        <w:t xml:space="preserve">        Β.3 RQ3</w:t>
        <w:br/>
        <w:t xml:space="preserve">    Παράρτημα Γ — Evidence, provenance και reproducibility</w:t>
        <w:br/>
        <w:t xml:space="preserve">        Γ.1 Execution lineage</w:t>
        <w:br/>
        <w:t xml:space="preserve">        Γ.2 Frozen identities</w:t>
        <w:br/>
        <w:t xml:space="preserve">        Γ.3 Bibliography provenance</w:t>
        <w:br/>
        <w:t xml:space="preserve">    Παράρτημα Δ — Ερευνητική εφαρμογή και presentation boundary</w:t>
        <w:br/>
        <w:t xml:space="preserve">    Παράρτημα Ε — Αναπαραγωγή και λογισμικό περιβάλλον</w:t>
        <w:br/>
        <w:t xml:space="preserve">Βιβλιογραφία</w:t>
        <w:fldChar w:fldCharType="end"/>
      </w:r>
    </w:p>
    <w:p>
      <w:r>
        <w:br w:type="page"/>
      </w:r>
    </w:p>
    <w:p>
      <w:pPr>
        <w:pStyle w:val="Heading1"/>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Protocol flow; exact checkpoints precede matched FN/FD/AN/AD branches.</w:t>
        <w:br/>
        <w:t xml:space="preserve">Σχήμα 2 — Map from each research question to its frozen estimands and registered outputs.</w:t>
        <w:br/>
        <w:t xml:space="preserve">Σχήμα 3 — Final nominal return by method with pointwise 95% Student-t intervals over 12 roots.</w:t>
        <w:br/>
        <w:t xml:space="preserve">Σχήμα 4 — Interaction-axis time-average return, kept separate from final performance.</w:t>
        <w:br/>
        <w:t xml:space="preserve">Σχήμα 5 — Adaptation benefit by method and frozen condition; positive values mean lower Adaptive than Frozen loss.</w:t>
        <w:br/>
        <w:t xml:space="preserve">Σχήμα 6 — Frozen and Adaptive disturbance-associated loss remain distinct quantities.</w:t>
        <w:br/>
        <w:t xml:space="preserve">Σχήμα 7 — Condition-small-multiple view of adaptation benefit on consistent scales.</w:t>
        <w:br/>
        <w:t xml:space="preserve">Σχήμα 8 — Stored per-root directed-gap trajectories for the primary action-remap family; dashed line is tolerance 0.10.</w:t>
        <w:br/>
        <w:t xml:space="preserve">Σχήμα 9 — Recovered roots at primary tolerance 0.10; unrecovered roots remain right-censored.</w:t>
        <w:br/>
        <w:t xml:space="preserve">Σχήμα 10 — Censoring-aware restricted recovery delay through the 256-interaction horizon.</w:t>
        <w:br/>
        <w:t xml:space="preserve">Σχήμα 11 — Observed recovery time only among recovered roots; displayed n excludes right-censored roots.</w:t>
        <w:br/>
        <w:t xml:space="preserve">Σχήμα 12 — Predeclared 0.05/0.10/0.20 tolerance sensitivity; 0.10 remains primary.</w:t>
        <w:br/>
        <w:t xml:space="preserve">Σχήμα 13 — Root-level final nominal-return distribution after equal-layout reduction.</w:t>
        <w:br/>
        <w:t xml:space="preserve">Σχήμα 14 — Root-level time-average return distribution after equal-layout reduction.</w:t>
        <w:br/>
        <w:t xml:space="preserve">Σχήμα 15 — Declared root-paired A-minus-B contrasts; intervals are descriptive pointwise t intervals.</w:t>
        <w:br/>
        <w:t xml:space="preserve">Σχήμα 16 — Root-level adaptation-benefit distributions by method and condition.</w:t>
        <w:br/>
        <w:t xml:space="preserve">Σχήμα 17 — Numeric heatmap of stored mean adaptation benefit; higher is better.</w:t>
        <w:br/>
        <w:t xml:space="preserve">Σχήμα 18 — All declared RQ2 root-paired A-minus-B contrasts by condition and estimand.</w:t>
        <w:br/>
        <w:t xml:space="preserve">Σχήμα 19 — Root-level Frozen-to-Adaptive paired diagnostics; connecting lines do not imply an additional estimand.</w:t>
        <w:br/>
        <w:t xml:space="preserve">Σχήμα 20 — Detailed stored root trajectories by method and primary condition; no trajectory averaging.</w:t>
        <w:br/>
        <w:t xml:space="preserve">Σχήμα 21 — Recovered versus right-censored root composition at tolerance 0.10.</w:t>
        <w:br/>
        <w:t xml:space="preserve">Σχήμα 22 — Declared recovery-status and restricted-delay A-minus-B contrasts on the primary axis.</w:t>
        <w:br/>
        <w:t xml:space="preserve">Σχήμα 23 — Stored recovery and confirmation times; right-censored roots are marked at the horizon without fake recovery times.</w:t>
        <w:br/>
        <w:t xml:space="preserve">Σχήμα 24 — Accepted-evidence lineage; the failed 216-job attempt is excluded.</w:t>
        <w:fldChar w:fldCharType="end"/>
      </w:r>
    </w:p>
    <w:p>
      <w:r>
        <w:br w:type="page"/>
      </w:r>
    </w:p>
    <w:p>
      <w:pPr>
        <w:pStyle w:val="Heading1"/>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Σύνοψη για την ενότητα «5.3.1 Συνολική εικόνα ανά condition»</w:t>
        <w:br/>
        <w:t xml:space="preserve">Πίνακας 2 — Σύνοψη για την ενότητα «5.4.3 Ευαισθησία στην ανοχή ανάκαμψης»</w:t>
        <w:br/>
        <w:t xml:space="preserve">Πίνακας 3 — Σύνοψη για την ενότητα «Ακρωνύμια»</w:t>
        <w:fldChar w:fldCharType="end"/>
      </w:r>
    </w:p>
    <w:p>
      <w:r>
        <w:br w:type="page"/>
      </w:r>
    </w:p>
    <w:p>
      <w:pPr>
        <w:pStyle w:val="Heading1"/>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supervised learning, η επιθυμητή συμπεριφορά δεν παρέχεται ως σύνολο σωστών labels για κάθε κατάσταση. Ο πράκτορας πρέπει να μάθει μια πολιτική που μεγιστοποιεί τη μελλοντική απόδοση μέσω της ίδιας της αλληλεπίδρασης [1].</w:t>
      </w:r>
    </w:p>
    <w:p>
      <w:pPr>
        <w:spacing w:after="120" w:line="360" w:lineRule="auto"/>
        <w:ind w:firstLine="397"/>
        <w:jc w:val="both"/>
      </w:pPr>
      <w:r>
        <w:rPr>
          <w:rFonts w:ascii="Times New Roman" w:hAnsi="Times New Roman" w:eastAsia="Times New Roman"/>
          <w:sz w:val="22"/>
        </w:rPr>
        <w:t>Η διαδοχικότητα είναι κρίσιμη: μια ενέργεια δεν αξιολογείται μόνο από την άμεση ανταμοιβή της, αλλά και από το πώς επηρεάζει τις μελλοντικές καταστάσεις και ευκαιρίες. Για αυτό η λήψη αποφάσεων σε RL συνδέεται με την αναμενόμενη σωρευτική επιστροφή και με την ισορροπία μεταξύ exploitation της ήδη αποκτημένης γνώσης και exploration για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επιπλέον πρόβλημα: τι συμβαίνει όταν η σχέση μεταξύ καταστάσεων, ενεργειών, παρατηρήσεων και ανταμοιβών δεν παραμένει σταθερή μετά την αρχική μάθηση. Σε stationary setting η εμπειρία του παρελθόντος μπορεί να παραμένει έγκυρη. Σε non-stationary setting, ορισμένες εκτιμήσεις, πολιτικές ή learned models μπορεί να γίνουν stale και ο πράκτορας πρέπει είτε να διατηρήσει επαρκή απόδοση χωρίς αλλαγή είτε να προσαρμοστεί στη νέα συνθήκη.</w:t>
      </w:r>
    </w:p>
    <w:p>
      <w:pPr>
        <w:pStyle w:val="Heading2"/>
      </w:pPr>
      <w:r>
        <w:rPr>
          <w:rFonts w:ascii="Times New Roman" w:hAnsi="Times New Roman" w:eastAsia="Times New Roman"/>
          <w:sz w:val="22"/>
        </w:rPr>
        <w:t>2.2 Markov Decision Processes και Reinforcement Learning</w:t>
      </w:r>
    </w:p>
    <w:p>
      <w:pPr>
        <w:spacing w:after="120" w:line="360" w:lineRule="auto"/>
        <w:ind w:firstLine="397"/>
        <w:jc w:val="both"/>
      </w:pPr>
      <w:r>
        <w:rPr>
          <w:rFonts w:ascii="Times New Roman" w:hAnsi="Times New Roman" w:eastAsia="Times New Roman"/>
          <w:sz w:val="22"/>
        </w:rPr>
        <w:t xml:space="preserve">Το κλασικό μαθηματικό πλαίσιο του RL είναι το Markov Decision Process (MDP). Ένα MDP περιγράφεται από σύνολο καταστάσεων </w:t>
      </w:r>
      <w:r>
        <w:rPr>
          <w:rFonts w:ascii="Cambria Math" w:hAnsi="Cambria Math" w:eastAsia="Cambria Math"/>
          <w:sz w:val="22"/>
        </w:rPr>
        <w:t>S</w:t>
      </w:r>
      <w:r>
        <w:rPr>
          <w:rFonts w:ascii="Times New Roman" w:hAnsi="Times New Roman" w:eastAsia="Times New Roman"/>
          <w:sz w:val="22"/>
        </w:rPr>
        <w:t xml:space="preserve">,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Markov ιδιότητα εκφράζει ότι, δεδομένης της τρέχουσας κατάστασης και ενέργειας, η κατανομή της επόμενης κατάστασης δεν χρειάζεται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policy </w:t>
      </w:r>
      <w:r>
        <w:rPr>
          <w:rFonts w:ascii="Cambria Math" w:hAnsi="Cambria Math" w:eastAsia="Cambria Math"/>
          <w:sz w:val="22"/>
        </w:rPr>
        <w:t>π(a| s)</w:t>
      </w:r>
      <w:r>
        <w:rPr>
          <w:rFonts w:ascii="Times New Roman" w:hAnsi="Times New Roman" w:eastAsia="Times New Roman"/>
          <w:sz w:val="22"/>
        </w:rPr>
        <w:t xml:space="preserve"> ορίζει πώς επιλέγεται ενέργεια σε μια κατάσταση. Η state-value function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περιγράφει την αναμενόμενη discounted return από μια κατάσταση ακολουθώντας την policy, ενώ η action-value function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περιγράφει την αντίστοιχη αναμενόμενη return όταν πρώτα επιλεγεί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Στα temporal-difference methods, οι value estimates ενημερώνονται από bootstrapped targets που συνδυάζουν την άμεση ανταμοιβή με εκτίμηση μελλοντικής αξίας. Η δυνατότητα online ενημέρωσης χωρίς πλήρες μοντέλο του περιβάλλοντος καθιστά τις TD μεθόδους φυσικές baselines για μελέτη adaptation.</w:t>
      </w:r>
    </w:p>
    <w:p>
      <w:pPr>
        <w:spacing w:after="120" w:line="360" w:lineRule="auto"/>
        <w:ind w:firstLine="397"/>
        <w:jc w:val="both"/>
      </w:pPr>
      <w:r>
        <w:rPr>
          <w:rFonts w:ascii="Times New Roman" w:hAnsi="Times New Roman" w:eastAsia="Times New Roman"/>
          <w:sz w:val="22"/>
        </w:rPr>
        <w:t>Η κλασική θεωρία συνήθως προϋποθέτει stationary dynamics ή άλλες συνθήκες που δεν ταυτίζονται με persistent αλλαγή κατά τη deployment φάση. Επομένως, η επιτυχής συμπεριφορά ενός αλγορίθμου σε stationary learning δεν συνεπάγεται αυτομάτως αποτελεσματική tracking συμπεριφορά μετά από environmental change.</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TD-control μέθοδοι που διαφέρουν κυρίως στον one-step update target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target χρησιμοποιεί greedy μέγιστο στην επόμενη κατάσταση. Για αυτό η Q-Learning χαρακτηρίζεται off-policy: η behavior policy που παράγει εμπειρία μπορεί να είναι exploratory, ενώ ο update target αναφέρεται σε greedy action value.</w:t>
      </w:r>
    </w:p>
    <w:p>
      <w:pPr>
        <w:spacing w:after="120" w:line="360" w:lineRule="auto"/>
        <w:ind w:firstLine="397"/>
        <w:jc w:val="both"/>
      </w:pPr>
      <w:r>
        <w:rPr>
          <w:rFonts w:ascii="Times New Roman" w:hAnsi="Times New Roman" w:eastAsia="Times New Roman"/>
          <w:sz w:val="22"/>
        </w:rPr>
        <w:t>Στη SARSA, ο target χρησιμοποιεί την επόμενη ενέργεια που επιλέγεται από την τρέχουσα behavior policy:</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exploratory behavior, η διαφορά αυτή μπορεί να επηρεάσει τη συμπεριφορά που μαθαίνεται, επειδή η SARSA ενσωματώνει στον target τις συνέπειες των ενεργειών που πραγματικά επιλέγονται από την exploratory policy [1], [9].</w:t>
      </w:r>
    </w:p>
    <w:p>
      <w:pPr>
        <w:spacing w:after="120" w:line="360" w:lineRule="auto"/>
        <w:ind w:firstLine="397"/>
        <w:jc w:val="both"/>
      </w:pPr>
      <w:r>
        <w:rPr>
          <w:rFonts w:ascii="Times New Roman" w:hAnsi="Times New Roman" w:eastAsia="Times New Roman"/>
          <w:sz w:val="22"/>
        </w:rPr>
        <w:t>Στην παρούσα εργασία η Q-Learning και η SARSA επιλέγονται ως ερμηνεύσιμο off-policy/on-policy tabular contrast υπό ίδιο state/action representation και ίδιο information contract. Η επιλογή τους δεν προϋποθέτει ότι κάποια από τις δύο είναι θεωρητικά «πιο ανθεκτική». Η ανθεκτικότητα και η recovery παραμένουν εμπειρικά outcomes.</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σε νευρωνική προσέγγιση της action-value function και αποτελεί βασικό σημείο αναφοράς του deep RL [10]. Η DQN χρησιμοποιεί experience replay ώστε οι μεταβάσεις να αποθηκεύονται και να επαναχρησιμοποιούνται για updates, και target network ώστε οι bootstrapped targets να μεταβάλλονται πιο ελεγχόμενα.</w:t>
      </w:r>
    </w:p>
    <w:p>
      <w:pPr>
        <w:spacing w:after="120" w:line="360" w:lineRule="auto"/>
        <w:ind w:firstLine="397"/>
        <w:jc w:val="both"/>
      </w:pPr>
      <w:r>
        <w:rPr>
          <w:rFonts w:ascii="Times New Roman" w:hAnsi="Times New Roman" w:eastAsia="Times New Roman"/>
          <w:sz w:val="22"/>
        </w:rPr>
        <w:t>Το replay δεν είναι ουδέτερη λεπτομέρεια αποθήκευσης. Το μέγεθος του buffer, η συχνότητα sampling και ο λόγος πραγματικής εμπειρίας προς replay updates μπορούν να επηρεάσουν ουσιαστικά τη συμπεριφορά μάθησης [11]. Αυτό έχει ιδιαίτερη σημασία σε non-stationary settings, επειδή ένα replay buffer μπορεί να περιλαμβάνει τόσο πρόσφατη post-change εμπειρία όσο και stale pre-change transitions.</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replay reset ή reweighting μετά τη μεταβολή. Η Adaptive DQN branch συνεχίζει τη φυσική training διαδικασία της frozen configuration. Η επιλογή αυτή επιτρέπει να μετρηθεί η συμπεριφορά του standard mechanism χωρίς να προστεθεί ξεχωριστή continual-learning intervention.</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policy-gradient μέθοδος. Η βασική της ιδέα είναι η βελτιστοποίηση clipped surrogate objective ώστε να περιορίζονται υπερβολικά μεγάλες policy updates μεταξύ διαδοχικών iterations [12].</w:t>
      </w:r>
    </w:p>
    <w:p>
      <w:pPr>
        <w:spacing w:after="120" w:line="360" w:lineRule="auto"/>
        <w:ind w:firstLine="397"/>
        <w:jc w:val="both"/>
      </w:pPr>
      <w:r>
        <w:rPr>
          <w:rFonts w:ascii="Times New Roman" w:hAnsi="Times New Roman" w:eastAsia="Times New Roman"/>
          <w:sz w:val="22"/>
        </w:rPr>
        <w:t>Σε αντίθεση με value-based tabular methods, η PPO μαθαίνει απευθείας parametrized policy και value function. Η observed performance εξαρτάται όχι μόνο από το high-level clipped objective αλλά και από implementation details όπως rollout length, minibatch size, αριθμό epochs, advantage estimation, optimizer settings και network architecture [13].</w:t>
      </w:r>
    </w:p>
    <w:p>
      <w:pPr>
        <w:spacing w:after="120" w:line="360" w:lineRule="auto"/>
        <w:ind w:firstLine="397"/>
        <w:jc w:val="both"/>
      </w:pPr>
      <w:r>
        <w:rPr>
          <w:rFonts w:ascii="Times New Roman" w:hAnsi="Times New Roman" w:eastAsia="Times New Roman"/>
          <w:sz w:val="22"/>
        </w:rPr>
        <w:t>Αυτό είναι σημαντικό για την ερμηνεία της παρούσας σύγκρισης. Η PPO δεν αντιμετωπίζεται ως «robust» επειδή περιορίζει το μέγεθος policy updates. Το clipping αφορά optimization stability και δεν αποτελεί εγγύηση απέναντι σε αλλαγή transition/action semantics. Η actual resilience μετράται από το ίδιο frozen protocol που εφαρμόζεται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Dyna αρχιτεκτονική συνδυάζει άμεση μάθηση από πραγματική εμπειρία με μάθηση μοντέλου και πρόσθετα planning updates πάνω σε model-generated experience [1]. Μια πραγματική μετάβαση μπορεί να ενημερώσει τόσο τις action-value estimates όσο και ένα empirical model, το οποίο στη συνέχεια επιτρέπει επιπλέον backups χωρίς νέες πραγματικές αλληλεπιδράσεις.</w:t>
      </w:r>
    </w:p>
    <w:p>
      <w:pPr>
        <w:spacing w:after="120" w:line="360" w:lineRule="auto"/>
        <w:ind w:firstLine="397"/>
        <w:jc w:val="both"/>
      </w:pPr>
      <w:r>
        <w:rPr>
          <w:rFonts w:ascii="Times New Roman" w:hAnsi="Times New Roman" w:eastAsia="Times New Roman"/>
          <w:sz w:val="22"/>
        </w:rPr>
        <w:t>Σε changing environment, η model-based προσέγγιση δημιουργεί και μια ειδική ευπάθεια: αν η δυναμική αλλάξει, μέρος του learned model μπορεί να παραμείνει stale μέχρι να ξαναπαρατηρηθούν τα επηρεασμένα state-action pairs. Planning πάνω σε stale model μπορεί προσωρινά να ενισχύσει παλιές εκτιμήσεις [1].</w:t>
      </w:r>
    </w:p>
    <w:p>
      <w:pPr>
        <w:spacing w:after="120" w:line="360" w:lineRule="auto"/>
        <w:ind w:firstLine="397"/>
        <w:jc w:val="both"/>
      </w:pPr>
      <w:r>
        <w:rPr>
          <w:rFonts w:ascii="Times New Roman" w:hAnsi="Times New Roman" w:eastAsia="Times New Roman"/>
          <w:sz w:val="22"/>
        </w:rPr>
        <w:t>Η Dyna-Q+ εισάγει directed re-exploration με recency-based bonus για state-action pairs που δεν έχουν δοκιμαστεί πρόσφατα. Η λογική είναι ότι οι συνέπειες μιας παλιάς action μπορεί να έχουν αλλάξει, επομένως η συστηματική επανεξέταση παλιών ενεργειών μπορεί να βοηθήσει στην ανακάλυψη αλλαγής [1]. Το exploration bonus έχει όμως κόστος: η δοκιμή παλιών ή αβέβαιων ενεργειών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παρούσα μελέτη διατηρεί τη Dyna-Q+ στην τελική πεντάδα ως planning/re-exploration comparator. Η ύπαρξη learned model δεν αντιμετωπίζεται ως θεωρητική εγγύηση adaptation superiority.</w:t>
      </w:r>
    </w:p>
    <w:p>
      <w:pPr>
        <w:pStyle w:val="Heading2"/>
      </w:pPr>
      <w:r>
        <w:rPr>
          <w:rFonts w:ascii="Times New Roman" w:hAnsi="Times New Roman" w:eastAsia="Times New Roman"/>
          <w:sz w:val="22"/>
        </w:rPr>
        <w:t>2.7 Non-stationarity και δυναμικές μεταβολές</w:t>
      </w:r>
    </w:p>
    <w:p>
      <w:pPr>
        <w:spacing w:after="120" w:line="360" w:lineRule="auto"/>
        <w:ind w:firstLine="397"/>
        <w:jc w:val="both"/>
      </w:pPr>
      <w:r>
        <w:rPr>
          <w:rFonts w:ascii="Times New Roman" w:hAnsi="Times New Roman" w:eastAsia="Times New Roman"/>
          <w:sz w:val="22"/>
        </w:rPr>
        <w:t>Σε non-stationary RL, η κατανομή καταστάσεων, rewards, transitions ή άλλων περιβαλλοντικών παραμέτρων μπορεί να μεταβάλλεται κατά τη διάρκεια training/deployment. Η αλλαγή μπορεί να είναι abrupt ή gradual, observed ή latent, προσωρινή ή persistent. Οι διαφορετικές μορφές non-stationarity δημιουργούν διαφορετικές απαιτήσεις adaptation και δεν είναι επιστημονικά σωστό να αντιμετωπίζονται ως μία ενιαία disturbance category [2].</w:t>
      </w:r>
    </w:p>
    <w:p>
      <w:pPr>
        <w:spacing w:after="120" w:line="360" w:lineRule="auto"/>
        <w:ind w:firstLine="397"/>
        <w:jc w:val="both"/>
      </w:pPr>
      <w:r>
        <w:rPr>
          <w:rFonts w:ascii="Times New Roman" w:hAnsi="Times New Roman" w:eastAsia="Times New Roman"/>
          <w:sz w:val="22"/>
        </w:rPr>
        <w:t>Η continual-RL βιβλιογραφία τονίζει την ανάγκη να διατηρείται ισορροπία ανάμεσα στη retention παλαιάς γνώσης και στην plasticity για νέα γνώση. Deep agents μπορούν να εμφανίσουν interference, primacy effects ή loss of plasticity κατά την παρατεταμένη μάθηση [3], [4]. Αυτά τα ευρήματα δεν προβλέπουν συγκεκριμένη αποτυχία των DQN/PPO στο παρόν GridWorld, αλλά αιτιολογούν γιατί η απλή συνέχιση gradient-based training δεν πρέπει να θεωρείται αυτόματα επαρκής adaptation strategy.</w:t>
      </w:r>
    </w:p>
    <w:p>
      <w:pPr>
        <w:spacing w:after="120" w:line="360" w:lineRule="auto"/>
        <w:ind w:firstLine="397"/>
        <w:jc w:val="both"/>
      </w:pPr>
      <w:r>
        <w:rPr>
          <w:rFonts w:ascii="Times New Roman" w:hAnsi="Times New Roman" w:eastAsia="Times New Roman"/>
          <w:sz w:val="22"/>
        </w:rPr>
        <w:t>Το πρόσφατο ICLR 2025 work για online RL σε non-stationary context-driven environments εξετάζει catastrophic forgetting και stability/plasticity σε continual deployment [7]. Η εργασία δίνει στην policy ρητό exogenous context και συνεπώς λειτουργεί σε διαφορετικό information regime από το παρόν hidden action-remap setting. Η διάκριση observed versus hidden context είναι κεντρική για τη σωστή μεταφορά συμπερασμάτων μεταξύ μελετών.</w:t>
      </w:r>
    </w:p>
    <w:p>
      <w:pPr>
        <w:pStyle w:val="Heading2"/>
      </w:pPr>
      <w:r>
        <w:rPr>
          <w:rFonts w:ascii="Times New Roman" w:hAnsi="Times New Roman" w:eastAsia="Times New Roman"/>
          <w:sz w:val="22"/>
        </w:rPr>
        <w:t>2.8 Action uncertainty, observation uncertainty και hidden change</w:t>
      </w:r>
    </w:p>
    <w:p>
      <w:pPr>
        <w:spacing w:after="120" w:line="360" w:lineRule="auto"/>
        <w:ind w:firstLine="397"/>
        <w:jc w:val="both"/>
      </w:pPr>
      <w:r>
        <w:rPr>
          <w:rFonts w:ascii="Times New Roman" w:hAnsi="Times New Roman" w:eastAsia="Times New Roman"/>
          <w:sz w:val="22"/>
        </w:rPr>
        <w:t>Η παρούσα διπλωματική διαχωρίζει τρεις μορφές disturbance.</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persistent action remapping</w:t>
      </w:r>
      <w:r>
        <w:rPr>
          <w:rFonts w:ascii="Times New Roman" w:hAnsi="Times New Roman" w:eastAsia="Times New Roman"/>
          <w:sz w:val="22"/>
        </w:rPr>
        <w:t xml:space="preserve"> αλλάζει τη σημασιολογία της ενέργειας χωρίς να αλλάζει το ονομαστικό action set. Ο agent εξακολουθεί να επιλέγει, για παράδειγμα, </w:t>
      </w:r>
      <w:r>
        <w:rPr>
          <w:rFonts w:ascii="Consolas" w:hAnsi="Consolas" w:eastAsia="Consolas"/>
          <w:sz w:val="19"/>
        </w:rPr>
        <w:t>right</w:t>
      </w:r>
      <w:r>
        <w:rPr>
          <w:rFonts w:ascii="Times New Roman" w:hAnsi="Times New Roman" w:eastAsia="Times New Roman"/>
          <w:sz w:val="22"/>
        </w:rPr>
        <w:t xml:space="preserve">, αλλά το περιβάλλον μπορεί να εκτελεί τη συνέπεια που προηγουμένως αντιστοιχούσε στο </w:t>
      </w:r>
      <w:r>
        <w:rPr>
          <w:rFonts w:ascii="Consolas" w:hAnsi="Consolas" w:eastAsia="Consolas"/>
          <w:sz w:val="19"/>
        </w:rPr>
        <w:t>down</w:t>
      </w:r>
      <w:r>
        <w:rPr>
          <w:rFonts w:ascii="Times New Roman" w:hAnsi="Times New Roman" w:eastAsia="Times New Roman"/>
          <w:sz w:val="22"/>
        </w:rPr>
        <w:t>. Η αλλαγή δεν ανακοινώνεται με explicit change indicator.</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action failure</w:t>
      </w:r>
      <w:r>
        <w:rPr>
          <w:rFonts w:ascii="Times New Roman" w:hAnsi="Times New Roman" w:eastAsia="Times New Roman"/>
          <w:sz w:val="22"/>
        </w:rPr>
        <w:t xml:space="preserve"> εισάγει stochastic actuation uncertainty. Η intended action μπορεί να αποτύχει με προκαθορισμένη πιθανότητα. Σε αυτή την περίπτωση η underlying mapping δεν αντικαθίσταται από νέο μόνιμο regime με τον ίδιο τρόπο όπως στο action remap.</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observation corruption</w:t>
      </w:r>
      <w:r>
        <w:rPr>
          <w:rFonts w:ascii="Times New Roman" w:hAnsi="Times New Roman" w:eastAsia="Times New Roman"/>
          <w:sz w:val="22"/>
        </w:rPr>
        <w:t xml:space="preserve"> εισάγει information/perception uncertainty. Ο agent μπορεί να λάβει observation που δεν αντιστοιχεί στην evaluator true state. Η condition αυτή είναι conceptually διαφορετική από transition/action uncertainty, επειδή το learning update μπορεί να βασίζεται σε αλλοιωμένο input.</w:t>
      </w:r>
    </w:p>
    <w:p>
      <w:pPr>
        <w:spacing w:after="120" w:line="360" w:lineRule="auto"/>
        <w:ind w:firstLine="397"/>
        <w:jc w:val="both"/>
      </w:pPr>
      <w:r>
        <w:rPr>
          <w:rFonts w:ascii="Times New Roman" w:hAnsi="Times New Roman" w:eastAsia="Times New Roman"/>
          <w:sz w:val="22"/>
        </w:rPr>
        <w:t>Οι conditions δεν συνδυάζονται σε ενιαίο uncertainty score. Η ίδια η τελική εμπειρική ανάλυση δείχνει ότι η online adaptation έχει διαφορετική επίδραση στις τρεις families.</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Η έννοια της ανθεκτικότητας σε sequential decision systems μπορεί να αναλυθεί σε διαφορετικές συνιστώσες αντί να αντιμετωπιστεί ως ένας αδιαφανής αριθμός. Για την παρούσα εργασία είναι χρήσιμη η διάκριση ανάμεσα σε:</w:t>
      </w:r>
    </w:p>
    <w:p>
      <w:pPr>
        <w:pStyle w:val="ListBullet"/>
        <w:spacing w:after="60" w:line="324" w:lineRule="auto"/>
        <w:ind w:left="369"/>
      </w:pPr>
      <w:r>
        <w:rPr>
          <w:rFonts w:ascii="Times New Roman" w:hAnsi="Times New Roman" w:eastAsia="Times New Roman"/>
          <w:b/>
          <w:sz w:val="22"/>
        </w:rPr>
        <w:t>resistance/degradation:</w:t>
      </w:r>
      <w:r>
        <w:rPr>
          <w:rFonts w:ascii="Times New Roman" w:hAnsi="Times New Roman" w:eastAsia="Times New Roman"/>
          <w:sz w:val="22"/>
        </w:rPr>
        <w:t xml:space="preserve"> πόσο μειώνεται η επίδοση όταν εμφανίζεται disturbance,</w:t>
      </w:r>
    </w:p>
    <w:p>
      <w:pPr>
        <w:pStyle w:val="ListBullet"/>
        <w:spacing w:after="60" w:line="324" w:lineRule="auto"/>
        <w:ind w:left="369"/>
      </w:pPr>
      <w:r>
        <w:rPr>
          <w:rFonts w:ascii="Times New Roman" w:hAnsi="Times New Roman" w:eastAsia="Times New Roman"/>
          <w:b/>
          <w:sz w:val="22"/>
        </w:rPr>
        <w:t>adaptation benefit:</w:t>
      </w:r>
      <w:r>
        <w:rPr>
          <w:rFonts w:ascii="Times New Roman" w:hAnsi="Times New Roman" w:eastAsia="Times New Roman"/>
          <w:sz w:val="22"/>
        </w:rPr>
        <w:t xml:space="preserve"> κατά πόσο η συνέχιση της μάθησης μειώνει αυτή την απώλεια σε σχέση με frozen deployment,</w:t>
      </w:r>
    </w:p>
    <w:p>
      <w:pPr>
        <w:pStyle w:val="ListBullet"/>
        <w:spacing w:after="60" w:line="324" w:lineRule="auto"/>
        <w:ind w:left="369"/>
      </w:pPr>
      <w:r>
        <w:rPr>
          <w:rFonts w:ascii="Times New Roman" w:hAnsi="Times New Roman" w:eastAsia="Times New Roman"/>
          <w:b/>
          <w:sz w:val="22"/>
        </w:rPr>
        <w:t>recovery:</w:t>
      </w:r>
      <w:r>
        <w:rPr>
          <w:rFonts w:ascii="Times New Roman" w:hAnsi="Times New Roman" w:eastAsia="Times New Roman"/>
          <w:sz w:val="22"/>
        </w:rPr>
        <w:t xml:space="preserve"> αν και πότε η adaptive disturbed trajectory επιστρέφει σε προκαθορισμένη γειτονιά της adaptive nominal reference.</w:t>
      </w:r>
    </w:p>
    <w:p>
      <w:pPr>
        <w:spacing w:after="120" w:line="360" w:lineRule="auto"/>
        <w:ind w:firstLine="397"/>
        <w:jc w:val="both"/>
      </w:pPr>
      <w:r>
        <w:rPr>
          <w:rFonts w:ascii="Times New Roman" w:hAnsi="Times New Roman" w:eastAsia="Times New Roman"/>
          <w:sz w:val="22"/>
        </w:rPr>
        <w:t>Η διάκριση αυτή είναι project-specific operationalization και δεν παρουσιάζεται ως universal standard. Το four-branch FN/FD/AN/AD design είναι επίσης πειραματική κατασκευή της παρούσας εργασίας, σχεδιασμένη ώστε να απομονώνει το όφελος adaptation από nominal drift και από τη βασική επίδραση της disturbance.</w:t>
      </w:r>
    </w:p>
    <w:p>
      <w:pPr>
        <w:spacing w:after="120" w:line="360" w:lineRule="auto"/>
        <w:ind w:firstLine="397"/>
        <w:jc w:val="both"/>
      </w:pPr>
      <w:r>
        <w:rPr>
          <w:rFonts w:ascii="Times New Roman" w:hAnsi="Times New Roman" w:eastAsia="Times New Roman"/>
          <w:sz w:val="22"/>
        </w:rPr>
        <w:t>Η recovery απαιτεί ξεχωριστή αντιμετώπιση επειδή περιλαμβάνει event-like timing και πιθανότητα μη ανάκαμψης. Αν ένας agent δεν ανακάμψει μέσα στο observation horizon, η τιμή αυτή πρέπει να παραμείνει right-censored και να μη μετατραπεί σε ψευδή observed time ίσο με το horizon.</w:t>
      </w:r>
    </w:p>
    <w:p>
      <w:pPr>
        <w:pStyle w:val="Heading2"/>
      </w:pPr>
      <w:r>
        <w:rPr>
          <w:rFonts w:ascii="Times New Roman" w:hAnsi="Times New Roman" w:eastAsia="Times New Roman"/>
          <w:sz w:val="22"/>
        </w:rPr>
        <w:t>2.10 Continual adaptation, replay και model organization</w:t>
      </w:r>
    </w:p>
    <w:p>
      <w:pPr>
        <w:spacing w:after="120" w:line="360" w:lineRule="auto"/>
        <w:ind w:firstLine="397"/>
        <w:jc w:val="both"/>
      </w:pPr>
      <w:r>
        <w:rPr>
          <w:rFonts w:ascii="Times New Roman" w:hAnsi="Times New Roman" w:eastAsia="Times New Roman"/>
          <w:sz w:val="22"/>
        </w:rPr>
        <w:t>Η ordinary continued training δεν είναι η μόνη δυνατή προσέγγιση σε changing environments. Η ευρύτερη βιβλιογραφία περιλαμβάνει changepoint detection, context inference, memory/replay management, meta-learning, specialized continual-learning regularization και uncertainty-aware planning [2].</w:t>
      </w:r>
    </w:p>
    <w:p>
      <w:pPr>
        <w:spacing w:after="120" w:line="360" w:lineRule="auto"/>
        <w:ind w:firstLine="397"/>
        <w:jc w:val="both"/>
      </w:pPr>
      <w:r>
        <w:rPr>
          <w:rFonts w:ascii="Times New Roman" w:hAnsi="Times New Roman" w:eastAsia="Times New Roman"/>
          <w:sz w:val="22"/>
        </w:rPr>
        <w:t>Το ICLR 2025 context-driven work δείχνει ένα παράδειγμα όπου retained past experience χρησιμοποιείται για να περιοριστούν destructive policy changes σε παλιότερα contexts, αντί να χρησιμοποιείται απλώς ως stale on-policy training data [7]. Η σχεδίαση αυτή αντιμετωπίζει ρητά το stability/plasticity trade-off, αλλά απαιτεί observed context information που δεν υπάρχει στην παρούσα μελέτη.</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learned model και ένα ενιαίο replay/history mechanism μπορούν να δυσκολέψουν local adaptation όταν τμήμα του environment distribution αλλάξει [8]. Οι συγγραφείς αναδεικνύουν ένα interference-versus-forgetting trade-off: μεγάλο history μπορεί να κρατά stale transitions, ενώ πολύ περιορισμένο history μπορεί να ξεχνά παλιά αλλά ακόμη έγκυρη γνώση. Η partial-model παρέμβασή τους βελτιώνει adaptation σε συγκεκριμένα deep Dyna-Q/PlaNet/Dreamer setups, αλλά δεν μπορεί να μεταφερθεί απευθείας στην tabular Dyna-Q+ της παρούσας εργασίας.</w:t>
      </w:r>
    </w:p>
    <w:p>
      <w:pPr>
        <w:spacing w:after="120" w:line="360" w:lineRule="auto"/>
        <w:ind w:firstLine="397"/>
        <w:jc w:val="both"/>
      </w:pPr>
      <w:r>
        <w:rPr>
          <w:rFonts w:ascii="Times New Roman" w:hAnsi="Times New Roman" w:eastAsia="Times New Roman"/>
          <w:sz w:val="22"/>
        </w:rPr>
        <w:t>Οι δύο πρόσφατες εργασίες χρησιμοποιούνται συνεπώς για να τοποθετήσουν τα αποτελέσματα μέσα σε ευρύτερη continual-adaptation συζήτηση, όχι για να δημιουργήσουν εκ των υστέρων causal explanation της observed συμπεριφοράς.</w:t>
      </w:r>
    </w:p>
    <w:p>
      <w:pPr>
        <w:pStyle w:val="Heading2"/>
      </w:pPr>
      <w:r>
        <w:rPr>
          <w:rFonts w:ascii="Times New Roman" w:hAnsi="Times New Roman" w:eastAsia="Times New Roman"/>
          <w:sz w:val="22"/>
        </w:rPr>
        <w:t>2.11 Empirical RL design και δίκαιη σύγκριση</w:t>
      </w:r>
    </w:p>
    <w:p>
      <w:pPr>
        <w:spacing w:after="120" w:line="360" w:lineRule="auto"/>
        <w:ind w:firstLine="397"/>
        <w:jc w:val="both"/>
      </w:pPr>
      <w:r>
        <w:rPr>
          <w:rFonts w:ascii="Times New Roman" w:hAnsi="Times New Roman" w:eastAsia="Times New Roman"/>
          <w:sz w:val="22"/>
        </w:rPr>
        <w:t>Η αξιόπιστη σύγκριση RL methods είναι ιδιαίτερα ευαίσθητη σε random variation, hyperparameter choices, environment selection και reporting choices [5], [6]. Για αυτό μια σύγκριση πέντε ετερογενών methods δεν μπορεί να βασιστεί απλώς στο «ίδιο πλήθος επεισοδίων» ή σε ένα seed.</w:t>
      </w:r>
    </w:p>
    <w:p>
      <w:pPr>
        <w:spacing w:after="120" w:line="360" w:lineRule="auto"/>
        <w:ind w:firstLine="397"/>
        <w:jc w:val="both"/>
      </w:pPr>
      <w:r>
        <w:rPr>
          <w:rFonts w:ascii="Times New Roman" w:hAnsi="Times New Roman" w:eastAsia="Times New Roman"/>
          <w:sz w:val="22"/>
        </w:rPr>
        <w:t>Η βιβλιογραφία empirical RL design υποστηρίζει την ανάγκη για πολλαπλές ανεξάρτητες runs/roots, δίκαιη tuning opportunity, σαφές common experience budget και αναφορά uncertainty [5], [6]. Η παρούσα εργασία εφαρμόζει αυτές τις αρχές με actual-environment interactions ως κύριο budget, 12 independent roots και frozen tuning/configuration πριν από confirmatory outcomes.</w:t>
      </w:r>
    </w:p>
    <w:p>
      <w:pPr>
        <w:spacing w:after="120" w:line="360" w:lineRule="auto"/>
        <w:ind w:firstLine="397"/>
        <w:jc w:val="both"/>
      </w:pPr>
      <w:r>
        <w:rPr>
          <w:rFonts w:ascii="Times New Roman" w:hAnsi="Times New Roman" w:eastAsia="Times New Roman"/>
          <w:sz w:val="22"/>
        </w:rPr>
        <w:t xml:space="preserve">Ιδιαίτερη προσοχή απαιτούν και τα time limits. Ένα administrative episode cutoff δεν είναι κατ' ανάγκη terminal state του underlying continuing problem. Η βιβλιογραφία time-limit handling δείχνει ότι η λανθασμένη αντιμετώπιση truncation ως πραγματικού terminal μπορεί να αλλάξει τα learning targets [14]. Για αυτό το project διατηρεί explicit διάκριση </w:t>
      </w:r>
      <w:r>
        <w:rPr>
          <w:rFonts w:ascii="Consolas" w:hAnsi="Consolas" w:eastAsia="Consolas"/>
          <w:sz w:val="19"/>
        </w:rPr>
        <w:t>terminated</w:t>
      </w:r>
      <w:r>
        <w:rPr>
          <w:rFonts w:ascii="Times New Roman" w:hAnsi="Times New Roman" w:eastAsia="Times New Roman"/>
          <w:sz w:val="22"/>
        </w:rPr>
        <w:t>/</w:t>
      </w:r>
      <w:r>
        <w:rPr>
          <w:rFonts w:ascii="Consolas" w:hAnsi="Consolas" w:eastAsia="Consolas"/>
          <w:sz w:val="19"/>
        </w:rPr>
        <w:t>truncated</w:t>
      </w:r>
      <w:r>
        <w:rPr>
          <w:rFonts w:ascii="Times New Roman" w:hAnsi="Times New Roman" w:eastAsia="Times New Roman"/>
          <w:sz w:val="22"/>
        </w:rPr>
        <w:t xml:space="preserve"> και bootstrapping semantics σύμφωνα με το frozen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rPr>
          <w:rFonts w:ascii="Times New Roman" w:hAnsi="Times New Roman" w:eastAsia="Times New Roman"/>
          <w:sz w:val="22"/>
        </w:rPr>
        <w:t>Η υπάρχουσα βιβλιογραφία καλύπτει πολλές διαφορετικές όψεις του προβλήματος: standard TD control, deep value learning, policy optimization, model-based planning, continual RL, plasticity/forgetting, replay management και local adaptation. Ωστόσο, οι μελέτες διαφέρουν σε environments, information assumptions, budgets και στόχους, οπότε οι αποτελεσματικές συγκρίσεις απαιτούν ρητή αναφορά των transfer boundaries.</w:t>
      </w:r>
    </w:p>
    <w:p>
      <w:pPr>
        <w:spacing w:after="120" w:line="360" w:lineRule="auto"/>
        <w:ind w:firstLine="397"/>
        <w:jc w:val="both"/>
      </w:pPr>
      <w:r>
        <w:rPr>
          <w:rFonts w:ascii="Times New Roman" w:hAnsi="Times New Roman" w:eastAsia="Times New Roman"/>
          <w:sz w:val="22"/>
        </w:rPr>
        <w:t xml:space="preserve">Η παρούσα εργασία δεν επιχειρεί να αναπαράγει ένα μεγάλο continual-RL benchmark ούτε να καλύψει όλες τις algorithm families. Επιλέγει πέντε μηχανιστικά διαφορετικές και υλοποιήσιμες methods ώστε να εξεταστούν κάτω από </w:t>
      </w:r>
      <w:r>
        <w:rPr>
          <w:rFonts w:ascii="Times New Roman" w:hAnsi="Times New Roman" w:eastAsia="Times New Roman"/>
          <w:b/>
          <w:sz w:val="22"/>
        </w:rPr>
        <w:t>ένα κοινό, αυστηρά ελεγχόμενο protocol</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directed re-exploration.</w:t>
      </w:r>
    </w:p>
    <w:p>
      <w:pPr>
        <w:spacing w:after="120" w:line="360" w:lineRule="auto"/>
        <w:ind w:firstLine="397"/>
        <w:jc w:val="both"/>
      </w:pPr>
      <w:r>
        <w:rPr>
          <w:rFonts w:ascii="Times New Roman" w:hAnsi="Times New Roman" w:eastAsia="Times New Roman"/>
          <w:sz w:val="22"/>
        </w:rPr>
        <w:t>Η προσέγγιση αυτή επιτρέπει να διαχωριστούν τρία ερωτήματα που συχνά συμπλέκονται: πόσο αποτελεσματικά μαθαίνει ένας agent nominally, αν continued learning μειώνει aggregate disturbance loss και αν η policy επανέρχεται σταθερά κοντά στην matched nominal adaptive trajectory.</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rPr>
          <w:rFonts w:ascii="Times New Roman" w:hAnsi="Times New Roman" w:eastAsia="Times New Roman"/>
          <w:sz w:val="22"/>
        </w:rPr>
        <w:t xml:space="preserve">Το ερευνητικό κενό που αντιμετωπίζει η εργασία δεν είναι η απουσία αλγορίθμων για non-stationary RL. Η βιβλιογραφία διαθέτει πολλές specialized λύσεις. Το ερώτημα της παρούσας μελέτης είναι πιο συγκεκριμένο: </w:t>
      </w:r>
      <w:r>
        <w:rPr>
          <w:rFonts w:ascii="Times New Roman" w:hAnsi="Times New Roman" w:eastAsia="Times New Roman"/>
          <w:b/>
          <w:sz w:val="22"/>
        </w:rPr>
        <w:t>πώς συμπεριφέρονται διαφορετικοί standard RL mechanisms όταν αξιολογούνται υπό κοινό information contract, κοινό actual-interaction budget και matched hidden-change deployment, με χωριστή μέτρηση adaptation benefit και recovery;</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stationary benchmark comparisons δεν εξετάζουν ρητά τη post-change behavior. Από την άλλη, specialized continual-RL systems συχνά εισάγουν additional context, detectors, memory rules ή architectural priors. Η παρούσα μελέτη κρατά τους πέντε methods κοντά στη standard operation τους και μεταβάλλει ελεγχόμενα το environment contract μετά από exact scientific checkpoint.</w:t>
      </w:r>
    </w:p>
    <w:p>
      <w:pPr>
        <w:spacing w:after="120" w:line="360" w:lineRule="auto"/>
        <w:ind w:firstLine="397"/>
        <w:jc w:val="both"/>
      </w:pPr>
      <w:r>
        <w:rPr>
          <w:rFonts w:ascii="Times New Roman" w:hAnsi="Times New Roman" w:eastAsia="Times New Roman"/>
          <w:sz w:val="22"/>
        </w:rPr>
        <w:t>Με αυτόν τον τρόπο, τα τελικά αποτελέσματα μπορούν να διαβαστούν ως controlled baseline για resilience/adaptation mechanisms και όχι ως ανταγωνισμός όλων των σύγχρονων continual-RL τεχνικών. Η θέση αυτή καθορίζει και την ερμηνεία των επόμενων κεφαλαίων: η εργασία αξιολογεί συγκεκριμένα mechanisms υπό συγκεκριμένο contract και διατηρεί ρητά τα όρια μεταφοράς σε broader settings.</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rPr>
          <w:rFonts w:ascii="Times New Roman" w:hAnsi="Times New Roman" w:eastAsia="Times New Roman"/>
          <w:sz w:val="22"/>
        </w:rPr>
        <w:t>3.2 GridWorld ως ελεγχόμενο πειραματικό testbed</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rPr>
          <w:rFonts w:ascii="Times New Roman" w:hAnsi="Times New Roman" w:eastAsia="Times New Roman"/>
          <w:sz w:val="22"/>
        </w:rPr>
        <w:t>3.3 Τελικές μέθοδοι και fairness boundaries</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pStyle w:val="Heading2"/>
      </w:pPr>
      <w:r>
        <w:rPr>
          <w:rFonts w:ascii="Times New Roman" w:hAnsi="Times New Roman" w:eastAsia="Times New Roman"/>
          <w:sz w:val="22"/>
        </w:rPr>
        <w:t>3.4 Phase A: ανεξάρτητη ονομαστική μάθηση και checkpoints</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rPr>
          <w:rFonts w:ascii="Times New Roman" w:hAnsi="Times New Roman" w:eastAsia="Times New Roman"/>
          <w:sz w:val="22"/>
        </w:rPr>
        <w:t>3.5 Phase B: matched FN/FD/AN/AD design</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rPr>
          <w:rFonts w:ascii="Times New Roman" w:hAnsi="Times New Roman" w:eastAsia="Times New Roman"/>
          <w:sz w:val="22"/>
        </w:rPr>
        <w:t>3.6 Μηχανισμοί αβεβαιότητας και disturbance conditions</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pStyle w:val="Heading2"/>
      </w:pPr>
      <w:r>
        <w:rPr>
          <w:rFonts w:ascii="Times New Roman" w:hAnsi="Times New Roman" w:eastAsia="Times New Roman"/>
          <w:sz w:val="22"/>
        </w:rPr>
        <w:t>3.7 RQ1: estimands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rPr>
          <w:rFonts w:ascii="Times New Roman" w:hAnsi="Times New Roman" w:eastAsia="Times New Roman"/>
          <w:sz w:val="22"/>
        </w:rPr>
        <w:t>3.8 RQ2: resilience και adaptation-benefit estimand</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rPr>
          <w:rFonts w:ascii="Times New Roman" w:hAnsi="Times New Roman" w:eastAsia="Times New Roman"/>
          <w:sz w:val="22"/>
        </w:rPr>
        <w:t>3.9 RQ3: recovery, passive windows και right-censoring</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pStyle w:val="Heading2"/>
      </w:pPr>
      <w:r>
        <w:rPr>
          <w:rFonts w:ascii="Times New Roman" w:hAnsi="Times New Roman" w:eastAsia="Times New Roman"/>
          <w:sz w:val="22"/>
        </w:rPr>
        <w:t>3.10 Roots, layouts, budgets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rPr>
          <w:rFonts w:ascii="Times New Roman" w:hAnsi="Times New Roman" w:eastAsia="Times New Roman"/>
          <w:sz w:val="22"/>
        </w:rPr>
        <w:t>3.12 Reproducibility, provenance και scientific firewall</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keepNext/>
        <w:jc w:val="center"/>
      </w:pPr>
      <w:r>
        <w:drawing>
          <wp:inline xmlns:a="http://schemas.openxmlformats.org/drawingml/2006/main" xmlns:pic="http://schemas.openxmlformats.org/drawingml/2006/picture">
            <wp:extent cx="5577840" cy="1564993"/>
            <wp:docPr id="1" name="Picture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Protocol flow; exact checkpoints precede matched FN/FD/AN/AD branches.</w:t>
      </w:r>
    </w:p>
    <w:p>
      <w:pPr>
        <w:keepNext/>
        <w:jc w:val="center"/>
      </w:pPr>
      <w:r>
        <w:drawing>
          <wp:inline xmlns:a="http://schemas.openxmlformats.org/drawingml/2006/main" xmlns:pic="http://schemas.openxmlformats.org/drawingml/2006/picture">
            <wp:extent cx="5577840" cy="1646791"/>
            <wp:docPr id="2" name="Picture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Map from each research question to its frozen estimands and registered outputs.</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rPr>
          <w:rFonts w:ascii="Times New Roman" w:hAnsi="Times New Roman" w:eastAsia="Times New Roman"/>
          <w:sz w:val="22"/>
        </w:rPr>
        <w:t>4.3 Study ως μονάδα εκτέλεσης και provenance</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rPr>
          <w:rFonts w:ascii="Times New Roman" w:hAnsi="Times New Roman" w:eastAsia="Times New Roman"/>
          <w:sz w:val="22"/>
        </w:rPr>
        <w:t>4.4 Deterministic planning και stage barriers</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rPr>
          <w:rFonts w:ascii="Times New Roman" w:hAnsi="Times New Roman" w:eastAsia="Times New Roman"/>
          <w:sz w:val="22"/>
        </w:rPr>
        <w:t>4.6 RNG isolation και reproducibility</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pStyle w:val="Heading2"/>
      </w:pPr>
      <w:r>
        <w:rPr>
          <w:rFonts w:ascii="Times New Roman" w:hAnsi="Times New Roman" w:eastAsia="Times New Roman"/>
          <w:sz w:val="22"/>
        </w:rPr>
        <w:t>4.7 Run bundles,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rPr>
          <w:rFonts w:ascii="Times New Roman" w:hAnsi="Times New Roman" w:eastAsia="Times New Roman"/>
          <w:sz w:val="22"/>
        </w:rPr>
        <w:t>4.8 Evidence-v2 validation και analysis layer</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rPr>
          <w:rFonts w:ascii="Times New Roman" w:hAnsi="Times New Roman" w:eastAsia="Times New Roman"/>
          <w:sz w:val="22"/>
        </w:rPr>
        <w:t>4.9 Χειρισμός αποτυχίας και το T-610 recovery path</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rPr>
          <w:rFonts w:ascii="Times New Roman" w:hAnsi="Times New Roman" w:eastAsia="Times New Roman"/>
          <w:sz w:val="22"/>
        </w:rPr>
        <w:t>4.11 Live visualization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rPr>
          <w:rFonts w:ascii="Times New Roman" w:hAnsi="Times New Roman" w:eastAsia="Times New Roman"/>
          <w:sz w:val="22"/>
        </w:rPr>
        <w:t>4.12 Execution supervision και restart safety</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rPr>
          <w:rFonts w:ascii="Times New Roman" w:hAnsi="Times New Roman" w:eastAsia="Times New Roman"/>
          <w:sz w:val="22"/>
        </w:rPr>
        <w:t>4.13 Final-reserve firewall και authorization</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rPr>
          <w:rFonts w:ascii="Times New Roman" w:hAnsi="Times New Roman" w:eastAsia="Times New Roman"/>
          <w:sz w:val="22"/>
        </w:rPr>
        <w:t>4.14 Παραγωγή αποτελεσμάτων και thesis assets</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πάνω στο evidence set που επικυρώθηκε και πάγωσε στο T-611. Η τελική ανάλυση χρησιμοποιεί ως ανεξάρτητη μονάδα τη root, συνδυάζει τις δύο held-out layouts με ίσο βάρος μέσα σε κάθε root και συνοδεύει τις scalar summaries με pointwise 95% Student-t intervals χρησιμοποιώντας το πραγματικό πλήθος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accepted replacement execution ολοκλήρωσε 603/603 jobs και παρήγαγε 600 επιστημονικά run bundles. Η αρχική αποτυχημένη προσπάθεια των 216 jobs δεν αποτέλεσε input στην τελική ανάλυση. Η canonical ανάλυση και οι 12 machine-readable exports αναπαράχθηκαν δύο φορές byte-for-byte από το frozen evidence.</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root-paired διαφορές A−B μετά την equal-layout reduction. Τα intervals είναι pointwise estimation intervals και δεν συνιστούν simultaneous inference. Δεν έχει οριστεί οικογένεια p-values ούτε σύνθετος δείκτης συνολικής κατάταξης. Συνεπώς, το κεφάλαιο αποφεύγει τη γλώσσα «καθολικού νικητή» ή «στατιστικά σημαντικής υπεροχής» πέρα από όσα υποστηρίζει το προδηλωμένο analysis contract.</w:t>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interaction budget.</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Κάθε μία από τις τρεις υπερείχε της DQN κατά 1,762 return units όταν η διαφορά εκφράζεται ως method-minus-DQN, με paired interval [0,637, 2,888]. Η αντίστοιχη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Final nominal return by method with pointwise 95% Student-t intervals over 12 roots.</w:t>
      </w:r>
    </w:p>
    <w:p>
      <w:pPr>
        <w:pStyle w:val="Heading3"/>
      </w:pPr>
      <w:r>
        <w:rPr>
          <w:rFonts w:ascii="Times New Roman" w:hAnsi="Times New Roman" w:eastAsia="Times New Roman"/>
          <w:sz w:val="22"/>
        </w:rPr>
        <w:t>5.2.2 Αποτελεσματικότητα μάθησης κατά μήκος του budget</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η Dyna-Q+ υπερείχε της Q-Learning κατά 1,143 [0,936, 1,350], της SARSA κατά 1,126 [0,949, 1,303], της DQN κατά 2,377 [1,441, 3,314] και της PPO κατά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Interaction-axis time-average return, kept separate from final performance.</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condition</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Condition</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condition».</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Adaptation benefit by method and frozen condition; positive values mean lower Adaptive than Frozen loss.</w:t>
      </w:r>
    </w:p>
    <w:p>
      <w:pPr>
        <w:keepNext/>
        <w:jc w:val="center"/>
      </w:pPr>
      <w:r>
        <w:drawing>
          <wp:inline xmlns:a="http://schemas.openxmlformats.org/drawingml/2006/main" xmlns:pic="http://schemas.openxmlformats.org/drawingml/2006/picture">
            <wp:extent cx="5577840" cy="3994610"/>
            <wp:docPr id="6" name="Picture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Frozen and Adaptive disturbance-associated loss remain distinct quantities.</w:t>
      </w:r>
    </w:p>
    <w:p>
      <w:pPr>
        <w:pStyle w:val="Heading3"/>
      </w:pPr>
      <w:r>
        <w:rPr>
          <w:rFonts w:ascii="Times New Roman" w:hAnsi="Times New Roman" w:eastAsia="Times New Roman"/>
          <w:sz w:val="22"/>
        </w:rPr>
        <w:t>5.3.2 Persistent action-remap cycle</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Persistent action-remap swap</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Q-Learning υπερείχε της SARSA κατά 8,879 [3,432, 14,327]. Η SARSA υπερείχε της PPO κατά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Action failure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Observation corruption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Condition-small-multiple view of adaptation benefit on consistent scales.</w:t>
      </w:r>
    </w:p>
    <w:p>
      <w:pPr>
        <w:pStyle w:val="Heading2"/>
      </w:pPr>
      <w:r>
        <w:rPr>
          <w:rFonts w:ascii="Times New Roman" w:hAnsi="Times New Roman" w:eastAsia="Times New Roman"/>
          <w:sz w:val="22"/>
        </w:rPr>
        <w:t>5.4 RQ3 — Ανάκαμψη μετά από persistent action remapping</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Cycle remap</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Swap remap</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Stored per-root directed-gap trajectories for the primary action-remap family; dashed line is tolerance 0.10.</w:t>
      </w:r>
    </w:p>
    <w:p>
      <w:pPr>
        <w:keepNext/>
        <w:jc w:val="center"/>
      </w:pPr>
      <w:r>
        <w:drawing>
          <wp:inline xmlns:a="http://schemas.openxmlformats.org/drawingml/2006/main" xmlns:pic="http://schemas.openxmlformats.org/drawingml/2006/picture">
            <wp:extent cx="5577840" cy="2498430"/>
            <wp:docPr id="9" name="Picture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Recovered roots at primary tolerance 0.10; unrecovered roots remain right-censored.</w:t>
      </w:r>
    </w:p>
    <w:p>
      <w:pPr>
        <w:keepNext/>
        <w:jc w:val="center"/>
      </w:pPr>
      <w:r>
        <w:drawing>
          <wp:inline xmlns:a="http://schemas.openxmlformats.org/drawingml/2006/main" xmlns:pic="http://schemas.openxmlformats.org/drawingml/2006/picture">
            <wp:extent cx="5577840" cy="2485176"/>
            <wp:docPr id="10" name="Picture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Censoring-aware restricted recovery delay through the 256-interaction horizon.</w:t>
      </w:r>
    </w:p>
    <w:p>
      <w:pPr>
        <w:keepNext/>
        <w:jc w:val="center"/>
      </w:pPr>
      <w:r>
        <w:drawing>
          <wp:inline xmlns:a="http://schemas.openxmlformats.org/drawingml/2006/main" xmlns:pic="http://schemas.openxmlformats.org/drawingml/2006/picture">
            <wp:extent cx="5577840" cy="2485176"/>
            <wp:docPr id="11" name="Picture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Observed recovery time only among recovered roots; displayed n excludes right-censored roots.</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rPr>
                <w:rFonts w:ascii="Times New Roman" w:hAnsi="Times New Roman" w:eastAsia="Times New Roman"/>
                <w:b/>
                <w:sz w:val="18"/>
              </w:rPr>
              <w:t>Cycle</w:t>
            </w:r>
          </w:p>
        </w:tc>
        <w:tc>
          <w:tcPr>
            <w:tcW w:type="dxa" w:w="2929"/>
            <w:tcMar>
              <w:top w:w="80" w:type="dxa"/>
              <w:start w:w="80" w:type="dxa"/>
              <w:bottom w:w="80" w:type="dxa"/>
              <w:end w:w="80" w:type="dxa"/>
            </w:tcMar>
            <w:vAlign w:val="center"/>
          </w:tcPr>
          <w:p>
            <w:r>
              <w:rPr>
                <w:rFonts w:ascii="Times New Roman" w:hAnsi="Times New Roman" w:eastAsia="Times New Roman"/>
                <w:b/>
                <w:sz w:val="18"/>
              </w:rPr>
              <w:t>Swap</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Σύνοψη για την ενότητα «5.4.3 Ευαισθησία στην ανοχή ανάκαμψης».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Predeclared 0.05/0.10/0.20 tolerance sensitivity; 0.10 remains primary.</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αλλά η Dyna-Q+ είχε σημαντικά υψηλότερη time-average επίδοση κατά μήκος του training budget. Η DQN και η PPO είχαν χαμηλότερη τελική και time-average επίδοση και μεγαλύτερη μεταξύ-root διακύμανση στο συγκεκριμένο controlled task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είναι η ισχυρότερη ως προς time-average nominal learning, ενώ Q-Learning και SARSA έχουν την πιο συνεπή recovery incidence στις persistent remap conditions. Η ίδια η online adaptation μπορεί να είναι ωφέλιμη, ουδέτερη ή επιβλαβής ανάλογα με τον disturbance mechanism.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rPr>
          <w:rFonts w:ascii="Times New Roman" w:hAnsi="Times New Roman" w:eastAsia="Times New Roman"/>
          <w:sz w:val="22"/>
        </w:rPr>
        <w:t>6.2 RQ1: τελική επίδοση και sample efficiency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rPr>
          <w:rFonts w:ascii="Times New Roman" w:hAnsi="Times New Roman" w:eastAsia="Times New Roman"/>
          <w:sz w:val="22"/>
        </w:rPr>
        <w:t>Η παρατήρηση είναι συμβατή με τη βασική αρχή της Dyna ότι η πραγματική εμπειρία αξιοποιείται τόσο για άμεση value learning όσο και για model-based planning updates [1].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pStyle w:val="Heading2"/>
      </w:pPr>
      <w:r>
        <w:rPr>
          <w:rFonts w:ascii="Times New Roman" w:hAnsi="Times New Roman" w:eastAsia="Times New Roman"/>
          <w:sz w:val="22"/>
        </w:rPr>
        <w:t>6.3 RQ2: η προσαρμογή είναι condition-dependent</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rPr>
          <w:rFonts w:ascii="Times New Roman" w:hAnsi="Times New Roman" w:eastAsia="Times New Roman"/>
          <w:sz w:val="22"/>
        </w:rP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pStyle w:val="Heading2"/>
      </w:pPr>
      <w:r>
        <w:rPr>
          <w:rFonts w:ascii="Times New Roman" w:hAnsi="Times New Roman" w:eastAsia="Times New Roman"/>
          <w:sz w:val="22"/>
        </w:rPr>
        <w:t>6.5 RQ3: recovery incidence, timing και censoring</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rPr>
          <w:rFonts w:ascii="Times New Roman" w:hAnsi="Times New Roman" w:eastAsia="Times New Roman"/>
          <w:sz w:val="22"/>
        </w:rPr>
        <w:t>6.6 Ευαισθησία στον operational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rPr>
          <w:rFonts w:ascii="Times New Roman" w:hAnsi="Times New Roman" w:eastAsia="Times New Roman"/>
          <w:sz w:val="22"/>
        </w:rPr>
        <w:t>6.7 Σχέση με continual RL και hidden change</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pStyle w:val="Heading2"/>
      </w:pPr>
      <w:r>
        <w:rPr>
          <w:rFonts w:ascii="Times New Roman" w:hAnsi="Times New Roman" w:eastAsia="Times New Roman"/>
          <w:sz w:val="22"/>
        </w:rPr>
        <w:t>6.8 Απειλές προς την εσωτερική εγκυρότητα</w:t>
      </w:r>
    </w:p>
    <w:p>
      <w:pPr>
        <w:pStyle w:val="Heading3"/>
      </w:pPr>
      <w:r>
        <w:rPr>
          <w:rFonts w:ascii="Times New Roman" w:hAnsi="Times New Roman" w:eastAsia="Times New Roman"/>
          <w:sz w:val="22"/>
        </w:rPr>
        <w:t>6.8.1 Fairness και tuning</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rPr>
          <w:rFonts w:ascii="Times New Roman" w:hAnsi="Times New Roman" w:eastAsia="Times New Roman"/>
          <w:sz w:val="22"/>
        </w:rPr>
        <w:t>6.8.2 Checkpoint equivalence</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rPr>
          <w:rFonts w:ascii="Times New Roman" w:hAnsi="Times New Roman" w:eastAsia="Times New Roman"/>
          <w:sz w:val="22"/>
        </w:rPr>
        <w:t>6.8.3 Information leakage</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rPr>
          <w:rFonts w:ascii="Times New Roman" w:hAnsi="Times New Roman" w:eastAsia="Times New Roman"/>
          <w:sz w:val="22"/>
        </w:rPr>
        <w:t>6.9 Construct validity</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rPr>
          <w:rFonts w:ascii="Times New Roman" w:hAnsi="Times New Roman" w:eastAsia="Times New Roman"/>
          <w:sz w:val="22"/>
        </w:rPr>
        <w:t>6.10 Statistical conclusion validity</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rPr>
          <w:rFonts w:ascii="Times New Roman" w:hAnsi="Times New Roman" w:eastAsia="Times New Roman"/>
          <w:sz w:val="22"/>
        </w:rPr>
        <w:t>6.11 External validity</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pStyle w:val="Heading2"/>
      </w:pPr>
      <w:r>
        <w:rPr>
          <w:rFonts w:ascii="Times New Roman" w:hAnsi="Times New Roman" w:eastAsia="Times New Roman"/>
          <w:sz w:val="22"/>
        </w:rPr>
        <w:t>6.12 Reproducibility validity</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nominal level, οι τρεις tabular/planning μέθοδοι δεν διαχωρίστηκαν. Ως προς τη learning efficiency, η Dyna-Q+ είχε το ισχυρότερο αποτέλεσμα. Το εύρημα παραμένει περιορισμένο στο συγκεκριμένο controlled task, budget και frozen configuration set.</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rPr>
          <w:rFonts w:ascii="Times New Roman" w:hAnsi="Times New Roman" w:eastAsia="Times New Roman"/>
          <w:sz w:val="22"/>
        </w:rPr>
        <w:t>7.7.2 Διαφορετικά budgets και learning timescales</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rPr>
          <w:rFonts w:ascii="Times New Roman" w:hAnsi="Times New Roman" w:eastAsia="Times New Roman"/>
          <w:sz w:val="22"/>
        </w:rPr>
        <w:t>7.7.3 Ρητή ανίχνευση αλλαγής και context inference</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rPr>
          <w:rFonts w:ascii="Times New Roman" w:hAnsi="Times New Roman" w:eastAsia="Times New Roman"/>
          <w:sz w:val="22"/>
        </w:rPr>
        <w:t>7.7.4 Specialized continual-learning mechanisms</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rPr>
          <w:rFonts w:ascii="Times New Roman" w:hAnsi="Times New Roman" w:eastAsia="Times New Roman"/>
          <w:sz w:val="22"/>
        </w:rPr>
        <w:t>7.7.5 Modular model-based adaptation</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rPr>
          <w:rFonts w:ascii="Times New Roman" w:hAnsi="Times New Roman" w:eastAsia="Times New Roman"/>
          <w:sz w:val="22"/>
        </w:rPr>
        <w:t>7.7.6 Διαχείριση replay υπό non-stationarity</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rPr>
          <w:rFonts w:ascii="Times New Roman" w:hAnsi="Times New Roman" w:eastAsia="Times New Roman"/>
          <w:sz w:val="22"/>
        </w:rPr>
        <w:t>7.7.7 Πλουσιότερη μελέτη recovery</w:t>
      </w:r>
    </w:p>
    <w:p>
      <w:pPr>
        <w:spacing w:after="120" w:line="360" w:lineRule="auto"/>
        <w:ind w:firstLine="397"/>
        <w:jc w:val="both"/>
      </w:pPr>
      <w:r>
        <w:rPr>
          <w:rFonts w:ascii="Times New Roman" w:hAnsi="Times New Roman" w:eastAsia="Times New Roman"/>
          <w:sz w:val="22"/>
        </w:rPr>
        <w:t>Η παρούσα μελέτη χρησιμοποιεί 32-interaction windows και fixed horizon 256. Μελλοντική εργασία μπορεί να εξετάσει διαφορετικές προκαθορισμένες temporal resolutions, longer horizons ή event-time models που χειρίζονται censoring πιο άμεσα.</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rPr>
          <w:rFonts w:ascii="Times New Roman" w:hAnsi="Times New Roman" w:eastAsia="Times New Roman"/>
          <w:sz w:val="22"/>
        </w:rPr>
        <w:t>7.7.8 Περισσότερες ανεξάρτητες roots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rPr>
          <w:rFonts w:ascii="Times New Roman" w:hAnsi="Times New Roman" w:eastAsia="Times New Roman"/>
          <w:sz w:val="22"/>
        </w:rPr>
        <w:t>7.7.9 Safety και constraint-aware adaptation</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Σύνοψη για την ενότητα «Ακρωνύμια».</w:t>
      </w:r>
    </w:p>
    <w:p>
      <w:pPr>
        <w:pStyle w:val="Heading2"/>
      </w:pPr>
      <w:r>
        <w:rPr>
          <w:rFonts w:ascii="Times New Roman" w:hAnsi="Times New Roman" w:eastAsia="Times New Roman"/>
          <w:sz w:val="22"/>
        </w:rPr>
        <w:t>Βασικοί όροι</w:t>
      </w:r>
    </w:p>
    <w:p>
      <w:pPr>
        <w:pStyle w:val="Heading3"/>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Heading3"/>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Heading3"/>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Heading3"/>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Heading3"/>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Heading3"/>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Heading3"/>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Heading3"/>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Heading3"/>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Heading3"/>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Heading3"/>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Heading3"/>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Heading3"/>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Heading3"/>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Heading3"/>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Heading3"/>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Heading3"/>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Heading3"/>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Heading3"/>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Heading3"/>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Heading3"/>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Heading3"/>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Heading3"/>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Heading3"/>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rPr>
          <w:rFonts w:ascii="Times New Roman" w:hAnsi="Times New Roman" w:eastAsia="Times New Roman"/>
          <w:sz w:val="22"/>
        </w:rPr>
        <w:t>Α.1 Methods και βασικές frozen ρυθμίσεις</w:t>
      </w:r>
    </w:p>
    <w:p>
      <w:pPr>
        <w:spacing w:after="120" w:line="360" w:lineRule="auto"/>
        <w:ind w:firstLine="397"/>
        <w:jc w:val="both"/>
      </w:pPr>
      <w:r>
        <w:rPr>
          <w:rFonts w:ascii="Times New Roman" w:hAnsi="Times New Roman" w:eastAsia="Times New Roman"/>
          <w:sz w:val="22"/>
        </w:rPr>
        <w:t xml:space="preserve">Η τελική μελέτη χρησιμοποιεί Q-Learning, SARSA, DQN, PPO και Dyna-Q+. Η αυθεντία για όλες τις ακριβείς ρυθμίσεις είναι το </w:t>
      </w:r>
      <w:r>
        <w:rPr>
          <w:rFonts w:ascii="Consolas" w:hAnsi="Consolas" w:eastAsia="Consolas"/>
          <w:sz w:val="19"/>
        </w:rPr>
        <w:t>configs/protocols/protocol-v2.1-final.json</w:t>
      </w:r>
      <w:r>
        <w:rPr>
          <w:rFonts w:ascii="Times New Roman" w:hAnsi="Times New Roman" w:eastAsia="Times New Roman"/>
          <w:sz w:val="22"/>
        </w:rPr>
        <w:t xml:space="preserve"> και όχι χειροκίνητος πίνακας που μπορεί να αποκλίνει.</w:t>
      </w:r>
    </w:p>
    <w:p>
      <w:pPr>
        <w:pStyle w:val="ListBullet"/>
        <w:spacing w:after="60" w:line="324" w:lineRule="auto"/>
        <w:ind w:left="369"/>
      </w:pPr>
      <w:r>
        <w:rPr>
          <w:rFonts w:ascii="Times New Roman" w:hAnsi="Times New Roman" w:eastAsia="Times New Roman"/>
          <w:sz w:val="22"/>
        </w:rPr>
        <w:t>method identifier,</w:t>
      </w:r>
    </w:p>
    <w:p>
      <w:pPr>
        <w:pStyle w:val="ListBullet"/>
        <w:spacing w:after="60" w:line="324" w:lineRule="auto"/>
        <w:ind w:left="369"/>
      </w:pPr>
      <w:r>
        <w:rPr>
          <w:rFonts w:ascii="Times New Roman" w:hAnsi="Times New Roman" w:eastAsia="Times New Roman"/>
          <w:sz w:val="22"/>
        </w:rPr>
        <w:t>learning rate,</w:t>
      </w:r>
    </w:p>
    <w:p>
      <w:pPr>
        <w:pStyle w:val="ListBullet"/>
        <w:spacing w:after="60" w:line="324" w:lineRule="auto"/>
        <w:ind w:left="369"/>
      </w:pPr>
      <w:r>
        <w:rPr>
          <w:rFonts w:ascii="Times New Roman" w:hAnsi="Times New Roman" w:eastAsia="Times New Roman"/>
          <w:sz w:val="22"/>
        </w:rPr>
        <w:t>discount factor,</w:t>
      </w:r>
    </w:p>
    <w:p>
      <w:pPr>
        <w:pStyle w:val="ListBullet"/>
        <w:spacing w:after="60" w:line="324" w:lineRule="auto"/>
        <w:ind w:left="369"/>
      </w:pPr>
      <w:r>
        <w:rPr>
          <w:rFonts w:ascii="Times New Roman" w:hAnsi="Times New Roman" w:eastAsia="Times New Roman"/>
          <w:sz w:val="22"/>
        </w:rPr>
        <w:t>exploration configuration όπου εφαρμόζεται,</w:t>
      </w:r>
    </w:p>
    <w:p>
      <w:pPr>
        <w:pStyle w:val="ListBullet"/>
        <w:spacing w:after="60" w:line="324" w:lineRule="auto"/>
        <w:ind w:left="369"/>
      </w:pPr>
      <w:r>
        <w:rPr>
          <w:rFonts w:ascii="Times New Roman" w:hAnsi="Times New Roman" w:eastAsia="Times New Roman"/>
          <w:sz w:val="22"/>
        </w:rPr>
        <w:t>replay/target settings για DQN,</w:t>
      </w:r>
    </w:p>
    <w:p>
      <w:pPr>
        <w:pStyle w:val="ListBullet"/>
        <w:spacing w:after="60" w:line="324" w:lineRule="auto"/>
        <w:ind w:left="369"/>
      </w:pPr>
      <w:r>
        <w:rPr>
          <w:rFonts w:ascii="Times New Roman" w:hAnsi="Times New Roman" w:eastAsia="Times New Roman"/>
          <w:sz w:val="22"/>
        </w:rPr>
        <w:t>rollout/minibatch/update settings για PPO,</w:t>
      </w:r>
    </w:p>
    <w:p>
      <w:pPr>
        <w:pStyle w:val="ListBullet"/>
        <w:spacing w:after="60" w:line="324" w:lineRule="auto"/>
        <w:ind w:left="369"/>
      </w:pPr>
      <w:r>
        <w:rPr>
          <w:rFonts w:ascii="Times New Roman" w:hAnsi="Times New Roman" w:eastAsia="Times New Roman"/>
          <w:sz w:val="22"/>
        </w:rPr>
        <w:t xml:space="preserve">planning steps και </w:t>
      </w:r>
      <w:r>
        <w:rPr>
          <w:rFonts w:ascii="Consolas" w:hAnsi="Consolas" w:eastAsia="Consolas"/>
          <w:sz w:val="19"/>
        </w:rPr>
        <w:t>κ</w:t>
      </w:r>
      <w:r>
        <w:rPr>
          <w:rFonts w:ascii="Times New Roman" w:hAnsi="Times New Roman" w:eastAsia="Times New Roman"/>
          <w:sz w:val="22"/>
        </w:rPr>
        <w:t xml:space="preserve"> για Dyna-Q+,</w:t>
      </w:r>
    </w:p>
    <w:p>
      <w:pPr>
        <w:pStyle w:val="ListBullet"/>
        <w:spacing w:after="60" w:line="324" w:lineRule="auto"/>
        <w:ind w:left="369"/>
      </w:pPr>
      <w:r>
        <w:rPr>
          <w:rFonts w:ascii="Times New Roman" w:hAnsi="Times New Roman" w:eastAsia="Times New Roman"/>
          <w:sz w:val="22"/>
        </w:rPr>
        <w:t>Phase-A/Phase-B interaction budgets.</w:t>
      </w:r>
    </w:p>
    <w:p>
      <w:pPr>
        <w:pStyle w:val="Heading3"/>
      </w:pPr>
      <w:r>
        <w:rPr>
          <w:rFonts w:ascii="Times New Roman" w:hAnsi="Times New Roman" w:eastAsia="Times New Roman"/>
          <w:sz w:val="22"/>
        </w:rPr>
        <w:t>Α.2 Final layouts και roots</w:t>
      </w:r>
    </w:p>
    <w:p>
      <w:pPr>
        <w:spacing w:after="120" w:line="360" w:lineRule="auto"/>
        <w:ind w:firstLine="397"/>
        <w:jc w:val="both"/>
      </w:pPr>
      <w:r>
        <w:rPr>
          <w:rFonts w:ascii="Times New Roman" w:hAnsi="Times New Roman" w:eastAsia="Times New Roman"/>
          <w:sz w:val="22"/>
        </w:rPr>
        <w:t>Οι δύο held-out final 7×7 layouts, το κοινό shortest-path length, το episode limit και τα 12 independent root IDs τεκμηριώνονται στο frozen protocol και στο Κεφάλαιο 3. Οι root seeds παραμένουν reproducibility metadata και δεν ερμηνεύονται ως method hyperparameters.</w:t>
      </w:r>
    </w:p>
    <w:p>
      <w:pPr>
        <w:pStyle w:val="Heading3"/>
      </w:pPr>
      <w:r>
        <w:rPr>
          <w:rFonts w:ascii="Times New Roman" w:hAnsi="Times New Roman" w:eastAsia="Times New Roman"/>
          <w:sz w:val="22"/>
        </w:rPr>
        <w:t>Α.3 Disturbance definitions</w:t>
      </w:r>
    </w:p>
    <w:p>
      <w:pPr>
        <w:spacing w:after="120" w:line="360" w:lineRule="auto"/>
        <w:ind w:firstLine="397"/>
        <w:jc w:val="both"/>
      </w:pPr>
      <w:r>
        <w:rPr>
          <w:rFonts w:ascii="Times New Roman" w:hAnsi="Times New Roman" w:eastAsia="Times New Roman"/>
          <w:sz w:val="22"/>
        </w:rPr>
        <w:t>Οι τέσσερις frozen Phase-B conditions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ακριβείς mappings/probabilities/support rules πρέπει να προέρχονται από το frozen protocol/configuration.</w:t>
      </w:r>
    </w:p>
    <w:p>
      <w:pPr>
        <w:pStyle w:val="Heading2"/>
      </w:pPr>
      <w:r>
        <w:rPr>
          <w:rFonts w:ascii="Times New Roman" w:hAnsi="Times New Roman" w:eastAsia="Times New Roman"/>
          <w:sz w:val="22"/>
        </w:rPr>
        <w:t>Παράρτημα Β — Πλήρη RQ αποτελέσματα και diagnostics</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Root-level final nominal-return distribution after equal-layout reduction.</w:t>
      </w:r>
    </w:p>
    <w:p>
      <w:pPr>
        <w:keepNext/>
        <w:jc w:val="center"/>
      </w:pPr>
      <w:r>
        <w:drawing>
          <wp:inline xmlns:a="http://schemas.openxmlformats.org/drawingml/2006/main" xmlns:pic="http://schemas.openxmlformats.org/drawingml/2006/picture">
            <wp:extent cx="5577840" cy="3014696"/>
            <wp:docPr id="14" name="Picture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Root-level time-average return distribution after equal-layout reduction.</w:t>
      </w:r>
    </w:p>
    <w:p>
      <w:pPr>
        <w:keepNext/>
        <w:pageBreakBefore/>
        <w:jc w:val="center"/>
      </w:pPr>
      <w:r>
        <w:drawing>
          <wp:inline xmlns:a="http://schemas.openxmlformats.org/drawingml/2006/main" xmlns:pic="http://schemas.openxmlformats.org/drawingml/2006/picture">
            <wp:extent cx="3433990" cy="6583680"/>
            <wp:docPr id="15" name="Picture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Declared root-paired A-minus-B contrasts; intervals are descriptive pointwise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Root-level adaptation-benefit distributions by method and condition.</w:t>
      </w:r>
    </w:p>
    <w:p>
      <w:pPr>
        <w:keepNext/>
        <w:jc w:val="center"/>
      </w:pPr>
      <w:r>
        <w:drawing>
          <wp:inline xmlns:a="http://schemas.openxmlformats.org/drawingml/2006/main" xmlns:pic="http://schemas.openxmlformats.org/drawingml/2006/picture">
            <wp:extent cx="5577840" cy="3078015"/>
            <wp:docPr id="17" name="Picture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Numeric heatmap of stored mean adaptation benefit; higher is better.</w:t>
      </w:r>
    </w:p>
    <w:p>
      <w:pPr>
        <w:keepNext/>
        <w:jc w:val="center"/>
      </w:pPr>
      <w:r>
        <w:drawing>
          <wp:inline xmlns:a="http://schemas.openxmlformats.org/drawingml/2006/main" xmlns:pic="http://schemas.openxmlformats.org/drawingml/2006/picture">
            <wp:extent cx="5577840" cy="4057199"/>
            <wp:docPr id="18" name="Picture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All declared RQ2 root-paired A-minus-B contrasts by condition and estimand.</w:t>
      </w:r>
    </w:p>
    <w:p>
      <w:pPr>
        <w:keepNext/>
        <w:jc w:val="center"/>
      </w:pPr>
      <w:r>
        <w:drawing>
          <wp:inline xmlns:a="http://schemas.openxmlformats.org/drawingml/2006/main" xmlns:pic="http://schemas.openxmlformats.org/drawingml/2006/picture">
            <wp:extent cx="5577840" cy="3615862"/>
            <wp:docPr id="19" name="Picture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Root-level Frozen-to-Adaptive paired diagnostics; connecting lines do not imply an additional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Detailed stored root trajectories by method and primary condition; no trajectory averaging.</w:t>
      </w:r>
    </w:p>
    <w:p>
      <w:pPr>
        <w:keepNext/>
        <w:jc w:val="center"/>
      </w:pPr>
      <w:r>
        <w:drawing>
          <wp:inline xmlns:a="http://schemas.openxmlformats.org/drawingml/2006/main" xmlns:pic="http://schemas.openxmlformats.org/drawingml/2006/picture">
            <wp:extent cx="5577840" cy="2300275"/>
            <wp:docPr id="21" name="Picture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Recovered versus right-censored root composition at tolerance 0.10.</w:t>
      </w:r>
    </w:p>
    <w:p>
      <w:pPr>
        <w:keepNext/>
        <w:jc w:val="center"/>
      </w:pPr>
      <w:r>
        <w:drawing>
          <wp:inline xmlns:a="http://schemas.openxmlformats.org/drawingml/2006/main" xmlns:pic="http://schemas.openxmlformats.org/drawingml/2006/picture">
            <wp:extent cx="5577840" cy="5406865"/>
            <wp:docPr id="22" name="Picture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Declared recovery-status and restricted-delay A-minus-B contrasts on the primary axis.</w:t>
      </w:r>
    </w:p>
    <w:p>
      <w:pPr>
        <w:keepNext/>
        <w:jc w:val="center"/>
      </w:pPr>
      <w:r>
        <w:drawing>
          <wp:inline xmlns:a="http://schemas.openxmlformats.org/drawingml/2006/main" xmlns:pic="http://schemas.openxmlformats.org/drawingml/2006/picture">
            <wp:extent cx="5577840" cy="2454782"/>
            <wp:docPr id="23" name="Picture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Stored recovery and confirmation times; right-censored roots are marked at the horizon without fake recovery times.</w:t>
      </w:r>
    </w:p>
    <w:p>
      <w:pPr>
        <w:pStyle w:val="Heading2"/>
      </w:pPr>
      <w:r>
        <w:rPr>
          <w:rFonts w:ascii="Times New Roman" w:hAnsi="Times New Roman" w:eastAsia="Times New Roman"/>
          <w:sz w:val="22"/>
        </w:rPr>
        <w:t>Παράρτημα Γ — Evidence, provenance και reproducibility</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rPr>
          <w:rFonts w:ascii="Times New Roman" w:hAnsi="Times New Roman" w:eastAsia="Times New Roman"/>
          <w:sz w:val="22"/>
        </w:rPr>
        <w:t>Γ.1 Execution lineage</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Accepted-evidence lineage; the failed 216-job attempt is excluded.</w:t>
      </w:r>
    </w:p>
    <w:p>
      <w:pPr>
        <w:pStyle w:val="Heading3"/>
      </w:pPr>
      <w:r>
        <w:rPr>
          <w:rFonts w:ascii="Times New Roman" w:hAnsi="Times New Roman" w:eastAsia="Times New Roman"/>
          <w:sz w:val="22"/>
        </w:rPr>
        <w:t>Γ.2 Frozen identities</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rPr>
          <w:rFonts w:ascii="Times New Roman" w:hAnsi="Times New Roman" w:eastAsia="Times New Roman"/>
          <w:sz w:val="22"/>
        </w:rPr>
        <w:t>Γ.3 Bibliography provenance</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rPr>
          <w:rFonts w:ascii="Consolas" w:hAnsi="Consolas" w:eastAsia="Consolas"/>
          <w:sz w:val="19"/>
        </w:rPr>
        <w:t>ada0d1aec7511098fd12610ae9e5abe7aea875cd</w:t>
      </w:r>
    </w:p>
    <w:p>
      <w:pPr>
        <w:spacing w:after="120" w:line="360" w:lineRule="auto"/>
        <w:ind w:firstLine="397"/>
        <w:jc w:val="both"/>
      </w:pPr>
      <w:r>
        <w:rPr>
          <w:rFonts w:ascii="Times New Roman" w:hAnsi="Times New Roman" w:eastAsia="Times New Roman"/>
          <w:sz w:val="22"/>
        </w:rPr>
        <w:t>Το formal citation layer περιλαμβάνει 123 citation-ready sources. Η πλήρης research corpus περιλαμβάνει 599 canonical sources και 19 research materials, αλλά formal thesis citations επιτρέπονται μόνο από το citation-ready manifest.</w:t>
      </w:r>
    </w:p>
    <w:p>
      <w:pPr>
        <w:pStyle w:val="Heading2"/>
      </w:pPr>
      <w:r>
        <w:rPr>
          <w:rFonts w:ascii="Times New Roman" w:hAnsi="Times New Roman" w:eastAsia="Times New Roman"/>
          <w:sz w:val="22"/>
        </w:rPr>
        <w:t>Παράρτημα Δ — Ερευνητική εφαρμογή και όριο παρουσίασης</w:t>
      </w:r>
    </w:p>
    <w:p>
      <w:pPr>
        <w:spacing w:after="120" w:line="360" w:lineRule="auto"/>
        <w:ind w:firstLine="397"/>
        <w:jc w:val="both"/>
      </w:pPr>
      <w:r>
        <w:rPr>
          <w:rFonts w:ascii="Times New Roman" w:hAnsi="Times New Roman" w:eastAsia="Times New Roman"/>
          <w:sz w:val="22"/>
        </w:rPr>
        <w:t>Δεν ενσωματώνονται screenshots της εφαρμογής στην παρούσα review-ready έκδοση, επειδή δεν έχει παραχθεί provenance-registered application capture. Η απουσία screenshot δεν επηρεάζει την επιστημονική τεκμηρίωση: όλα τα quantitative αποτελέσματα προέρχονται από registered T-613 figures/tables και όχι από το UI.</w:t>
      </w:r>
    </w:p>
    <w:p>
      <w:pPr>
        <w:pStyle w:val="Heading2"/>
      </w:pPr>
      <w:r>
        <w:rPr>
          <w:rFonts w:ascii="Times New Roman" w:hAnsi="Times New Roman" w:eastAsia="Times New Roman"/>
          <w:sz w:val="22"/>
        </w:rPr>
        <w:t>Παράρτημα Ε — Αναπαραγωγή και λογισμικό περιβάλλον</w:t>
      </w:r>
    </w:p>
    <w:p>
      <w:pPr>
        <w:spacing w:after="120" w:line="360" w:lineRule="auto"/>
        <w:ind w:firstLine="397"/>
        <w:jc w:val="both"/>
      </w:pPr>
      <w:r>
        <w:rPr>
          <w:rFonts w:ascii="Times New Roman" w:hAnsi="Times New Roman" w:eastAsia="Times New Roman"/>
          <w:sz w:val="22"/>
        </w:rPr>
        <w:t>Το αναπαραγώγιμο λογισμικό περιβάλλον συνοψίζεται ως εξής:</w:t>
      </w:r>
    </w:p>
    <w:p>
      <w:pPr>
        <w:pStyle w:val="ListBullet"/>
        <w:spacing w:after="60" w:line="324" w:lineRule="auto"/>
        <w:ind w:left="369"/>
      </w:pPr>
      <w:r>
        <w:rPr>
          <w:rFonts w:ascii="Times New Roman" w:hAnsi="Times New Roman" w:eastAsia="Times New Roman"/>
          <w:sz w:val="22"/>
        </w:rPr>
        <w:t xml:space="preserve">Python 3.12 + locked </w:t>
      </w:r>
      <w:r>
        <w:rPr>
          <w:rFonts w:ascii="Consolas" w:hAnsi="Consolas" w:eastAsia="Consolas"/>
          <w:sz w:val="19"/>
        </w:rPr>
        <w:t>uv</w:t>
      </w:r>
      <w:r>
        <w:rPr>
          <w:rFonts w:ascii="Times New Roman" w:hAnsi="Times New Roman" w:eastAsia="Times New Roman"/>
          <w:sz w:val="22"/>
        </w:rPr>
        <w:t xml:space="preserve"> environment,</w:t>
      </w:r>
    </w:p>
    <w:p>
      <w:pPr>
        <w:pStyle w:val="ListBullet"/>
        <w:spacing w:after="60" w:line="324" w:lineRule="auto"/>
        <w:ind w:left="369"/>
      </w:pPr>
      <w:r>
        <w:rPr>
          <w:rFonts w:ascii="Times New Roman" w:hAnsi="Times New Roman" w:eastAsia="Times New Roman"/>
          <w:sz w:val="22"/>
        </w:rPr>
        <w:t xml:space="preserve">project-owned package </w:t>
      </w:r>
      <w:r>
        <w:rPr>
          <w:rFonts w:ascii="Consolas" w:hAnsi="Consolas" w:eastAsia="Consolas"/>
          <w:sz w:val="19"/>
        </w:rPr>
        <w:t>src/resilient_agents/</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deterministic separated RNG streams,</w:t>
      </w:r>
    </w:p>
    <w:p>
      <w:pPr>
        <w:pStyle w:val="ListBullet"/>
        <w:spacing w:after="60" w:line="324" w:lineRule="auto"/>
        <w:ind w:left="369"/>
      </w:pPr>
      <w:r>
        <w:rPr>
          <w:rFonts w:ascii="Times New Roman" w:hAnsi="Times New Roman" w:eastAsia="Times New Roman"/>
          <w:sz w:val="22"/>
        </w:rPr>
        <w:t>Study recipe/plan/store lifecycle,</w:t>
      </w:r>
    </w:p>
    <w:p>
      <w:pPr>
        <w:pStyle w:val="ListBullet"/>
        <w:spacing w:after="60" w:line="324" w:lineRule="auto"/>
        <w:ind w:left="369"/>
      </w:pPr>
      <w:r>
        <w:rPr>
          <w:rFonts w:ascii="Times New Roman" w:hAnsi="Times New Roman" w:eastAsia="Times New Roman"/>
          <w:sz w:val="22"/>
        </w:rPr>
        <w:t>filesystem evidence as authority,</w:t>
      </w:r>
    </w:p>
    <w:p>
      <w:pPr>
        <w:pStyle w:val="ListBullet"/>
        <w:spacing w:after="60" w:line="324" w:lineRule="auto"/>
        <w:ind w:left="369"/>
      </w:pPr>
      <w:r>
        <w:rPr>
          <w:rFonts w:ascii="Times New Roman" w:hAnsi="Times New Roman" w:eastAsia="Times New Roman"/>
          <w:sz w:val="22"/>
        </w:rPr>
        <w:t>manifest/checksum validation,</w:t>
      </w:r>
    </w:p>
    <w:p>
      <w:pPr>
        <w:pStyle w:val="ListBullet"/>
        <w:spacing w:after="60" w:line="324" w:lineRule="auto"/>
        <w:ind w:left="369"/>
      </w:pPr>
      <w:r>
        <w:rPr>
          <w:rFonts w:ascii="Times New Roman" w:hAnsi="Times New Roman" w:eastAsia="Times New Roman"/>
          <w:sz w:val="22"/>
        </w:rPr>
        <w:t>read-only thesis bibliography consumer.</w:t>
      </w:r>
    </w:p>
    <w:p>
      <w:pPr>
        <w:spacing w:after="120" w:line="360" w:lineRule="auto"/>
        <w:ind w:firstLine="397"/>
        <w:jc w:val="both"/>
      </w:pPr>
      <w:r>
        <w:rPr>
          <w:rFonts w:ascii="Times New Roman" w:hAnsi="Times New Roman" w:eastAsia="Times New Roman"/>
          <w:sz w:val="22"/>
        </w:rPr>
        <w:t>Δεν απαιτείται εκτενές code listing. Μικρά code/config snippets επιτρέπονται μόνο αν εξηγούν contract που δεν αποδίδεται καθαρότερα με ψευδοκώδικα, πίνακα ή διάγραμμα.</w:t>
      </w:r>
    </w:p>
    <w:p>
      <w:r>
        <w:br w:type="page"/>
      </w:r>
    </w:p>
    <w:p>
      <w:pPr>
        <w:pStyle w:val="Heading1"/>
      </w:pPr>
      <w:r>
        <w:t>Βιβλιογραφία</w:t>
      </w:r>
    </w:p>
    <w:p>
      <w:pPr>
        <w:spacing w:after="120"/>
        <w:ind w:left="425" w:hanging="425"/>
      </w:pPr>
      <w:r>
        <w:rPr>
          <w:rFonts w:ascii="Times New Roman" w:hAnsi="Times New Roman" w:eastAsia="Times New Roman"/>
          <w:sz w:val="20"/>
        </w:rPr>
        <w:t>[1] Richard S. Sutton and Andrew G. Barto, Reinforcement Learning: An Introduction, second edition, The MIT Press, 2018. ISBN 9780262039246.</w:t>
      </w:r>
    </w:p>
    <w:p>
      <w:pPr>
        <w:spacing w:after="120"/>
        <w:ind w:left="425" w:hanging="425"/>
      </w:pPr>
      <w:r>
        <w:rPr>
          <w:rFonts w:ascii="Times New Roman" w:hAnsi="Times New Roman" w:eastAsia="Times New Roman"/>
          <w:sz w:val="20"/>
        </w:rPr>
        <w:t>[2] Christian Steinparz, Thomas Schmied, Fabian Paischer, Marius-Constantin Dinu, Vihang Patil, Angela Bitto-Nemling, Hamid Eghbal-zadeh, Sepp Hochreiter, “Reactive Exploration to Cope with Non-Stationarity in Lifelong Reinforcement Learning,” 2022. [Online]. Available: https://proceedings.mlr.press/v199/steinparz22a.html</w:t>
      </w:r>
    </w:p>
    <w:p>
      <w:pPr>
        <w:spacing w:after="120"/>
        <w:ind w:left="425" w:hanging="425"/>
      </w:pPr>
      <w:r>
        <w:rPr>
          <w:rFonts w:ascii="Times New Roman" w:hAnsi="Times New Roman" w:eastAsia="Times New Roman"/>
          <w:sz w:val="20"/>
        </w:rPr>
        <w:t>[3] Shibhansh Dohare, J. Fernando Hernandez-Garcia, Qingfeng Lan, Parash Rahman, A. Rupam Mahmood, Richard S. Sutton, “Loss of plasticity in deep continual learning,” 2024. [Online]. Available: 10.1038/s41586-024-07711-7</w:t>
      </w:r>
    </w:p>
    <w:p>
      <w:pPr>
        <w:spacing w:after="120"/>
        <w:ind w:left="425" w:hanging="425"/>
      </w:pPr>
      <w:r>
        <w:rPr>
          <w:rFonts w:ascii="Times New Roman" w:hAnsi="Times New Roman" w:eastAsia="Times New Roman"/>
          <w:sz w:val="20"/>
        </w:rPr>
        <w:t>[4] Evgenii Nikishin, Max Schwarzer, Pierluca D'Oro, Pierre-Luc Bacon, Aaron Courville, “The Primacy Bias in Deep Reinforcement Learning,” 2022.</w:t>
      </w:r>
    </w:p>
    <w:p>
      <w:pPr>
        <w:spacing w:after="120"/>
        <w:ind w:left="425" w:hanging="425"/>
      </w:pPr>
      <w:r>
        <w:rPr>
          <w:rFonts w:ascii="Times New Roman" w:hAnsi="Times New Roman" w:eastAsia="Times New Roman"/>
          <w:sz w:val="20"/>
        </w:rPr>
        <w:t>[5] Andrew Patterson, Samuel Neumann, Martha White, Adam White, “Empirical Design in Reinforcement Learning,” 2024.</w:t>
      </w:r>
    </w:p>
    <w:p>
      <w:pPr>
        <w:spacing w:after="120"/>
        <w:ind w:left="425" w:hanging="425"/>
      </w:pPr>
      <w:r>
        <w:rPr>
          <w:rFonts w:ascii="Times New Roman" w:hAnsi="Times New Roman" w:eastAsia="Times New Roman"/>
          <w:sz w:val="20"/>
        </w:rPr>
        <w:t>[6] Peter Henderson, Riashat Islam, Philip Bachman, Joelle Pineau, Doina Precup, David Meger, “Deep Reinforcement Learning That Matters,” 2018.</w:t>
      </w:r>
    </w:p>
    <w:p>
      <w:pPr>
        <w:spacing w:after="120"/>
        <w:ind w:left="425" w:hanging="425"/>
      </w:pPr>
      <w:r>
        <w:rPr>
          <w:rFonts w:ascii="Times New Roman" w:hAnsi="Times New Roman" w:eastAsia="Times New Roman"/>
          <w:sz w:val="20"/>
        </w:rPr>
        <w:t>[7] Pouya Hamadanian, Arash Nasr-Esfahany, Malte Schwarzkopf, Siddhartha Sen, Mohammad Alizadeh, “Online Reinforcement Learning in Non-Stationary Context-Driven Environments,” 2025. [Online]. Available: https://proceedings.iclr.cc/paper_files/paper/2025/hash/fb21dae9e8710a272c0a0ca848f71553-Abstract-Conference.html</w:t>
      </w:r>
    </w:p>
    <w:p>
      <w:pPr>
        <w:spacing w:after="120"/>
        <w:ind w:left="425" w:hanging="425"/>
      </w:pPr>
      <w:r>
        <w:rPr>
          <w:rFonts w:ascii="Times New Roman" w:hAnsi="Times New Roman" w:eastAsia="Times New Roman"/>
          <w:sz w:val="20"/>
        </w:rPr>
        <w:t>[8] Safa Alver, Ali Rahimi-Kalahroudi, Doina Precup, “Partial Models for Building Adaptive Model-Based Reinforcement Learning Agents,” 2025. [Online]. Available: https://proceedings.mlr.press/v274/alver25a.html</w:t>
      </w:r>
    </w:p>
    <w:p>
      <w:pPr>
        <w:spacing w:after="120"/>
        <w:ind w:left="425" w:hanging="425"/>
      </w:pPr>
      <w:r>
        <w:rPr>
          <w:rFonts w:ascii="Times New Roman" w:hAnsi="Times New Roman" w:eastAsia="Times New Roman"/>
          <w:sz w:val="20"/>
        </w:rPr>
        <w:t>[9] Richard S. Sutton and Andrew G. Barto, “Q-learning: Off-policy TD Control,” in Reinforcement Learning: An Introduction, 2nd ed., The MIT Press, 2018, pp. 131–135.</w:t>
      </w:r>
    </w:p>
    <w:p>
      <w:pPr>
        <w:spacing w:after="120"/>
        <w:ind w:left="425" w:hanging="425"/>
      </w:pPr>
      <w:r>
        <w:rPr>
          <w:rFonts w:ascii="Times New Roman" w:hAnsi="Times New Roman" w:eastAsia="Times New Roman"/>
          <w:sz w:val="20"/>
        </w:rPr>
        <w:t>[10] Volodymyr Mnih, Koray Kavukcuoglu, David Silver, Alex Graves, Ioannis Antonoglou, Daan Wierstra, Martin Riedmiller, “Playing Atari with Deep Reinforcement Learning,” 2013.</w:t>
      </w:r>
    </w:p>
    <w:p>
      <w:pPr>
        <w:spacing w:after="120"/>
        <w:ind w:left="425" w:hanging="425"/>
      </w:pPr>
      <w:r>
        <w:rPr>
          <w:rFonts w:ascii="Times New Roman" w:hAnsi="Times New Roman" w:eastAsia="Times New Roman"/>
          <w:sz w:val="20"/>
        </w:rPr>
        <w:t>[11] William Fedus, Prajit Ramachandran, Rishabh Agarwal, Yoshua Bengio, Hugo Larochelle, Mark Rowland, Will Dabney, “Revisiting Fundamentals of Experience Replay,” 2020.</w:t>
      </w:r>
    </w:p>
    <w:p>
      <w:pPr>
        <w:spacing w:after="120"/>
        <w:ind w:left="425" w:hanging="425"/>
      </w:pPr>
      <w:r>
        <w:rPr>
          <w:rFonts w:ascii="Times New Roman" w:hAnsi="Times New Roman" w:eastAsia="Times New Roman"/>
          <w:sz w:val="20"/>
        </w:rPr>
        <w:t>[12] John Schulman, Filip Wolski, Prafulla Dhariwal, Alec Radford, Oleg Klimov, “Proximal Policy Optimization Algorithms,” 2017.</w:t>
      </w:r>
    </w:p>
    <w:p>
      <w:pPr>
        <w:spacing w:after="120"/>
        <w:ind w:left="425" w:hanging="425"/>
      </w:pPr>
      <w:r>
        <w:rPr>
          <w:rFonts w:ascii="Times New Roman" w:hAnsi="Times New Roman" w:eastAsia="Times New Roman"/>
          <w:sz w:val="20"/>
        </w:rPr>
        <w:t>[13] Logan Engstrom, Andrew Ilyas, Shibani Santurkar, Dimitris Tsipras, Firdaus Janoos, Larry Rudolph, Aleksander Madry, “Implementation Matters in Deep Policy Gradients: A Case Study on PPO and TRPO,” 2020.</w:t>
      </w:r>
    </w:p>
    <w:p>
      <w:pPr>
        <w:spacing w:after="120"/>
        <w:ind w:left="425" w:hanging="425"/>
      </w:pPr>
      <w:r>
        <w:rPr>
          <w:rFonts w:ascii="Times New Roman" w:hAnsi="Times New Roman" w:eastAsia="Times New Roman"/>
          <w:sz w:val="20"/>
        </w:rPr>
        <w:t>[14] Fabio Pardo, Arash Tavakoli, Vitaly Levdik, Petar Kormushev, “Time Limits in Reinforcement Learning,” 2018.</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