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held-out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held-out layouts,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Γλωσσάριο και Ακρωνύμια</w:t>
        <w:br/>
        <w:t xml:space="preserve">    Ακρωνύμια</w:t>
        <w:br/>
        <w:t xml:space="preserve">    Βασικοί όροι</w:t>
        <w:br/>
        <w:t xml:space="preserve">Κεφάλαιο 1 — Εισαγωγή</w:t>
        <w:br/>
        <w:t xml:space="preserve">    1.1 Αντικείμενο και κίνητρο</w:t>
        <w:br/>
        <w:t xml:space="preserve">    1.2 Πρόβλημα και ερευνητικό πλαίσιο</w:t>
        <w:br/>
        <w:t xml:space="preserve">    1.3 Σκοπός και στόχοι</w:t>
        <w:br/>
        <w:t xml:space="preserve">    1.4 Ερευνητικά ερωτήματα</w:t>
        <w:br/>
        <w:t xml:space="preserve">        RQ1 — Ονομαστική μάθηση</w:t>
        <w:br/>
        <w:t xml:space="preserve">        RQ2 — Ανθεκτικότητα και προσαρμογή</w:t>
        <w:br/>
        <w:t xml:space="preserve">        RQ3 — Ανάκαμψη</w:t>
        <w:br/>
        <w:t xml:space="preserve">    1.5 Συνεισφορά της εργασίας</w:t>
        <w:br/>
        <w:t xml:space="preserve">    1.6 Πεδίο, παραδοχές και οριοθέτηση</w:t>
        <w:br/>
        <w:t xml:space="preserve">    1.7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ενισχυτική μάθηση</w:t>
        <w:br/>
        <w:t xml:space="preserve">    2.3 Q-Learning και SARSA</w:t>
        <w:br/>
        <w:t xml:space="preserve">    2.4 Deep Q-Network</w:t>
        <w:br/>
        <w:t xml:space="preserve">    2.5 Proximal Policy Optimization</w:t>
        <w:br/>
        <w:t xml:space="preserve">    2.6 Dyna και Dyna-Q+</w:t>
        <w:br/>
        <w:t xml:space="preserve">    2.7 Μη στασιμότητα και δυναμικές μεταβολές</w:t>
        <w:br/>
        <w:t xml:space="preserve">    2.8 Αβεβαιότητα ενεργειών, παρατηρήσεων και κρυφή μεταβολή</w:t>
        <w:br/>
        <w:t xml:space="preserve">    2.9 Ανθεκτικότητα, προσαρμογή και ανάκαμψη</w:t>
        <w:br/>
        <w:t xml:space="preserve">    2.10 Συνεχής προσαρμογή, replay και οργάνωση μοντέλου</w:t>
        <w:br/>
        <w:t xml:space="preserve">    2.11 Εμπειρικός σχεδιασμός και δίκαιη σύγκριση RL</w:t>
        <w:br/>
        <w:t xml:space="preserve">    2.12 Σχετικές εμπειρικές προσεγγίσεις και θέση της μελέτης</w:t>
        <w:br/>
        <w:t xml:space="preserve">    2.13 Ερευνητικό κενό και θέση της παρούσας εργασίας</w:t>
        <w:br/>
        <w:t xml:space="preserve">Κεφάλαιο 3 — Μεθοδολογία και Πειραματικός Σχεδιασμός</w:t>
        <w:br/>
        <w:t xml:space="preserve">    3.1 Ερευνητική προσέγγιση και αρχές συγκρισιμότητας</w:t>
        <w:br/>
        <w:t xml:space="preserve">    3.2 GridWorld ως ελεγχόμενο πειραματικό περιβάλλον δοκιμών</w:t>
        <w:br/>
        <w:t xml:space="preserve">    3.3 Τελικές μέθοδοι και όρια δίκαιης σύγκρισης</w:t>
        <w:br/>
        <w:t xml:space="preserve">    3.4 Φάση A: ανεξάρτητη ονομαστική μάθηση και σημεία ελέγχου</w:t>
        <w:br/>
        <w:t xml:space="preserve">    3.5 Φάση B: αντιστοιχισμένος σχεδιασμός FN/FD/AN/AD</w:t>
        <w:br/>
        <w:t xml:space="preserve">    3.6 Μηχανισμοί αβεβαιότητας και συνθήκες διαταραχής</w:t>
        <w:br/>
        <w:t xml:space="preserve">    3.7 RQ1: μεγέθη εκτίμησης ονομαστικής μάθησης</w:t>
        <w:br/>
        <w:t xml:space="preserve">    3.8 RQ2: ανθεκτικότητα και μέγεθος εκτίμησης οφέλους προσαρμογής</w:t>
        <w:br/>
        <w:t xml:space="preserve">    3.9 RQ3: ανάκαμψη, παθητικά χρονικά παράθυρα και δεξιά λογοκρισία</w:t>
        <w:br/>
        <w:t xml:space="preserve">    3.10 Ανεξάρτητες επαναλήψεις, διατάξεις, προϋπολογισμοί και πειραματικός πίνακας</w:t>
        <w:br/>
        <w:t xml:space="preserve">    3.11 Στατιστική ανάλυση και άμεσες συγκρίσεις</w:t>
        <w:br/>
        <w:t xml:space="preserve">    3.12 Αναπαραγωγιμότητα, ιχνηλασιμότητα και διαχωρισμός της επιστημονικής ανάλυσης</w:t>
        <w:br/>
        <w:t xml:space="preserve">Κεφάλαιο 4 — Αρχιτεκτονική και Υλοποίηση του Ερευνητικού Συστήματος</w:t>
        <w:br/>
        <w:t xml:space="preserve">    4.1 Στόχος της υλοποίησης</w:t>
        <w:br/>
        <w:t xml:space="preserve">    4.2 Δομή του κώδικα και επιστημονικός πυρήνας</w:t>
        <w:br/>
        <w:t xml:space="preserve">    4.3 Η Study ως μονάδα εκτέλεσης και ιχνηλασιμότητας</w:t>
        <w:br/>
        <w:t xml:space="preserve">    4.4 Ντετερμινιστικός σχεδιασμός και φραγμοί σταδίων</w:t>
        <w:br/>
        <w:t xml:space="preserve">    4.5 Checkpoints και ακριβής συνέχεια της μάθησης</w:t>
        <w:br/>
        <w:t xml:space="preserve">    4.6 Απομόνωση γεννητριών τυχαιότητας και αναπαραγωγιμότητα</w:t>
        <w:br/>
        <w:t xml:space="preserve">    4.7 Πακέτα εκτέλεσης, manifests και ακεραιότητα</w:t>
        <w:br/>
        <w:t xml:space="preserve">    4.8 Επικύρωση Evidence-v2 και στρώμα ανάλυσης</w:t>
        <w:br/>
        <w:t xml:space="preserve">    4.9 Χειρισμός αποτυχίας και διαδρομή ανάκαμψης του T-610</w:t>
        <w:br/>
        <w:t xml:space="preserve">    4.10 Desktop εφαρμογή PySide6</w:t>
        <w:br/>
        <w:t xml:space="preserve">        4.10.1 Experiment</w:t>
        <w:br/>
        <w:t xml:space="preserve">        4.10.2 Run</w:t>
        <w:br/>
        <w:t xml:space="preserve">        4.10.3 Results</w:t>
        <w:br/>
        <w:t xml:space="preserve">        4.10.4 Evidence</w:t>
        <w:br/>
        <w:t xml:space="preserve">    4.11 Ζωντανή οπτικοποίηση και επιστημονική παθητικότητα</w:t>
        <w:br/>
        <w:t xml:space="preserve">    4.12 Εποπτεία εκτέλεσης και ασφαλής επανεκκίνηση</w:t>
        <w:br/>
        <w:t xml:space="preserve">    4.13 Προστασία του τελικού αποθεματικού και εξουσιοδότηση</w:t>
        <w:br/>
        <w:t xml:space="preserve">    4.14 Παραγωγή αποτελεσμάτων και υλικού της διπλωματικής</w:t>
        <w:br/>
        <w:t xml:space="preserve">    4.15 Έλεγχος ποιότητας και αναπαραγωγιμότητας της εφαρμογής</w:t>
        <w:br/>
        <w:t xml:space="preserve">    4.16 Συνολική αρχιτεκτονική ροή</w:t>
        <w:br/>
        <w:t xml:space="preserve">Κεφάλαιο 5 — Πειραματικά Αποτελέσματα</w:t>
        <w:br/>
        <w:t xml:space="preserve">    5.1 Όρια της παρουσίασης των αποτελεσμάτων</w:t>
        <w:br/>
        <w:t xml:space="preserve">    5.2 RQ1 — Ονομαστική μάθηση</w:t>
        <w:br/>
        <w:t xml:space="preserve">        5.2.1 Τελική ονομαστική επίδοση</w:t>
        <w:br/>
        <w:t xml:space="preserve">        5.2.2 Αποτελεσματικότητα μάθησης κατά μήκος του διαθέσιμου προϋπολογισμού</w:t>
        <w:br/>
        <w:t xml:space="preserve">    5.3 RQ2 — Ανθεκτικότητα και όφελος προσαρμογής</w:t>
        <w:br/>
        <w:t xml:space="preserve">        5.3.1 Συνολική εικόνα ανά συνθήκη</w:t>
        <w:br/>
        <w:t xml:space="preserve">        5.3.2 Μόνιμη κυκλική ανααντιστοίχιση ενεργειών</w:t>
        <w:br/>
        <w:t xml:space="preserve">        5.3.3 Μόνιμη εναλλαγή δεξιάς–κάτω ενέργειας</w:t>
        <w:br/>
        <w:t xml:space="preserve">        5.3.4 Αποτυχία ενέργειας 15%</w:t>
        <w:br/>
        <w:t xml:space="preserve">        5.3.5 Αλλοίωση παρατήρησης 5%</w:t>
        <w:br/>
        <w:t xml:space="preserve">        5.3.6 Σύνοψη RQ2</w:t>
        <w:br/>
        <w:t xml:space="preserve">    5.4 RQ3 — Ανάκαμψη μετά από μόνιμη ανααντιστοίχιση ενεργειών</w:t>
        <w:br/>
        <w:t xml:space="preserve">        5.4.1 Κυκλική ανααντιστοίχιση</w:t>
        <w:br/>
        <w:t xml:space="preserve">        5.4.2 Εναλλαγή δεξιάς–κάτω ενέργειας</w:t>
        <w:br/>
        <w:t xml:space="preserve">        5.4.3 Ευαισθησία στην ανοχή ανάκαμψης</w:t>
        <w:br/>
        <w:t xml:space="preserve">        5.4.4 Σύνοψη RQ3</w:t>
        <w:br/>
        <w:t xml:space="preserve">    5.5 Συγκριτική σύνθεση των τριών ερευνητικών ερωτημάτων</w:t>
        <w:br/>
        <w:t xml:space="preserve">    5.6 Περιορισμός των συμπερασμάτων του κεφαλαίου</w:t>
        <w:br/>
        <w:t xml:space="preserve">Κεφάλαιο 6 — Συζήτηση</w:t>
        <w:br/>
        <w:t xml:space="preserve">    6.1 Σκοπός και ερμηνευτικό όριο</w:t>
        <w:br/>
        <w:t xml:space="preserve">    6.2 RQ1: τελική επίδοση και αποδοτικότητα δείγματος δεν είναι το ίδιο</w:t>
        <w:br/>
        <w:t xml:space="preserve">    6.3 RQ2: η αποτελεσματικότητα της προσαρμογής εξαρτάται από τη συνθήκη</w:t>
        <w:br/>
        <w:t xml:space="preserve">    6.4 Dyna-Q+: γρήγορη ονομαστική μάθηση δεν συνεπάγεται ταχύτερη ανάκαμψη</w:t>
        <w:br/>
        <w:t xml:space="preserve">    6.5 RQ3: συχνότητα, χρόνος και λογοκρισία της ανάκαμψης</w:t>
        <w:br/>
        <w:t xml:space="preserve">    6.6 Ευαισθησία στον λειτουργικό ορισμό της ανάκαμψης</w:t>
        <w:br/>
        <w:t xml:space="preserve">    6.7 Σχέση με συνεχή ενισχυτική μάθηση και κρυφή μεταβολή</w:t>
        <w:br/>
        <w:t xml:space="preserve">    6.8 Απειλές προς την εσωτερική εγκυρότητα</w:t>
        <w:br/>
        <w:t xml:space="preserve">        6.8.1 Δίκαιη σύγκριση και ρύθμιση υπερπαραμέτρων</w:t>
        <w:br/>
        <w:t xml:space="preserve">        6.8.2 Ισοδυναμία σημείων ελέγχου</w:t>
        <w:br/>
        <w:t xml:space="preserve">        6.8.3 Διαρροή πληροφορίας</w:t>
        <w:br/>
        <w:t xml:space="preserve">    6.9 Εγκυρότητα εννοιολογικής κατασκευής</w:t>
        <w:br/>
        <w:t xml:space="preserve">    6.10 Εγκυρότητα στατιστικών συμπερασμάτων</w:t>
        <w:br/>
        <w:t xml:space="preserve">    6.11 Εξωτερική εγκυρότητα</w:t>
        <w:br/>
        <w:t xml:space="preserve">    6.12 Εγκυρότητα αναπαραγωγιμότητας</w:t>
        <w:br/>
        <w:t xml:space="preserve">    6.13 Απάντηση στα ερευνητικά ερωτήματα σε ερμηνευτικό επίπεδο</w:t>
        <w:br/>
        <w:t xml:space="preserve">    6.14 Κεντρικό συμπέρασμα της Συζήτησης</w:t>
        <w:br/>
        <w:t xml:space="preserve">Κεφάλαιο 7 — Συμπεράσματα και Μελλοντική Εργασία</w:t>
        <w:br/>
        <w:t xml:space="preserve">    7.1 Συνολική αποτίμηση</w:t>
        <w:br/>
        <w:t xml:space="preserve">    7.2 Απάντηση στο RQ1 — Ονομαστική μάθηση</w:t>
        <w:br/>
        <w:t xml:space="preserve">    7.3 Απάντηση στο RQ2 — Ανθεκτικότητα και προσαρμογή</w:t>
        <w:br/>
        <w:t xml:space="preserve">    7.4 Απάντηση στο RQ3 — Ανάκαμψη</w:t>
        <w:br/>
        <w:t xml:space="preserve">    7.5 Κύρια συνεισφορά της εργασίας</w:t>
        <w:br/>
        <w:t xml:space="preserve">    7.6 Τι δεν υποστηρίζει η εργασία</w:t>
        <w:br/>
        <w:t xml:space="preserve">    7.7 Μελλοντική εργασία</w:t>
        <w:br/>
        <w:t xml:space="preserve">        7.7.1 Διεύρυνση περιβαλλόντων και κλίμακας</w:t>
        <w:br/>
        <w:t xml:space="preserve">        7.7.2 Διαφορετικοί προϋπολογισμοί και χρονικές κλίμακες μάθησης</w:t>
        <w:br/>
        <w:t xml:space="preserve">        7.7.3 Ρητή ανίχνευση αλλαγής και εκτίμηση πλαισίου</w:t>
        <w:br/>
        <w:t xml:space="preserve">        7.7.4 Εξειδικευμένοι μηχανισμοί συνεχούς μάθησης</w:t>
        <w:br/>
        <w:t xml:space="preserve">        7.7.5 Αρθρωτή προσαρμογή με μοντέλο</w:t>
        <w:br/>
        <w:t xml:space="preserve">        7.7.6 Διαχείριση replay σε μη στάσιμα περιβάλλοντα</w:t>
        <w:br/>
        <w:t xml:space="preserve">        7.7.7 Πλουσιότερη μελέτη ανάκαμψης</w:t>
        <w:br/>
        <w:t xml:space="preserve">        7.7.8 Περισσότερες ανεξάρτητες επαναλήψεις και ιεραρχική ανάλυση</w:t>
        <w:br/>
        <w:t xml:space="preserve">        7.7.9 Ασφάλεια και προσαρμογή υπό περιορισμούς</w:t>
        <w:br/>
        <w:t xml:space="preserve">    7.8 Τελικό συμπέρασμα</w:t>
        <w:br/>
        <w:t xml:space="preserve">Βιβλιογραφία</w:t>
        <w:br/>
        <w:t xml:space="preserve">Παραρτήματα</w:t>
        <w:br/>
        <w:t xml:space="preserve">    Παράρτημα Α — Παγωμένο πειραματικό συμβόλαιο</w:t>
        <w:br/>
        <w:t xml:space="preserve">        Α.1 Μέθοδοι και τελικές ρυθμίσεις</w:t>
        <w:br/>
        <w:t xml:space="preserve">        Α.2 Τελικές διατάξεις και ανεξάρτητες επαναλήψεις</w:t>
        <w:br/>
        <w:t xml:space="preserve">        Α.3 Ορισμοί των διαταραχών</w:t>
        <w:br/>
        <w:t xml:space="preserve">        Α.4 Προϋπολογισμοί και συμβόλαιο ανάκαμψης</w:t>
        <w:br/>
        <w:t xml:space="preserve">    Παράρτημα Β — Πλήρη αποτελέσματα και διαγνωστικά ανά ερευνητικό ερώτημα</w:t>
        <w:br/>
        <w:t xml:space="preserve">        Β.1 RQ1</w:t>
        <w:br/>
        <w:t xml:space="preserve">        Β.2 RQ2</w:t>
        <w:br/>
        <w:t xml:space="preserve">        Β.3 RQ3</w:t>
        <w:br/>
        <w:t xml:space="preserve">    Παράρτημα Γ — Τεκμήρια, ιχνηλασιμότητα και αναπαραγωγιμότητα</w:t>
        <w:br/>
        <w:t xml:space="preserve">        Γ.1 Γραμμή εκτέλεσης</w:t>
        <w:br/>
        <w:t xml:space="preserve">        Γ.2 Παγωμένες ταυτότητες τεκμηρίων</w:t>
        <w:br/>
        <w:t xml:space="preserve">        Γ.3 Ιχνηλασιμότητα βιβλιογραφίας</w:t>
        <w:br/>
        <w:t xml:space="preserve">    Παράρτημα Δ — Αναπαραγωγή και λογισμικό περιβάλλον</w:t>
        <w:fldChar w:fldCharType="end"/>
      </w:r>
    </w:p>
    <w:p>
      <w:pPr>
        <w:pStyle w:val="Heading1"/>
        <w:pageBreakBefore/>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Τα δύο τελικά held-out 7×7 layouts και οι τέσσερις frozen Phase-B conditions.</w:t>
        <w:br/>
        <w:t xml:space="preserve">Σχήμα 2 — Αρχιτεκτονική ροή και επίπεδα επιστημονικής αυθεντίας από το frozen protocol έως την read-only παρουσίαση.</w:t>
        <w:br/>
        <w:t xml:space="preserve">Σχήμα 3 — Τελική ονομαστική απόδοση ανά μέθοδο με σημειακά διαστήματα Student-t 95% σε 12 ανεξάρτητες επαναλήψεις.</w:t>
        <w:br/>
        <w:t xml:space="preserve">Σχήμα 4 — Μέση απόδοση στον άξονα αλληλεπιδράσεων, ξεχωριστά από την τελική επίδοση.</w:t>
        <w:br/>
        <w:t xml:space="preserve">Σχήμα 5 — Όφελος προσαρμογής ανά μέθοδο και συνθήκη· θετική τιμή σημαίνει μικρότερη απώλεια στην Adaptive από ό,τι στην Frozen εκτέλεση.</w:t>
        <w:br/>
        <w:t xml:space="preserve">Σχήμα 6 — Η απώλεια στην Frozen και στην Adaptive εκτέλεση παρουσιάζεται ως δύο διακριτά μεγέθη.</w:t>
        <w:br/>
        <w:t xml:space="preserve">Σχήμα 7 — Όφελος προσαρμογής ανά συνθήκη σε μικρά πολλαπλά γραφήματα με κοινές κλίμακες.</w:t>
        <w:br/>
        <w:t xml:space="preserve">Σχήμα 8 — Καταγεγραμμένες τροχιές κατευθυνόμενης απόκλισης ανά root για την κύρια οικογένεια action-remap· η διακεκομμένη γραμμή αντιστοιχεί στην ανοχή 0,10.</w:t>
        <w:br/>
        <w:t xml:space="preserve">Σχήμα 9 — Αναλογία roots που πέτυχαν σταθερή ανάκαμψη στην κύρια ανοχή 0,10· οι υπόλοιπες παραμένουν δεξιά λογοκριμένες (right-censored).</w:t>
        <w:br/>
        <w:t xml:space="preserve">Σχήμα 10 — Περιορισμένος χρόνος καθυστέρησης ανάκαμψης έως το όριο των 256 αλληλεπιδράσεων, με ρητή διατήρηση της λογοκρισίας.</w:t>
        <w:br/>
        <w:t xml:space="preserve">Σχήμα 11 — Παρατηρούμενος χρόνος ανάκαμψης μόνο μεταξύ των roots που ανέκαμψαν· το εμφανιζόμενο n αποκλείει τις right-censored roots.</w:t>
        <w:br/>
        <w:t xml:space="preserve">Σχήμα 12 — Προκαθορισμένη ανάλυση ευαισθησίας για ανοχές 0,05/0,10/0,20· κύρια ανοχή παραμένει το 0,10.</w:t>
        <w:br/>
        <w:t xml:space="preserve">Σχήμα 13 — Κατανομή τελικής ονομαστικής απόδοσης ανά root μετά από ισότιμη μείωση ως προς τα layouts.</w:t>
        <w:br/>
        <w:t xml:space="preserve">Σχήμα 14 — Κατανομή της μέσης απόδοσης στον άξονα αλληλεπιδράσεων ανά root μετά από ισότιμη μείωση ως προς τα layouts.</w:t>
        <w:br/>
        <w:t xml:space="preserve">Σχήμα 15 — Προκαθορισμένες paired συγκρίσεις A−B ανά root· τα διαστήματα είναι περιγραφικά σημειακά t intervals.</w:t>
        <w:br/>
        <w:t xml:space="preserve">Σχήμα 16 — Κατανομές του οφέλους προσαρμογής ανά root, μέθοδο και συνθήκη.</w:t>
        <w:br/>
        <w:t xml:space="preserve">Σχήμα 17 — Αριθμητικός θερμικός χάρτης του μέσου καταγεγραμμένου οφέλους προσαρμογής· υψηλότερη τιμή σημαίνει μεγαλύτερο όφελος.</w:t>
        <w:br/>
        <w:t xml:space="preserve">Σχήμα 18 — Όλες οι προκαθορισμένες paired συγκρίσεις A−B του RQ2 ανά συνθήκη και estimand.</w:t>
        <w:br/>
        <w:t xml:space="preserve">Σχήμα 19 — Paired διαγνωστικά Frozen-to-Adaptive ανά root· οι συνδετικές γραμμές δεν ορίζουν πρόσθετο estimand.</w:t>
        <w:br/>
        <w:t xml:space="preserve">Σχήμα 20 — Αναλυτικές καταγεγραμμένες τροχιές ανά root, μέθοδο και κύρια συνθήκη· δεν εφαρμόζεται averaging μεταξύ τροχιών.</w:t>
        <w:br/>
        <w:t xml:space="preserve">Σχήμα 21 — Σύνθεση των roots που ανέκαμψαν και των right-censored roots στην ανοχή 0,10.</w:t>
        <w:br/>
        <w:t xml:space="preserve">Σχήμα 22 — Προκαθορισμένες A−B συγκρίσεις για recovery status και restricted delay στον κύριο άξονα ανάκαμψης.</w:t>
        <w:br/>
        <w:t xml:space="preserve">Σχήμα 23 — Καταγεγραμμένοι χρόνοι ανάκαμψης και επιβεβαίωσης· οι right-censored roots σημειώνονται στο horizon χωρίς κατασκευή ψευδούς χρόνου ανάκαμψης.</w:t>
        <w:br/>
        <w:t xml:space="preserve">Σχήμα 24 — Γραμμή ιχνηλασιμότητας του αποδεκτού evidence· η αποτυχημένη εκτέλεση 216 jobs παραμένει αποκλεισμένη.</w:t>
        <w:fldChar w:fldCharType="end"/>
      </w:r>
    </w:p>
    <w:p>
      <w:pPr>
        <w:pStyle w:val="Heading1"/>
        <w:pageBreakBefore/>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Μέσες τιμές οφέλους προσαρμογής και σημειακά διαστήματα 95% ανά συνθήκη.</w:t>
        <w:br/>
        <w:t xml:space="preserve">Πίνακας 2 — Αναλογία σταθερής ανάκαμψης στις ανοχές 0,05/0,10/0,20 για τις δύο συνθήκες ανααντιστοίχισης.</w:t>
        <w:br/>
        <w:t xml:space="preserve">Πίνακας 3 — Τελικές ρυθμίσεις των πέντε μεθόδων στο protocol-v2.1.</w:t>
        <w:fldChar w:fldCharType="end"/>
      </w:r>
    </w:p>
    <w:p>
      <w:pPr>
        <w:pStyle w:val="Heading1"/>
        <w:pageBreakBefore/>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Heading2"/>
      </w:pPr>
      <w:r>
        <w:rPr>
          <w:rFonts w:ascii="Times New Roman" w:hAnsi="Times New Roman" w:eastAsia="Times New Roman"/>
          <w:sz w:val="22"/>
        </w:rPr>
        <w:t>Βασικοί όροι</w:t>
      </w:r>
    </w:p>
    <w:p>
      <w:pPr>
        <w:pStyle w:val="GlossaryTerm"/>
        <w:keepNext/>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GlossaryTerm"/>
        <w:keepNext/>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GlossaryTerm"/>
        <w:keepNext/>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GlossaryTerm"/>
        <w:keepNext/>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GlossaryTerm"/>
        <w:keepNext/>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GlossaryTerm"/>
        <w:keepNext/>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GlossaryTerm"/>
        <w:keepNext/>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GlossaryTerm"/>
        <w:keepNext/>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GlossaryTerm"/>
        <w:keepNext/>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GlossaryTerm"/>
        <w:keepNext/>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GlossaryTerm"/>
        <w:keepNext/>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GlossaryTerm"/>
        <w:keepNext/>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GlossaryTerm"/>
        <w:keepNext/>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GlossaryTerm"/>
        <w:keepNext/>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GlossaryTerm"/>
        <w:keepNext/>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GlossaryTerm"/>
        <w:keepNext/>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GlossaryTerm"/>
        <w:keepNext/>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GlossaryTerm"/>
        <w:keepNext/>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GlossaryTerm"/>
        <w:keepNext/>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GlossaryTerm"/>
        <w:keepNext/>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GlossaryTerm"/>
        <w:keepNext/>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GlossaryTerm"/>
        <w:keepNext/>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GlossaryTerm"/>
        <w:keepNext/>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GlossaryTerm"/>
        <w:keepNext/>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ageBreakBefore/>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keepLines w:val="0"/>
      </w:pPr>
      <w:r>
        <w:t>Η διάκριση ανάμεσα σε ονομαστική μάθηση και προσαρμογή μετά από μεταβολή είναι και θεωρητική. Η κλασική Q-Learning διαθέτει ισχυρό αποτέλεσμα σύγκλισης υπό τις δηλωμένες υποθέσεις του σταθερού, διακριτού προβλήματος και επαρκούς επαναληπτικής δειγματοληψίας, όμως το αποτέλεσμα αυτό δεν αποτελεί εγγύηση πεπερασμένου χρόνου ανάκαμψης όταν αλλάξει χωρίς προειδοποίηση η σχέση κατάστασης–ενέργειας–συνέπειας [18]. Η βιβλιογραφία για dynamically varying environments χρησιμοποιεί ακριβώς αυτή τη διαφορά ως όριο: όταν παραβιάζεται η stationarity assumption, η ικανότητα tracking ή adaptation πρέπει να μετρηθεί στο νέο καθεστώς και δεν μπορεί να συναχθεί από stationary convergence theory [21].</w:t>
      </w:r>
    </w:p>
    <w:p>
      <w:pPr>
        <w:keepLines w:val="0"/>
      </w:pPr>
      <w:r>
        <w:t>Επιπλέον, robustness, zero-shot generalisation, online adaptation και recovery δεν είναι εναλλάξιμοι όροι. Σε αυστηρό zero-shot regime δεν επιτρέπονται νέες learning updates στο test instance, ενώ στην online adaptation ο agent συνεχίζει να ενημερώνει policy, value function ή model μετά τη μεταβολή [22]. Η temporal resilience literature προσθέτει μία ακόμη διάσταση: η άμεση πτώση, η πορεία αποκατάστασης και η τελική επίδοση μπορεί να περιγράφουν διαφορετικές ιδιότητες της ίδιας trajectory [23], [24]. Η παρούσα εργασία διατηρεί αυτές τις διακρίσεις μέσω των τριών χωριστών RQ αντί να τις συμπιέζει σε έναν ενιαίο δείκτη.</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keepLines w:val="0"/>
      </w:pPr>
      <w:r>
        <w:t>Η επιλογή ενός μικρού GridWorld υπηρετεί αυτόν τον διαχωρισμό και όχι την απλοποίηση για την ίδια την απλοποίηση. Η βιβλιογραφία generalisation τονίζει ότι ένα benchmark ορίζεται από τον συνδυασμό environment, παραγόντων μεταβολής, train/test protocol και διαθέσιμου interaction budget, όχι μόνο από το όνομα του simulator [22]. Παράλληλα, το NovGrid δείχνει ότι ένα GridWorld μπορεί να μεταβάλει ελεγχόμενα μηχανισμούς ή action effects διατηρώντας συμβατή διεπαφή και να αξιολογεί χωριστά degradation, adaptation και recovery [23]. Στην παρούσα μελέτη η ίδια λογική εφαρμόζεται με project-owned disturbance semantics, frozen seeds και matched branches, ώστε οι αιτίες των διαφορών να παραμένουν όσο γίνεται επιθεωρήσιμες.</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held-out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[7], [8].</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r>
        <w:t>Στην παρούσα εργασία, ο όρος «πράκτορας τεχνητής νοημοσύνης» χρησιμοποιείται με λειτουργική και περιορισμένη έννοια: ένα υπολογιστικό σύστημα που λαμβάνει πληροφορία από ένα περιβάλλον, επιλέγει ενέργειες και αξιολογείται ως προς έναν στόχο ή κριτήριο επίδοσης. Όταν οι αποφάσεις σχηματίζουν αλληλουχία και οι τρέχουσες ενέργειες επηρεάζουν τη μελλοντική εμπειρία, το πρόβλημα γίνεται πρόβλημα διαδοχικής λήψης αποφάσεων. Στη συγκεκριμένη μελέτη αυτή η γενική έννοια εξειδικεύεται σε πράκτορες ενισχυτικής μάθησης, δηλαδή σε πράκτορες που μαθαίνουν πολιτική από αλληλεπίδραση και ανταμοιβή [1]. Ο όρος δεν αναφέρεται εδώ στη σύγχρονη, διαφορετική χρήση του «AI agent» για LLM-based συστήματα που συντονίζουν εργαλεία, μνήμη ή πολυβηματικές εργασίες.</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την επιβλεπόμενη μάθηση, δεν παρέχεται ένα σύνολο «σωστών» ενεργειών για κάθε κατάσταση. Ο πράκτορας καλείται να μάθει μια πολιτική που μεγιστοποιεί την αναμενόμενη μελλοντική επιστροφή μέσα από την ίδια την αλληλεπίδραση [1].</w:t>
      </w:r>
    </w:p>
    <w:p>
      <w:pPr>
        <w:spacing w:after="120" w:line="360" w:lineRule="auto"/>
        <w:ind w:firstLine="397"/>
        <w:jc w:val="both"/>
      </w:pPr>
      <w:r>
        <w:rPr>
          <w:rFonts w:ascii="Times New Roman" w:hAnsi="Times New Roman" w:eastAsia="Times New Roman"/>
          <w:sz w:val="22"/>
        </w:rPr>
        <w:t>Η διαδοχικότητα είναι ουσιώδης: μια ενέργεια δεν αξιολογείται μόνο από την άμεση ανταμοιβή της, αλλά και από το πώς επηρεάζει τις καταστάσεις και τις επιλογές που θα ακολουθήσουν. Για τον λόγο αυτό, η μάθηση συνδέεται τόσο με την αξιοποίηση της ήδη αποκτημένης γνώσης (exploitation) όσο και με τη διερεύνηση (exploration) που απαιτείται για τη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πρόσθετο πρόβλημα: τι συμβαίνει όταν οι σχέσεις μεταξύ καταστάσεων, ενεργειών, παρατηρήσεων και ανταμοιβών δεν παραμένουν σταθερές μετά την αρχική μάθηση. Σε ένα στάσιμο περιβάλλον, η προηγούμενη εμπειρία μπορεί να εξακολουθεί να είναι αντιπροσωπευτική. Σε ένα μη στάσιμο περιβάλλον, μέρος αυτής της εμπειρίας μπορεί να καταστεί παρωχημένο και ο πράκτορας πρέπει είτε να διατηρήσει ικανοποιητική απόδοση παρά τη μεταβολή είτε να προσαρμοστεί στη νέα συνθήκη.</w:t>
      </w:r>
    </w:p>
    <w:p>
      <w:pPr>
        <w:pStyle w:val="Heading2"/>
      </w:pPr>
      <w:r>
        <w:rPr>
          <w:rFonts w:ascii="Times New Roman" w:hAnsi="Times New Roman" w:eastAsia="Times New Roman"/>
          <w:sz w:val="22"/>
        </w:rPr>
        <w:t>2.2 Markov Decision Processes και ενισχυτική μάθηση</w:t>
      </w:r>
    </w:p>
    <w:p>
      <w:pPr>
        <w:spacing w:after="120" w:line="360" w:lineRule="auto"/>
        <w:ind w:firstLine="397"/>
        <w:jc w:val="both"/>
      </w:pPr>
      <w:r>
        <w:rPr>
          <w:rFonts w:ascii="Times New Roman" w:hAnsi="Times New Roman" w:eastAsia="Times New Roman"/>
          <w:sz w:val="22"/>
        </w:rPr>
        <w:t xml:space="preserve">Το κλασικό μαθηματικό πλαίσιο της ενισχυτικής μάθησης είναι η Μαρκοβιανή Διαδικασία Απόφασης (Markov Decision Process, MDP). Ένα MDP περιγράφεται από ένα σύνολο καταστάσεων </w:t>
      </w:r>
      <w:r>
        <w:rPr>
          <w:rFonts w:ascii="Cambria Math" w:hAnsi="Cambria Math" w:eastAsia="Cambria Math"/>
          <w:sz w:val="22"/>
        </w:rPr>
        <w:t>S</w:t>
      </w:r>
      <w:r>
        <w:rPr>
          <w:rFonts w:ascii="Times New Roman" w:hAnsi="Times New Roman" w:eastAsia="Times New Roman"/>
          <w:sz w:val="22"/>
        </w:rPr>
        <w:t xml:space="preserve">, ένα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ιδιότητα Markov εκφράζει ότι, δεδομένης της τρέχουσας κατάστασης και ενέργειας, η κατανομή της επόμενης κατάστασης δεν απαιτεί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πολιτική </w:t>
      </w:r>
      <w:r>
        <w:rPr>
          <w:rFonts w:ascii="Cambria Math" w:hAnsi="Cambria Math" w:eastAsia="Cambria Math"/>
          <w:sz w:val="22"/>
        </w:rPr>
        <w:t>π(a| s)</w:t>
      </w:r>
      <w:r>
        <w:rPr>
          <w:rFonts w:ascii="Times New Roman" w:hAnsi="Times New Roman" w:eastAsia="Times New Roman"/>
          <w:sz w:val="22"/>
        </w:rPr>
        <w:t xml:space="preserve"> ορίζει τον τρόπο με τον οποίο επιλέγεται μια ενέργεια σε μια κατάσταση. Η συνάρτηση αξίας κατάστασης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εκφράζει την αναμενόμενη προεξοφλημένη επιστροφή από μια κατάσταση όταν ακολουθείται η πολιτική, ενώ η συνάρτηση αξίας ενέργειας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εκφράζει την αντίστοιχη αναμενόμενη επιστροφή όταν επιλεγεί πρώτα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Στις μεθόδους χρονικών διαφορών (Temporal Difference, TD), οι εκτιμήσεις αξίας ενημερώνονται από στόχους που συνδυάζουν την άμεση ανταμοιβή με μια εκτίμηση της μελλοντικής αξίας. Η δυνατότητα ενημέρωσης κατά την αλληλεπίδραση, χωρίς πλήρες γνωστό μοντέλο του περιβάλλοντος, καθιστά τις TD μεθόδους κατάλληλα σημεία αναφοράς για τη μελέτη προσαρμογής.</w:t>
      </w:r>
    </w:p>
    <w:p>
      <w:pPr>
        <w:spacing w:after="120" w:line="360" w:lineRule="auto"/>
        <w:ind w:firstLine="397"/>
        <w:jc w:val="both"/>
      </w:pPr>
      <w:r>
        <w:rPr>
          <w:rFonts w:ascii="Times New Roman" w:hAnsi="Times New Roman" w:eastAsia="Times New Roman"/>
          <w:sz w:val="22"/>
        </w:rPr>
        <w:t>Η κλασική θεωρία εξετάζει συνήθως στάσιμες δυναμικές ή άλλες συνθήκες που δεν ταυτίζονται με μια μόνιμη μεταβολή κατά τη φάση αξιολόγησης. Επομένως, η επιτυχής μάθηση σε στάσιμες συνθήκες δεν συνεπάγεται αυτομάτως αποτελεσματική συμπεριφορά μετά από περιβαλλοντική αλλαγή.</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μέθοδοι TD ελέγχου, οι οποίες διαφέρουν κυρίως στον στόχο ενημέρωσης ενός βήματος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στόχος χρησιμοποιεί τη μέγιστη εκτιμώμενη αξία στην επόμενη κατάσταση. Για τον λόγο αυτό η Q-Learning χαρακτηρίζεται off-policy: η πολιτική συμπεριφοράς που παράγει εμπειρία μπορεί να είναι διερευνητική, ενώ ο στόχος ενημέρωσης αναφέρεται στη greedy επιλογή.</w:t>
      </w:r>
    </w:p>
    <w:p>
      <w:pPr>
        <w:spacing w:after="120" w:line="360" w:lineRule="auto"/>
        <w:ind w:firstLine="397"/>
        <w:jc w:val="both"/>
      </w:pPr>
      <w:r>
        <w:rPr>
          <w:rFonts w:ascii="Times New Roman" w:hAnsi="Times New Roman" w:eastAsia="Times New Roman"/>
          <w:sz w:val="22"/>
        </w:rPr>
        <w:t>Στη SARSA, ο στόχος χρησιμοποιεί την επόμενη ενέργεια που επιλέγεται από την τρέχουσα πολιτική συμπεριφοράς: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διερευνητική συμπεριφορά, η διαφορά αυτή μπορεί να επηρεάσει την πολιτική που μαθαίνεται, επειδή η SARSA ενσωματώνει στον στόχο τις συνέπειες των ενεργειών που πράγματι επιλέγονται από την πολιτική συμπεριφοράς [1], [9].</w:t>
      </w:r>
    </w:p>
    <w:p>
      <w:pPr>
        <w:spacing w:after="120" w:line="360" w:lineRule="auto"/>
        <w:ind w:firstLine="397"/>
        <w:jc w:val="both"/>
      </w:pPr>
      <w:r>
        <w:rPr>
          <w:rFonts w:ascii="Times New Roman" w:hAnsi="Times New Roman" w:eastAsia="Times New Roman"/>
          <w:sz w:val="22"/>
        </w:rPr>
        <w:t>Στην παρούσα εργασία, οι δύο μέθοδοι προσφέρουν ένα ερμηνεύσιμο off-policy/on-policy tabular ζεύγος κάτω από το ίδιο σύνολο καταστάσεων, ενεργειών και διαθέσιμης πληροφορίας. Η επιλογή τους δεν προϋποθέτει ότι κάποια από τις δύο είναι θεωρητικά περισσότερο ανθεκτική· η ανθεκτικότητα και η ανάκαμψη αποτελούν εμπειρικά αποτελέσματα της μελέτης.</w:t>
      </w:r>
    </w:p>
    <w:p>
      <w:pPr>
        <w:keepLines w:val="0"/>
      </w:pPr>
      <w:r>
        <w:t>Η πρωτογενής εργασία των Watkins και Dayan παρέχει το θεμελιώδες όριο για την ερμηνεία της Q-Learning. Ο one-step bootstrap target χρησιμοποιεί τη μέγιστη εκτιμώμενη αξία της επόμενης κατάστασης και επομένως η μέθοδος είναι off-policy ως προς την exploratory behavior policy [18]. Η SARSA, αντίθετα, χρησιμοποιεί την αξία της επόμενης ενέργειας που πράγματι επιλέγεται από την behavior policy [1]. Η μηχανιστική αυτή διαφορά είναι σημαντική για το πείραμα, αλλά δεν συνεπάγεται εκ των προτέρων ότι μία από τις δύο μεθόδους είναι «πιο ανθεκτική». Αυτό αποτελεί εμπειρικό ερώτημα υπό το frozen protocol.</w:t>
      </w:r>
    </w:p>
    <w:p>
      <w:pPr>
        <w:keepLines w:val="0"/>
      </w:pPr>
      <w:r>
        <w:t>Το κλασικό convergence result της Q-Learning πρέπει επίσης να διαβάζεται μέσα στις παραδοχές του. Η πιθανότητα-ένα σύγκλιση αφορά επαναλαμβανόμενη δειγματοληψία σε σταθερό Markovian domain και δεν προβλέπει πόσες πραγματικές αλληλεπιδράσεις απαιτούνται για να εντοπιστεί και να απορροφηθεί μία κρυφή persistent action remap [18]. Για αυτό η εργασία δεν χρησιμοποιεί θεωρητική σύγκλιση ως proxy για resilience· μετρά άμεσα την post-change loss και, χωριστά, το stable recovery.</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χρησιμοποιώντας νευρωνική προσέγγιση της συνάρτησης αξίας ενεργειών και αποτελεί θεμελιώδες σημείο αναφοράς του deep RL [10]. Η αρχική προσέγγιση χρησιμοποιεί experience replay, ώστε οι μεταβάσεις να αποθηκεύονται και να επαναχρησιμοποιούνται για ενημερώσεις [10].</w:t>
      </w:r>
    </w:p>
    <w:p>
      <w:pPr>
        <w:spacing w:after="120" w:line="360" w:lineRule="auto"/>
        <w:ind w:firstLine="397"/>
        <w:jc w:val="both"/>
      </w:pPr>
      <w:r>
        <w:rPr>
          <w:rFonts w:ascii="Times New Roman" w:hAnsi="Times New Roman" w:eastAsia="Times New Roman"/>
          <w:sz w:val="22"/>
        </w:rPr>
        <w:t>Το replay δεν αποτελεί ουδέτερη λεπτομέρεια αποθήκευσης. Η χωρητικότητα του buffer, η συχνότητα δειγματοληψίας και ο λόγος ενημερώσεων προς νέα περιβαλλοντική εμπειρία μπορούν να επηρεάσουν ουσιαστικά τη δυναμική μάθησης [11]. Αυτό έχει ιδιαίτερη σημασία σε μη στάσιμες συνθήκες, επειδή ένα replay buffer μπορεί να περιέχει ταυτόχρονα πρόσφατες μεταβάσεις μετά την αλλαγή και παλαιότερες μεταβάσεις που δεν είναι πλέον αντιπροσωπευτικές.</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reset ή επαναστάθμιση του replay μετά τη μεταβολή. Ο Adaptive κλάδος της DQN συνεχίζει τη φυσική διαδικασία εκπαίδευσης της προκαθορισμένης υλοποίησης. Έτσι αξιολογείται η συμπεριφορά του βασικού μηχανισμού συνεχούς μάθησης χωρίς να εισάγεται εκ των υστέρων ξεχωριστή τεχνική continual learning.</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μέθοδος βελτιστοποίησης πολιτικής. Η βασική της ιδέα είναι η χρήση clipped surrogate objective, ώστε να περιορίζονται υπερβολικά μεγάλες μεταβολές της πολιτικής μεταξύ διαδοχικών ενημερώσεων [12].</w:t>
      </w:r>
    </w:p>
    <w:p>
      <w:pPr>
        <w:spacing w:after="120" w:line="360" w:lineRule="auto"/>
        <w:ind w:firstLine="397"/>
        <w:jc w:val="both"/>
      </w:pPr>
      <w:r>
        <w:rPr>
          <w:rFonts w:ascii="Times New Roman" w:hAnsi="Times New Roman" w:eastAsia="Times New Roman"/>
          <w:sz w:val="22"/>
        </w:rPr>
        <w:t>Σε αντίθεση με τις tabular value-based μεθόδους, η PPO μαθαίνει παραμετρική πολιτική και συνάρτηση αξίας. Η παρατηρούμενη επίδοσή της εξαρτάται όχι μόνο από τον υψηλού επιπέδου αλγοριθμικό ορισμό, αλλά και από επιλογές υλοποίησης όπως το μήκος rollout, το minibatch size, ο αριθμός epochs, η εκτίμηση advantage, ο optimizer και η αρχιτεκτονική του δικτύου [13].</w:t>
      </w:r>
    </w:p>
    <w:p>
      <w:pPr>
        <w:spacing w:after="120" w:line="360" w:lineRule="auto"/>
        <w:ind w:firstLine="397"/>
        <w:jc w:val="both"/>
      </w:pPr>
      <w:r>
        <w:rPr>
          <w:rFonts w:ascii="Times New Roman" w:hAnsi="Times New Roman" w:eastAsia="Times New Roman"/>
          <w:sz w:val="22"/>
        </w:rPr>
        <w:t>Η διάκριση αυτή είναι σημαντική για την παρούσα σύγκριση. Το clipping της PPO αφορά κυρίως τη σταθερότητα της βελτιστοποίησης και δεν αποτελεί από μόνο του εγγύηση ανθεκτικότητας σε μεταβολή της σημασιολογίας των ενεργειών ή της περιβαλλοντικής δυναμικής [12]. Η πραγματική συμπεριφορά μετά τη μεταβολή μετράται με το ίδιο πειραματικό πρωτόκολλο που εφαρμόζεται και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t>Η αρχιτεκτονική Dyna συνδυάζει άμεση μάθηση από πραγματική εμπειρία, εκμάθηση μοντέλου και πρόσθετες ενημερώσεις σχεδιασμού (planning) πάνω σε εμπειρία που παράγεται από το μοντέλο [1], [19]. Μια πραγματική μετάβαση μπορεί επομένως να ενημερώσει τόσο τις εκτιμήσεις αξίας όσο και ένα εμπειρικό μοντέλο, το οποίο στη συνέχεια επιτρέπει πρόσθετες ενημερώσεις χωρίς νέες πραγματικές αλληλεπιδράσεις.</w:t>
      </w:r>
    </w:p>
    <w:p>
      <w:pPr>
        <w:spacing w:after="120" w:line="360" w:lineRule="auto"/>
        <w:ind w:firstLine="397"/>
        <w:jc w:val="both"/>
      </w:pPr>
      <w:r>
        <w:t>Σε μεταβαλλόμενο περιβάλλον, αυτή η model-based δομή δημιουργεί και μια ειδική ευπάθεια: μετά από αλλαγή της δυναμικής, τμήμα του μαθημένου μοντέλου μπορεί να παραμείνει παρωχημένο μέχρι να επαναπαρατηρηθούν τα επηρεασμένα ζεύγη κατάστασης–ενέργειας. Ο σχεδιασμός πάνω σε παρωχημένο μοντέλο μπορεί προσωρινά να ενισχύσει παλαιές εκτιμήσεις [19].</w:t>
      </w:r>
    </w:p>
    <w:p>
      <w:pPr>
        <w:spacing w:after="120" w:line="360" w:lineRule="auto"/>
        <w:ind w:firstLine="397"/>
        <w:jc w:val="both"/>
      </w:pPr>
      <w:r>
        <w:t>Η Dyna-Q+ προσθέτει κατευθυνόμενη επανεξερεύνηση μέσω bonus που εξαρτάται από τον χρόνο που έχει μεσολαβήσει από την τελευταία δοκιμή ενός ζεύγους κατάστασης–ενέργειας. Η λογική είναι ότι οι συνέπειες μιας παλαιότερης ενέργειας μπορεί να έχουν αλλάξει και, συνεπώς, η συστηματική επανεξέτασή της μπορεί να βοηθήσει στην ανακάλυψη της μεταβολής [19]. Η επιπλέον διερεύνηση έχει επίσης κόστος, καθώς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Dyna-Q+ διατηρείται στην τελική πεντάδα ως αντιπρόσωπος της μάθησης μοντέλου, του planning και της κατευθυνόμενης επανεξερεύνησης. Η ύπαρξη μοντέλου δεν αντιμετωπίζεται ως θεωρητική εγγύηση καλύτερης προσαρμογής.</w:t>
      </w:r>
    </w:p>
    <w:p>
      <w:pPr>
        <w:keepLines w:val="0"/>
      </w:pPr>
      <w:r>
        <w:t>Η πρωτογενής διατύπωση της Dyna από τον Sutton ενοποιεί direct reinforcement learning, εκμάθηση forward model και planning από model-generated experience σε μία κοινή incremental αρχιτεκτονική [19]. Οι planning updates δεν αποτελούν νέες πραγματικές αλληλεπιδράσεις· είναι εσωτερικές ενημερώσεις που αξιοποιούν το μαθημένο μοντέλο. Η διάκριση αυτή αιτιολογεί γιατί η παρούσα μελέτη χρησιμοποιεί actual environment interactions ως κοινό fairness currency, επιτρέποντας παράλληλα στη Dyna-Q+ το method-native planning που αποτελεί μέρος του αλγορίθμου.</w:t>
      </w:r>
    </w:p>
    <w:p>
      <w:pPr>
        <w:keepLines w:val="0"/>
      </w:pPr>
      <w:r>
        <w:t>Στα changing-world experiments της ίδιας εργασίας, η recency-driven διερεύνηση ενθαρρύνει την επαναδοκιμή ενεργειών των οποίων οι συνέπειες μπορεί να έχουν αλλάξει, ενώ ένα μοντέλο μπορεί να παραμένει προσωρινά stale μέχρι να επαναπαρατηρηθούν τα επηρεασμένα state–action pairs [19]. Το ιστορικό αυτό evidence στηρίζει τη μηχανιστική υπόθεση πίσω από τη Dyna-Q+, όχι μια πρόβλεψη ότι θα ανακάμψει ταχύτερα σε κάθε αλλαγή. Η μόνιμη ανααντιστοίχιση ενεργειών της παρούσας εργασίας διαφέρει από τα συγκεκριμένα maze changes και αξιολογείται ανεξάρτητα.</w:t>
      </w:r>
    </w:p>
    <w:p>
      <w:pPr>
        <w:pStyle w:val="Heading2"/>
      </w:pPr>
      <w:r>
        <w:rPr>
          <w:rFonts w:ascii="Times New Roman" w:hAnsi="Times New Roman" w:eastAsia="Times New Roman"/>
          <w:sz w:val="22"/>
        </w:rPr>
        <w:t>2.7 Μη στασιμότητα και δυναμικές μεταβολές</w:t>
      </w:r>
    </w:p>
    <w:p>
      <w:pPr>
        <w:spacing w:after="120" w:line="360" w:lineRule="auto"/>
        <w:ind w:firstLine="397"/>
        <w:jc w:val="both"/>
      </w:pPr>
      <w:r>
        <w:rPr>
          <w:rFonts w:ascii="Times New Roman" w:hAnsi="Times New Roman" w:eastAsia="Times New Roman"/>
          <w:sz w:val="22"/>
        </w:rPr>
        <w:t>Σε μη στάσιμη ενισχυτική μάθηση μπορεί να μεταβάλλεται η κατανομή καταστάσεων, ανταμοιβών, μεταβάσεων ή άλλων περιβαλλοντικών παραμέτρων κατά τη διάρκεια της αλληλεπίδρασης. Η αλλαγή μπορεί να είναι απότομη ή βαθμιαία, παρατηρήσιμη ή λανθάνουσα, προσωρινή ή μόνιμη. Οι διαφορετικές μορφές μη στασιμότητας δημιουργούν διαφορετικές απαιτήσεις προσαρμογής και δεν είναι επιστημονικά ορθό να αντιμετωπίζονται ως μία ενιαία κατηγορία [2].</w:t>
      </w:r>
    </w:p>
    <w:p>
      <w:pPr>
        <w:spacing w:after="120" w:line="360" w:lineRule="auto"/>
        <w:ind w:firstLine="397"/>
        <w:jc w:val="both"/>
      </w:pPr>
      <w:r>
        <w:t>Η βιβλιογραφία continual reinforcement learning διακρίνει επίσης διαφορετικά σενάρια ανάλογα με το τι μεταβάλλεται και με το αν η ταυτότητα ή τα όρια της νέας συνθήκης είναι διαθέσιμα στον πράκτορα. Η ισορροπία ανάμεσα στη διατήρηση παλαιότερης γνώσης, στην πλαστικότητα για νέα γνώση και στο κόστος διατήρησης μνήμης ή υπολογισμού αποτελεί βασικό ζήτημα του πεδίου [14], [20]. Η παρούσα μελέτη είναι στενότερη από ένα πλήρες continual-learning benchmark: εξετάζει ελεγχόμενες μεταβολές του ίδιου testbed και δεν ισχυρίζεται ότι μετρά όλες τις διαστάσεις forgetting ή transfer.</w:t>
      </w:r>
    </w:p>
    <w:p>
      <w:pPr>
        <w:spacing w:after="120" w:line="360" w:lineRule="auto"/>
        <w:ind w:firstLine="397"/>
        <w:jc w:val="both"/>
      </w:pPr>
      <w:r>
        <w:rPr>
          <w:rFonts w:ascii="Times New Roman" w:hAnsi="Times New Roman" w:eastAsia="Times New Roman"/>
          <w:sz w:val="22"/>
        </w:rPr>
        <w:t>Στα βαθιά νευρωνικά συστήματα, η απλή συνέχιση της εκπαίδευσης δεν εγγυάται ότι η ικανότητα μάθησης διατηρείται αμετάβλητη. Έχουν καταγραφεί primacy effects και απώλεια πλαστικότητας σε παρατεταμένη μάθηση [3], [4]. Τα ευρήματα αυτά δεν προβλέπουν συγκεκριμένη αποτυχία των DQN ή PPO στο GridWorld της παρούσας εργασίας, αλλά αιτιολογούν γιατί η συνεχής gradient-based εκπαίδευση δεν πρέπει να θεωρείται εκ προοιμίου επαρκής στρατηγική προσαρμογής.</w:t>
      </w:r>
    </w:p>
    <w:p>
      <w:pPr>
        <w:spacing w:after="120" w:line="360" w:lineRule="auto"/>
        <w:ind w:firstLine="397"/>
        <w:jc w:val="both"/>
      </w:pPr>
      <w:r>
        <w:rPr>
          <w:rFonts w:ascii="Times New Roman" w:hAnsi="Times New Roman" w:eastAsia="Times New Roman"/>
          <w:sz w:val="22"/>
        </w:rPr>
        <w:t>Η εργασία του Liu για deep RL σε μη στάσιμα περιβάλλοντα οργανώνει το πρόβλημα σε δύο διακριτές αλλά συνδεδεμένες λειτουργίες: αναγνώριση της μεταβολής και προσαρμογή της πολιτικής. Τα πειράματά της χρησιμοποιούν κρυφές αλλαγές σε δυναμικές, εμπόδια και παρατηρήσεις και δείχνουν γιατί η αξιολόγηση μετά το σημείο αλλαγής χρειάζεται χρονική πληροφορία και όχι μόνο έναν τελικό μέσο όρο [15]. Η παρούσα διπλωματική δεν ενσωματώνει detector· η πηγή χρησιμοποιείται για να οριοθετήσει τη διαφορετική σχεδιαστική επιλογή.</w:t>
      </w:r>
    </w:p>
    <w:p>
      <w:pPr>
        <w:spacing w:after="120" w:line="360" w:lineRule="auto"/>
        <w:ind w:firstLine="397"/>
        <w:jc w:val="both"/>
      </w:pPr>
      <w:r>
        <w:rPr>
          <w:rFonts w:ascii="Times New Roman" w:hAnsi="Times New Roman" w:eastAsia="Times New Roman"/>
          <w:sz w:val="22"/>
        </w:rPr>
        <w:t>Το πρόσφατο έργο για online RL σε non-stationary context-driven environments εξετάζει catastrophic forgetting και το stability–plasticity trade-off κατά τη συνεχή λειτουργία [7]. Εκεί ο πράκτορας λαμβάνει ρητή εξωγενή πληροφορία context, επομένως το information regime διαφέρει από τις κρυφές μεταβολές της παρούσας εργασίας. Η διαφορά ανάμεσα σε observed και hidden context είναι κρίσιμη όταν μεταφέρονται συμπεράσματα από μία μελέτη σε άλλη.</w:t>
      </w:r>
    </w:p>
    <w:p>
      <w:pPr>
        <w:keepLines w:val="0"/>
      </w:pPr>
      <w:r>
        <w:t>Η μη στασιμότητα είναι ευρύτερη από μία απλή αλλαγή μετάβασης. Η peer-reviewed επισκόπηση των Khetarpal et al. οργανώνει το continual RL με βάση το scope και τον driver της non-stationarity και επισημαίνει ότι μπορεί να μεταβάλλονται dynamics, rewards, observations ή άλλες συνιστώσες της αλληλεπίδρασης, με ή χωρίς καθαρά task boundaries [20]. Η εστιασμένη survey του Padakandla συμπληρώνει αυτή την εικόνα τονίζοντας ότι οι stationary convergence formulations δεν μεταφέρονται αυτομάτως σε dynamically varying environments και ότι διαφορετικές οικογένειες αλλαγής απαιτούν διαφορετικούς μηχανισμούς αντίδρασης [21].</w:t>
      </w:r>
    </w:p>
    <w:p>
      <w:pPr>
        <w:keepLines w:val="0"/>
      </w:pPr>
      <w:r>
        <w:t>Αυτό έχει άμεση συνέπεια στη σχεδίαση της παρούσας μελέτης. Μία abrupt persistent action remap, ένα στοχαστικό no-op actuator failure και μία corruption της delivered observation δεν θεωρούνται τρεις βαθμοί της ίδιας μεταβλητής, αλλά τρεις διαφορετικοί information/dynamics mechanisms. Η ανάλυση τα διατηρεί χωριστά ώστε ένα θετικό αποτέλεσμα σε μία οικογένεια να μην μετατραπεί σε γενικό ισχυρισμό για «non-stationary RL». Η πρακτική αυτή ακολουθεί την αρχή ότι η φύση και ο βαθμός της non-stationarity πρέπει να ελέγχονται και να δηλώνονται ρητά [20], [21].</w:t>
      </w:r>
    </w:p>
    <w:p>
      <w:pPr>
        <w:keepLines w:val="0"/>
      </w:pPr>
      <w:r>
        <w:t>Η continual-learning βιβλιογραφία επιβάλλει επίσης προσοχή στη διάκριση μεταξύ retention και adaptation. Η διατήρηση παλαιότερης γνώσης και η επαρκής plasticity για νέα εμπειρία δημιουργούν tension που δεν λύνεται απλώς με το να παραμένει ενεργός ο optimizer [20]. Πρόσφατη model-based εργασία στο ICML 2025 εξετάζει διαφορετικό αλλά συναφές setting: διαδοχικά tasks με κοινή world dynamics, online world model και MPC planning, με κύριο πρόβλημα το catastrophic forgetting [30]. Το setting αυτό δεν ισοδυναμεί με Dyna-Q+ ή με hidden action remap, αλλά αποτελεί σύγχρονο παράδειγμα του πόσο καθοριστικές είναι οι assumptions για το τι ακριβώς «συνεχίζεται» και τι αλλάζει.</w:t>
      </w:r>
    </w:p>
    <w:p>
      <w:pPr>
        <w:pStyle w:val="Heading2"/>
      </w:pPr>
      <w:r>
        <w:rPr>
          <w:rFonts w:ascii="Times New Roman" w:hAnsi="Times New Roman" w:eastAsia="Times New Roman"/>
          <w:sz w:val="22"/>
        </w:rPr>
        <w:t>2.8 Αβεβαιότητα ενεργειών, παρατηρήσεων και κρυφή μεταβολή</w:t>
      </w:r>
    </w:p>
    <w:p>
      <w:pPr>
        <w:spacing w:after="120" w:line="360" w:lineRule="auto"/>
        <w:ind w:firstLine="397"/>
        <w:jc w:val="both"/>
      </w:pPr>
      <w:r>
        <w:rPr>
          <w:rFonts w:ascii="Times New Roman" w:hAnsi="Times New Roman" w:eastAsia="Times New Roman"/>
          <w:sz w:val="22"/>
        </w:rPr>
        <w:t>Η πειραματική μελέτη διαχωρίζει τρεις μορφές διαταραχής, επειδή αντιστοιχούν σε διαφορετικούς μηχανισμούς αποτυχίας και δεν είναι εύλογο να συμπιεστούν σε έναν ενιαίο δείκτη αβεβαιότητας.</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μόνιμη ανααντιστοίχιση ενεργειών (persistent action remapping)</w:t>
      </w:r>
      <w:r>
        <w:rPr>
          <w:rFonts w:ascii="Times New Roman" w:hAnsi="Times New Roman" w:eastAsia="Times New Roman"/>
          <w:sz w:val="22"/>
        </w:rPr>
        <w:t xml:space="preserve"> αλλάζει τη σημασιολογία μιας ενέργειας χωρίς να μεταβάλλει το ονομαστικό σύνολο ενεργειών. Ο πράκτορας μπορεί, για παράδειγμα, να εξακολουθεί να επιλέγει </w:t>
      </w:r>
      <w:r>
        <w:rPr>
          <w:rFonts w:ascii="Consolas" w:hAnsi="Consolas" w:eastAsia="Consolas"/>
          <w:sz w:val="19"/>
        </w:rPr>
        <w:t>right</w:t>
      </w:r>
      <w:r>
        <w:rPr>
          <w:rFonts w:ascii="Times New Roman" w:hAnsi="Times New Roman" w:eastAsia="Times New Roman"/>
          <w:sz w:val="22"/>
        </w:rPr>
        <w:t>, ενώ το περιβάλλον εκτελεί τη συνέπεια που προηγουμένως αντιστοιχούσε σε διαφορετική ενέργεια. Η αλλαγή δεν συνοδεύεται από ρητό δείκτη που να την αποκαλύπτει.</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αποτυχία ενέργειας (action failure)</w:t>
      </w:r>
      <w:r>
        <w:rPr>
          <w:rFonts w:ascii="Times New Roman" w:hAnsi="Times New Roman" w:eastAsia="Times New Roman"/>
          <w:sz w:val="22"/>
        </w:rPr>
        <w:t xml:space="preserve"> εισάγει στοχαστική αβεβαιότητα εκτέλεσης: η επιλεγμένη ενέργεια μπορεί να μην εφαρμοστεί με προκαθορισμένη πιθανότητα. Σε αυτή την περίπτωση δεν δημιουργείται απαραίτητα νέο μόνιμο καθεστώς δυναμικής, όπως συμβαίνει στην ανααντιστοίχιση.</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αλλοίωση παρατήρησης (observation corruption)</w:t>
      </w:r>
      <w:r>
        <w:rPr>
          <w:rFonts w:ascii="Times New Roman" w:hAnsi="Times New Roman" w:eastAsia="Times New Roman"/>
          <w:sz w:val="22"/>
        </w:rPr>
        <w:t xml:space="preserve"> εισάγει αβεβαιότητα πληροφορίας. Ο πράκτορας μπορεί να λάβει παρατήρηση που δεν αντιστοιχεί στην πραγματική κατάσταση που χρησιμοποιεί ο evaluator. Αυτό διαφέρει εννοιολογικά από την αβεβαιότητα εκτέλεσης, επειδή η ενημέρωση της μάθησης μπορεί να βασίζεται σε αλλοιωμένη είσοδο.</w:t>
      </w:r>
    </w:p>
    <w:p>
      <w:pPr>
        <w:spacing w:after="120" w:line="360" w:lineRule="auto"/>
        <w:ind w:firstLine="397"/>
        <w:jc w:val="both"/>
      </w:pPr>
      <w:r>
        <w:rPr>
          <w:rFonts w:ascii="Times New Roman" w:hAnsi="Times New Roman" w:eastAsia="Times New Roman"/>
          <w:sz w:val="22"/>
        </w:rPr>
        <w:t>Η εμπειρική ανάλυση διατηρεί τις τρεις συνθήκες χωριστά. Η επιλογή αυτή είναι συνεπής με τη γενικότερη βιβλιογραφική παρατήρηση ότι διαφορετικές μορφές μη στασιμότητας και αβεβαιότητας απαιτούν διαφορετική ερμηνεία και ενδέχεται να ευνοούν διαφορετικούς μηχανισμούς προσαρμογής [2], [15].</w:t>
      </w:r>
    </w:p>
    <w:p>
      <w:pPr>
        <w:keepLines w:val="0"/>
      </w:pPr>
      <w:r>
        <w:t>Η αβεβαιότητα ενεργειών πρέπει να διαχωρίζει τουλάχιστον την τυχαία ή adversarial αντικατάσταση action από τη συνεχή perturbation και από τη μόνιμη αλλαγή της σημασιολογίας των actions. Οι Tessler et al. διατυπώνουν probabilistic action replacement και noisy-action models και δείχνουν ότι το robustness–performance trade-off εξαρτάται από το disturbance model και τη severity [26]. Η thesis condition action-failure-0.15 είναι στενότερη: πρόκειται για ανεξάρτητο stochastic no-op και όχι για adversary που επιλέγει worst-case action. Οι persistent remaps είναι ακόμη διαφορετικό πρόβλημα, επειδή αλλάζουν συστηματικά την αντιστοίχιση intended προς executed action.</w:t>
      </w:r>
    </w:p>
    <w:p>
      <w:pPr>
        <w:keepLines w:val="0"/>
      </w:pPr>
      <w:r>
        <w:t>Αντίστοιχα, observation corruption δεν είναι συνώνυμη με αλλαγή dynamics. Εργασία σε POMDPs με incomplete/noisy observations χρησιμοποιεί belief inference και learned transition components για να αντιμετωπίσει information loss [27], ενώ η bounded-robustness προσέγγιση των Jarne Ornia et al. μοντελοποιεί άγνωστο observation kernel και θέτει ρητό trade-off μεταξύ nominal utility και robustness [28]. Η παρούσα εργασία δεν υλοποιεί belief state, filtering ή robust-policy training. Η συνθήκη 0,05 λειτουργεί ως controlled corruption της delivered observation ώστε να εξεταστεί η συμπεριφορά των ίδιων frozen configurations υπό διαφορετικό information quality.</w:t>
      </w:r>
    </w:p>
    <w:p>
      <w:pPr>
        <w:keepLines w:val="0"/>
      </w:pPr>
      <w:r>
        <w:t>Η διάκριση από zero-shot generalisation είναι επίσης ουσιώδης. Στη ZSG βιβλιογραφία η test policy αξιολογείται χωρίς πρόσθετο learning από τα test instances, ενώ online updates αποτελούν διαφορετικό regime [22]. Οι Frozen branches της παρούσας μελέτης προσεγγίζουν αυτή τη no-update λογική ως προς το deployment, ενώ οι Adaptive branches επιτρέπουν ordinary method-native learning. Το matched FN/FD/AN/AD design δεν πρέπει συνεπώς να περιγράφεται ως standard zero-shot benchmark, αλλά ως ελεγχόμενη σύγκριση no-update robustness και online adaptation.</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Για τους σκοπούς της παρούσας εργασίας, η ανθεκτικότητα δεν αντιμετωπίζεται ως ένας ενιαίος αδιαφανής αριθμός. Διαχωρίζονται τρεις συμπληρωματικές όψεις:</w:t>
      </w:r>
    </w:p>
    <w:p>
      <w:pPr>
        <w:pStyle w:val="ListBullet"/>
        <w:spacing w:after="60" w:line="324" w:lineRule="auto"/>
        <w:ind w:left="369"/>
      </w:pPr>
      <w:r>
        <w:rPr>
          <w:rFonts w:ascii="Times New Roman" w:hAnsi="Times New Roman" w:eastAsia="Times New Roman"/>
          <w:b/>
          <w:sz w:val="22"/>
        </w:rPr>
        <w:t>υποβάθμιση (degradation):</w:t>
      </w:r>
      <w:r>
        <w:rPr>
          <w:rFonts w:ascii="Times New Roman" w:hAnsi="Times New Roman" w:eastAsia="Times New Roman"/>
          <w:sz w:val="22"/>
        </w:rPr>
        <w:t xml:space="preserve"> πόσο μειώνεται η επίδοση όταν εμφανίζεται διαταραχή,</w:t>
      </w:r>
    </w:p>
    <w:p>
      <w:pPr>
        <w:pStyle w:val="ListBullet"/>
        <w:spacing w:after="60" w:line="324" w:lineRule="auto"/>
        <w:ind w:left="369"/>
      </w:pPr>
      <w:r>
        <w:rPr>
          <w:rFonts w:ascii="Times New Roman" w:hAnsi="Times New Roman" w:eastAsia="Times New Roman"/>
          <w:b/>
          <w:sz w:val="22"/>
        </w:rPr>
        <w:t>όφελος προσαρμογής (adaptation benefit):</w:t>
      </w:r>
      <w:r>
        <w:rPr>
          <w:rFonts w:ascii="Times New Roman" w:hAnsi="Times New Roman" w:eastAsia="Times New Roman"/>
          <w:sz w:val="22"/>
        </w:rPr>
        <w:t xml:space="preserve"> κατά πόσο η συνέχιση της μάθησης μειώνει αυτή την απώλεια σε σχέση με την αντίστοιχη Frozen εκτέλεση,</w:t>
      </w:r>
    </w:p>
    <w:p>
      <w:pPr>
        <w:pStyle w:val="ListBullet"/>
        <w:spacing w:after="60" w:line="324" w:lineRule="auto"/>
        <w:ind w:left="369"/>
      </w:pPr>
      <w:r>
        <w:rPr>
          <w:rFonts w:ascii="Times New Roman" w:hAnsi="Times New Roman" w:eastAsia="Times New Roman"/>
          <w:b/>
          <w:sz w:val="22"/>
        </w:rPr>
        <w:t>ανάκαμψη (recovery):</w:t>
      </w:r>
      <w:r>
        <w:rPr>
          <w:rFonts w:ascii="Times New Roman" w:hAnsi="Times New Roman" w:eastAsia="Times New Roman"/>
          <w:sz w:val="22"/>
        </w:rPr>
        <w:t xml:space="preserve"> αν και πότε η Adaptive disturbed τροχιά επιστρέφει σταθερά σε προκαθορισμένη γειτονιά της αντιστοιχισμένης Adaptive nominal αναφοράς.</w:t>
      </w:r>
    </w:p>
    <w:p>
      <w:pPr>
        <w:spacing w:after="120" w:line="360" w:lineRule="auto"/>
        <w:ind w:firstLine="397"/>
        <w:jc w:val="both"/>
      </w:pPr>
      <w:r>
        <w:rPr>
          <w:rFonts w:ascii="Times New Roman" w:hAnsi="Times New Roman" w:eastAsia="Times New Roman"/>
          <w:sz w:val="22"/>
        </w:rPr>
        <w:t>Η διάκριση αυτή αποτελεί λειτουργικό ορισμό της συγκεκριμένης μελέτης και δεν παρουσιάζεται ως καθολικό πρότυπο για όλο το continual ή non-stationary RL. Αντίστοιχα, το τετρακλαδικό σχήμα FN/FD/AN/AD είναι πειραματική κατασκευή της εργασίας για να διαχωριστεί η επίδραση της διαταραχής από τη φυσική χρονική μεταβολή της πολιτικής και από το όφελος της συνεχούς μάθησης.</w:t>
      </w:r>
    </w:p>
    <w:p>
      <w:pPr>
        <w:spacing w:after="120" w:line="360" w:lineRule="auto"/>
        <w:ind w:firstLine="397"/>
        <w:jc w:val="both"/>
      </w:pPr>
      <w:r>
        <w:rPr>
          <w:rFonts w:ascii="Times New Roman" w:hAnsi="Times New Roman" w:eastAsia="Times New Roman"/>
          <w:sz w:val="22"/>
        </w:rPr>
        <w:t>Η ανάκαμψη χρειάζεται ιδιαίτερη μεταχείριση, επειδή συνδυάζει χρονική πληροφορία με την πιθανότητα να μην παρατηρηθεί ποτέ το γεγονός μέσα στον διαθέσιμο ορίζοντα. Όταν μια root δεν ανακάμπτει μέχρι τις 256 αλληλεπιδράσεις, παραμένει δεξιά λογοκριμένη (right-censored) και δεν μετατρέπεται σε ψευδή παρατηρούμενο χρόνο ίσο με το horizon.</w:t>
      </w:r>
    </w:p>
    <w:p>
      <w:pPr>
        <w:spacing w:after="120" w:line="360" w:lineRule="auto"/>
        <w:ind w:firstLine="397"/>
        <w:jc w:val="both"/>
      </w:pPr>
      <w:r>
        <w:rPr>
          <w:rFonts w:ascii="Times New Roman" w:hAnsi="Times New Roman" w:eastAsia="Times New Roman"/>
          <w:sz w:val="22"/>
        </w:rPr>
        <w:t>Η διάκριση μεταξύ τελικής επίδοσης και της πορείας μετά τη μεταβολή έχει άμεσο ανάλογο στη βιβλιογραφία των μη στάσιμων περιβαλλόντων, όπου εξετάζονται performance dips, detection delay, post-change convergence και σταθερότητα της απόδοσης [15]. Η παρούσα εργασία χρησιμοποιεί διαφορετικό, προκαθορισμένο ορισμό ανάκαμψης, αλλά η κοινή αρχή είναι ότι η χρονική εξέλιξη περιέχει πληροφορία που χάνεται σε έναν μόνο τελικό μέσο όρο.</w:t>
      </w:r>
    </w:p>
    <w:p>
      <w:pPr>
        <w:keepLines w:val="0"/>
      </w:pPr>
      <w:r>
        <w:t>Η ανθεκτικότητα αντιμετωπίζεται εδώ ως χρονική διαδικασία και όχι ως ετικέτα για μία υψηλή τελική απόδοση. Το NovGrid διαχωρίζει την immediate response to novelty, την asymptotic adaptive performance και την adaptive efficiency, δείχνοντας ότι διαφορετικά σημεία της post-change curve απαντούν σε διαφορετικά ερωτήματα [23]. Η εργασία για cooperative resilience των Chacon-Chamorro et al. χρησιμοποιεί reference και performance curves για να διαχωρίσει failure και recovery profiles [24]. Παρότι το domain της είναι multi-agent, η εννοιολογική διάκριση πτώσης και αποκατάστασης υποστηρίζει τη χρήση ξεχωριστών RQ2 και RQ3.</w:t>
      </w:r>
    </w:p>
    <w:p>
      <w:pPr>
        <w:keepLines w:val="0"/>
      </w:pPr>
      <w:r>
        <w:t>Πρόσφατη peer-reviewed εργασία για autonomous cyber defense ενισχύει το ίδιο methodological point από διαφορετικό domain: πολύ coarse χρονική aggregation μπορεί να κρύψει πληροφορία για το recovery process, ενώ υπερβολικά fine resolution μπορεί να δυσκολεύει την ερμηνεία [25]. Η δική μας επιλογή fixed 32-interaction windows δεν προέρχεται από τη cyber metric και δεν υιοθετεί τα domain-specific weights ή smoothing της. Η πηγή χρησιμοποιείται μόνο για να αιτιολογήσει γιατί η temporal granularity πρέπει να δηλώνεται ρητά και γιατί το whole-horizon score δεν αρκεί για recovery claim.</w:t>
      </w:r>
    </w:p>
    <w:p>
      <w:pPr>
        <w:keepLines w:val="0"/>
      </w:pPr>
      <w:r>
        <w:t>Τέλος, resilience και safety παραμένουν διακριτές έννοιες. Η safe-RL βιβλιογραφία συνήθως εισάγει explicit costs, constraints ή risk semantics πέρα από το task reward, ενώ η πρόσφατη safe-continual σύνθεση τονίζει ότι η constraint satisfaction πρέπει να εξετάζεται και κατά τη μεταβατική περίοδο προσαρμογής [29], [31]. Η παρούσα μελέτη δεν έχει frozen safety-cost objective ούτε αποδεικνύει constraint satisfaction. Συνεπώς, η διατήρηση ή ανάκτηση task performance υπό disturbance δεν παρουσιάζεται ως safety guarantee· το safe continual adaptation αποτελεί ξεχωριστή κατεύθυνση μελλοντικής εργασίας.</w:t>
      </w:r>
    </w:p>
    <w:p>
      <w:pPr>
        <w:pStyle w:val="Heading2"/>
      </w:pPr>
      <w:r>
        <w:rPr>
          <w:rFonts w:ascii="Times New Roman" w:hAnsi="Times New Roman" w:eastAsia="Times New Roman"/>
          <w:sz w:val="22"/>
        </w:rPr>
        <w:t>2.10 Συνεχής προσαρμογή, replay και οργάνωση μοντέλου</w:t>
      </w:r>
    </w:p>
    <w:p>
      <w:pPr>
        <w:spacing w:after="120" w:line="360" w:lineRule="auto"/>
        <w:ind w:firstLine="397"/>
        <w:jc w:val="both"/>
      </w:pPr>
      <w:r>
        <w:t>Η απλή συνέχιση της εκπαίδευσης δεν είναι η μοναδική προσέγγιση σε μεταβαλλόμενα περιβάλλοντα. Η βιβλιογραφία περιλαμβάνει ανίχνευση σημείων αλλαγής, εκτίμηση context, διαχείριση μνήμης και replay, meta-learning, ειδικές continual-learning τεχνικές και uncertainty-aware planning [2], [14], [20].</w:t>
      </w:r>
    </w:p>
    <w:p>
      <w:pPr>
        <w:spacing w:after="120" w:line="360" w:lineRule="auto"/>
        <w:ind w:firstLine="397"/>
        <w:jc w:val="both"/>
      </w:pPr>
      <w:r>
        <w:t>Οι continual-RL surveys οργανώνουν πολλές από αυτές τις προσεγγίσεις ανάλογα με το αν διατηρούν ή μεταφέρουν πολιτικές, εμπειρία, δυναμική ή πληροφορία ανταμοιβής και υπογραμμίζουν ότι η σωστή αξιολόγηση εξαρτάται από το σενάριο και από το αν τα task boundaries είναι γνωστά [14], [20]. Αυτό το σημείο είναι σημαντικό για τη διπλωματική, επειδή οι μεταβολές της δεν ανακοινώνονται στον πράκτορα και δεν πρέπει να συγκριθούν άκριτα με task-incremental setups όπου η ταυτότητα του νέου task παρέχεται ρητά.</w:t>
      </w:r>
    </w:p>
    <w:p>
      <w:pPr>
        <w:spacing w:after="120" w:line="360" w:lineRule="auto"/>
        <w:ind w:firstLine="397"/>
        <w:jc w:val="both"/>
      </w:pPr>
      <w:r>
        <w:rPr>
          <w:rFonts w:ascii="Times New Roman" w:hAnsi="Times New Roman" w:eastAsia="Times New Roman"/>
          <w:sz w:val="22"/>
        </w:rPr>
        <w:t>Στην context-driven προσέγγιση του 2025, παλαιότερη εμπειρία χρησιμοποιείται για να περιοριστούν καταστροφικές μεταβολές της πολιτικής σε προηγούμενα contexts, αντί να αντιμετωπίζεται απλώς ως παρωχημένο on-policy training data [7]. Η σχεδίαση αυτή αντιμετωπίζει ρητά το stability–plasticity trade-off, αλλά απαιτεί διαθέσιμη πληροφορία context που δεν υπάρχει στο πειραματικό πρωτόκολλο της παρούσας μελέτης.</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μαθημένο μοντέλο και ένα ενιαίο ιστορικό εμπειρίας μπορούν να δυσκολέψουν την τοπική προσαρμογή όταν αλλάζει μόνο μέρος της κατανομής του περιβάλλοντος [8]. Οι συγγραφείς αναδεικνύουν ένα trade-off μεταξύ interference και forgetting: μεγάλο ιστορικό μπορεί να διατηρεί παρωχημένες μεταβάσεις, ενώ πολύ περιορισμένο ιστορικό μπορεί να απομακρύνει παλαιότερη αλλά ακόμη έγκυρη γνώση. Η παρέμβασή τους δεν μεταφέρεται αυτούσια στην tabular Dyna-Q+ της παρούσας εργασίας, αλλά παρέχει σχετικό μηχανιστικό πλαίσιο για τη συζήτηση της προσαρμογής μοντέλων.</w:t>
      </w:r>
    </w:p>
    <w:p>
      <w:pPr>
        <w:spacing w:after="120" w:line="360" w:lineRule="auto"/>
        <w:ind w:firstLine="397"/>
        <w:jc w:val="both"/>
      </w:pPr>
      <w:r>
        <w:rPr>
          <w:rFonts w:ascii="Times New Roman" w:hAnsi="Times New Roman" w:eastAsia="Times New Roman"/>
          <w:sz w:val="22"/>
        </w:rPr>
        <w:t>Οι παραπάνω εργασίες χρησιμοποιούνται για να τοποθετήσουν τα αποτελέσματα σε ένα ευρύτερο τοπίο continual adaptation. Δεν χρησιμοποιούνται για να αποδώσουν εκ των υστέρων συγκεκριμένο αιτιακό μηχανισμό στα αποτελέσματα των πέντε μεθόδων.</w:t>
      </w:r>
    </w:p>
    <w:p>
      <w:pPr>
        <w:keepLines w:val="0"/>
      </w:pPr>
      <w:r>
        <w:t>Η αποθηκευμένη εμπειρία και το learned model δημιουργούν διαφορετικές μορφές ιστορικής εξάρτησης. Στην DQN, το replay buffer επαναχρησιμοποιεί παλαιότερες μεταβάσεις και η replay design μπορεί να αλλάξει αισθητά τη learning dynamics [11]. Σε non-stationary deployment, αυτό δημιουργεί εύλογο stale-history concern, αλλά η κατεύθυνση της επίδρασης δεν είναι δεδομένη: η διατήρηση παλιών samples μπορεί να παρεμβαίνει στην προσαρμογή, ενώ η επιθετική απόρριψή τους μπορεί να αυξήσει forgetting. Χωρίς ειδική replay ablation, η παρούσα εργασία αντιμετωπίζει αυτό το σημείο ως mechanism hypothesis και όχι ως αιτιώδη εξήγηση των DQN outcomes.</w:t>
      </w:r>
    </w:p>
    <w:p>
      <w:pPr>
        <w:keepLines w:val="0"/>
      </w:pPr>
      <w:r>
        <w:t>Στα model-based systems το αντίστοιχο ζήτημα είναι τι γνώση αποθηκεύει το model και πώς χρησιμοποιείται. Η Dyna κάνει learning updates από model-generated experience [19], ενώ η πρόσφατη εργασία των Liu et al. σχεδιάζει actions με MPC πάνω σε online world model που επαναχρησιμοποιείται μεταξύ tasks με κοινή dynamics [30]. Πρόκειται για διαφορετικούς planning mechanisms. Η σύγκρισή τους είναι χρήσιμη επειδή δείχνει ότι ο όρος «model-based adaptation» δεν ορίζει μία ενιαία μέθοδο και ότι assumptions για task boundaries, reward changes, uncertainty και exploration πρέπει να διατηρούνται ορατές.</w:t>
      </w:r>
    </w:p>
    <w:p>
      <w:pPr>
        <w:pStyle w:val="Heading2"/>
      </w:pPr>
      <w:r>
        <w:rPr>
          <w:rFonts w:ascii="Times New Roman" w:hAnsi="Times New Roman" w:eastAsia="Times New Roman"/>
          <w:sz w:val="22"/>
        </w:rPr>
        <w:t>2.11 Εμπειρικός σχεδιασμός και δίκαιη σύγκριση RL</w:t>
      </w:r>
    </w:p>
    <w:p>
      <w:pPr>
        <w:spacing w:after="120" w:line="360" w:lineRule="auto"/>
        <w:ind w:firstLine="397"/>
        <w:jc w:val="both"/>
      </w:pPr>
      <w:r>
        <w:rPr>
          <w:rFonts w:ascii="Times New Roman" w:hAnsi="Times New Roman" w:eastAsia="Times New Roman"/>
          <w:sz w:val="22"/>
        </w:rPr>
        <w:t>Η αξιόπιστη σύγκριση αλγορίθμων ενισχυτικής μάθησης είναι ιδιαίτερα ευαίσθητη στην τυχαιότητα, στις υπερπαραμέτρους, στην επιλογή περιβάλλοντος και στις επιλογές αναφοράς αποτελεσμάτων [5], [6]. Για αυτό μια σύγκριση πέντε ετερογενών μεθόδων δεν μπορεί να στηριχθεί σε ένα seed, σε επιλεγμένες καλύτερες εκτελέσεις ή απλώς στο ίδιο πλήθος επεισοδίων.</w:t>
      </w:r>
    </w:p>
    <w:p>
      <w:pPr>
        <w:spacing w:after="120" w:line="360" w:lineRule="auto"/>
        <w:ind w:firstLine="397"/>
        <w:jc w:val="both"/>
      </w:pPr>
      <w:r>
        <w:rPr>
          <w:rFonts w:ascii="Times New Roman" w:hAnsi="Times New Roman" w:eastAsia="Times New Roman"/>
          <w:sz w:val="22"/>
        </w:rPr>
        <w:t>Η μεθοδολογική βιβλιογραφία υποστηρίζει τη χρήση πολλαπλών ανεξάρτητων εκτελέσεων, συγκρίσιμης ευκαιρίας tuning, κοινού budget πραγματικής εμπειρίας και ρητής αναφοράς αβεβαιότητας [5], [6]. Ειδικότερα, οι Agarwal et al. δείχνουν ότι λίγες stochastic runs μπορούν να οδηγήσουν σε ασταθείς point estimates και ότι τα διαστήματα αβεβαιότητας και τα πρακτικά effect sizes είναι προτιμότερα από απλουστευμένους δυαδικούς ισχυρισμούς υπεροχής [16]. Η εργασία αυτή δεν χρησιμοποιείται για να μεταφερθούν μηχανικά multi-task aggregators στο παρόν single-testbed design· υποστηρίζει τη γενικότερη αρχή της uncertainty-aware αναφοράς.</w:t>
      </w:r>
    </w:p>
    <w:p>
      <w:pPr>
        <w:spacing w:after="120" w:line="360" w:lineRule="auto"/>
        <w:ind w:firstLine="397"/>
        <w:jc w:val="both"/>
      </w:pPr>
      <w:r>
        <w:rPr>
          <w:rFonts w:ascii="Times New Roman" w:hAnsi="Times New Roman" w:eastAsia="Times New Roman"/>
          <w:sz w:val="22"/>
        </w:rPr>
        <w:t>Η παρούσα μελέτη εφαρμόζει αυτές τις αρχές με πραγματικές αλληλεπιδράσεις πράκτορα–περιβάλλοντος ως κύριο budget, 12 ανεξάρτητες roots και προκαθορισμένη ρύθμιση των μεθόδων πριν από την πρόσβαση στα confirmatory αποτελέσματα. Οι root-paired διαφορές και τα Student-t intervals χρησιμοποιούνται ως προκαθορισμένη περιγραφική αναφορά της αβεβαιότητας και όχι ως οικογένεια p-value tests υπεροχής.</w:t>
      </w:r>
    </w:p>
    <w:p>
      <w:pPr>
        <w:spacing w:after="120" w:line="360" w:lineRule="auto"/>
        <w:ind w:firstLine="397"/>
        <w:jc w:val="both"/>
      </w:pPr>
      <w:r>
        <w:rPr>
          <w:rFonts w:ascii="Times New Roman" w:hAnsi="Times New Roman" w:eastAsia="Times New Roman"/>
          <w:sz w:val="22"/>
        </w:rPr>
        <w:t xml:space="preserve">Ιδιαίτερη προσοχή απαιτούν και τα χρονικά όρια των επεισοδίων. Ένα διοικητικό cutoff δεν είναι κατ’ ανάγκη terminal state του υποκείμενου προβλήματος. Η βιβλιογραφία για τον χειρισμό time limits δείχνει ότι η λανθασμένη μεταχείριση truncation ως πραγματικού terminal μπορεί να μεταβάλει τους στόχους μάθησης [17]. Για τον λόγο αυτό το πειραματικό σύστημα διακρίνει ρητά </w:t>
      </w:r>
      <w:r>
        <w:rPr>
          <w:rFonts w:ascii="Consolas" w:hAnsi="Consolas" w:eastAsia="Consolas"/>
          <w:sz w:val="19"/>
        </w:rPr>
        <w:t>terminated</w:t>
      </w:r>
      <w:r>
        <w:rPr>
          <w:rFonts w:ascii="Times New Roman" w:hAnsi="Times New Roman" w:eastAsia="Times New Roman"/>
          <w:sz w:val="22"/>
        </w:rPr>
        <w:t xml:space="preserve"> και </w:t>
      </w:r>
      <w:r>
        <w:rPr>
          <w:rFonts w:ascii="Consolas" w:hAnsi="Consolas" w:eastAsia="Consolas"/>
          <w:sz w:val="19"/>
        </w:rPr>
        <w:t>truncated</w:t>
      </w:r>
      <w:r>
        <w:rPr>
          <w:rFonts w:ascii="Times New Roman" w:hAnsi="Times New Roman" w:eastAsia="Times New Roman"/>
          <w:sz w:val="22"/>
        </w:rPr>
        <w:t xml:space="preserve"> σύμφωνα με το προκαθορισμένο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t>Η σχετική βιβλιογραφία καλύπτει διαφορετικές όψεις του προβλήματος: κλασικό TD control, deep value learning, policy optimization, model-based planning, continual RL, απώλεια πλαστικότητας, replay management, detection και τοπική προσαρμογή. Οι μελέτες όμως διαφέρουν ουσιαστικά ως προς τα περιβάλλοντα, την πληροφορία που δίνεται στον πράκτορα, τα interaction budgets, τα σημεία αλλαγής και τις μετρικές αξιολόγησης [15], [14], [20].</w:t>
      </w:r>
    </w:p>
    <w:p>
      <w:pPr>
        <w:spacing w:after="120" w:line="360" w:lineRule="auto"/>
        <w:ind w:firstLine="397"/>
        <w:jc w:val="both"/>
      </w:pPr>
      <w:r>
        <w:rPr>
          <w:rFonts w:ascii="Times New Roman" w:hAnsi="Times New Roman" w:eastAsia="Times New Roman"/>
          <w:sz w:val="22"/>
        </w:rPr>
        <w:t>Η παρούσα εργασία δεν επιχειρεί να αναπαράγει ένα μεγάλο continual-RL benchmark ούτε να καλύψει όλες τις οικογένειες αλγορίθμων. Επιλέγει πέντε μηχανιστικά διαφορετικές και υπολογιστικά υλοποιήσιμες μεθόδους, οι οποίες αξιολογούνται κάτω από ένα κοινό και αυστηρά ελεγχόμενο πειραματικό πρωτόκολλο:</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κατευθυνόμενη επανεξερεύνηση.</w:t>
      </w:r>
    </w:p>
    <w:p>
      <w:pPr>
        <w:spacing w:after="120" w:line="360" w:lineRule="auto"/>
        <w:ind w:firstLine="397"/>
        <w:jc w:val="both"/>
      </w:pPr>
      <w:r>
        <w:rPr>
          <w:rFonts w:ascii="Times New Roman" w:hAnsi="Times New Roman" w:eastAsia="Times New Roman"/>
          <w:sz w:val="22"/>
        </w:rPr>
        <w:t>Η επιλογή αυτή επιτρέπει να διαχωριστούν τρία ερωτήματα που συχνά συγχέονται: πόσο αποτελεσματικά μαθαίνει ένας πράκτορας σε ονομαστικές συνθήκες, αν η συνέχιση της μάθησης μειώνει τη συνολική απώλεια από μια διαταραχή και αν η απόδοση επιστρέφει σταθερά κοντά στην αντιστοιχισμένη ονομαστική Adaptive τροχιά.</w:t>
      </w:r>
    </w:p>
    <w:p>
      <w:pPr>
        <w:spacing w:after="120" w:line="360" w:lineRule="auto"/>
        <w:ind w:firstLine="397"/>
        <w:jc w:val="both"/>
      </w:pPr>
      <w:r>
        <w:t>Σε αντίθεση με detection–adaptation συστήματα που ενεργοποιούν ρητά διαφορετικό μηχανισμό μετά από change alarm [15], οι Adaptive κλάδοι της παρούσας μελέτης δεν λαμβάνουν ένδειξη ότι συνέβη μεταβολή. Σε αντίθεση επίσης με πλήρη continual-learning πρωτόκολλα, δεν αξιολογείται εκτεταμένη ακολουθία tasks με ξεχωριστές μετρικές forgetting και backward transfer [14], [20]. Οι διαφορές αυτές αποτελούν συνειδητά όρια της σύγκρισης και όχι κενά που καλύπτονται εκ των υστέρων με νέα πειραματικά arms.</w:t>
      </w:r>
    </w:p>
    <w:p>
      <w:pPr>
        <w:keepLines w:val="0"/>
      </w:pPr>
      <w:r>
        <w:t>Συνολικά, η σχετική βιβλιογραφία περιλαμβάνει εξειδικευμένες λύσεις για action robustness [26], observation robustness [27], [28], zero-shot generalisation [22], continual-learning retention [20], [30] και temporal resilience [23]–[25]. Η παρούσα εργασία δεν επιχειρεί να αναπαραγάγει αυτές τις specialized methods μέσα σε ένα ενιαίο leaderboard. Χρησιμοποιεί τις πηγές για να ορίσει τα σύνορα των εννοιών και να επιλέξει ελεγχόμενες disturbances, ενώ το empirical question παραμένει η συμπεριφορά πέντε συγκεκριμένων baseline mechanisms υπό κοινό protocol.</w:t>
      </w:r>
    </w:p>
    <w:p>
      <w:pPr>
        <w:keepLines w:val="0"/>
      </w:pPr>
      <w:r>
        <w:t>Αυτή η τοποθέτηση αποφεύγει δύο αντίθετα σφάλματα. Το πρώτο θα ήταν να παρουσιαστούν standard RL algorithms ως state of the art για κάθε μορφή non-stationarity. Το δεύτερο θα ήταν να θεωρηθεί ότι ένα specialized robust ή continual method πρέπει εξ ορισμού να υπερέχει σε οποιοδήποτε disturbance. Οι υπάρχουσες εργασίες δείχνουν ισχυρή εξάρτηση από domain, information regime, perturbation family, architecture και objective [22], [26], [28]. Επομένως, η συνεισφορά της διπλωματικής είναι controlled evidence για έναν περιορισμένο μηχανιστικό χώρο και όχι καθολική κατάταξη.</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t>Το ερευνητικό κενό που εξετάζεται δεν είναι η απουσία αλγορίθμων για non-stationary RL. Η βιβλιογραφία διαθέτει εξειδικευμένες λύσεις για detection, context inference, replay management, continual regularization και model adaptation [15], [14], [20], [8]. Το ερώτημα είναι πιο συγκεκριμένο: πώς συμπεριφέρονται διαφορετικοί βασικοί μηχανισμοί RL όταν αξιολογούνται με την ίδια διαθέσιμη πληροφορία, κοινό budget πραγματικών αλληλεπιδράσεων και αντιστοιχισμένη κρυφή μεταβολή, με χωριστή μέτρηση του οφέλους προσαρμογής και της ανάκαμψης;</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πλευρά, οι καθαρά στάσιμες συγκρίσεις δεν εξετάζουν ρητά τη συμπεριφορά μετά από αλλαγή. Από την άλλη, εξειδικευμένα continual-RL συστήματα συχνά προσθέτουν context, detectors, ειδικούς κανόνες μνήμης ή αρχιτεκτονικές παρεμβάσεις. Η παρούσα μελέτη κρατά τις πέντε μεθόδους κοντά στη βασική λειτουργία τους και μεταβάλλει ελεγχόμενα το περιβάλλον μετά από ακριβές επιστημονικό checkpoint.</w:t>
      </w:r>
    </w:p>
    <w:p>
      <w:pPr>
        <w:spacing w:after="120" w:line="360" w:lineRule="auto"/>
        <w:ind w:firstLine="397"/>
        <w:jc w:val="both"/>
      </w:pPr>
      <w:r>
        <w:rPr>
          <w:rFonts w:ascii="Times New Roman" w:hAnsi="Times New Roman" w:eastAsia="Times New Roman"/>
          <w:sz w:val="22"/>
        </w:rPr>
        <w:t>Έτσι, τα αποτελέσματα αποτελούν ελεγχόμενο σημείο αναφοράς για την ανθεκτικότητα και την προσαρμογή, όχι καθολική κατάταξη τεχνικών continual RL. Οι ερμηνείες περιορίζονται στο παρόν πειραματικό πρωτόκολλο.</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t>3.2 GridWorld ως ελεγχόμενο πειραματικό περιβάλλον δοκιμών</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held-out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t>3.3 Τελικές μέθοδοι και όρια δίκαιης σύγκρισης</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keepLines w:val="0"/>
      </w:pPr>
      <w:r>
        <w:t>Οι τελικές ρυθμίσεις δεν επιλέχθηκαν από τα final outcomes. Πριν ανοίξει το final reserve εκτελέστηκε προκαθορισμένο, ίσης ευκαιρίας tuning μόνο σε DEVELOPMENT evidence: έξι method-specific υποψήφιες ρυθμίσεις για καθεμία από τις πέντε μεθόδους, στις ίδιες τρεις tuning-only roots και στις ίδιες δύο development layouts, με κοινό budget 8.192 πραγματικών αλληλεπιδράσεων και κοινό πλέγμα probes. Το design παρήγαγε 6×3×2×5=180 tuning units. Οι random seeds δεν αποτέλεσαν tuning parameter.</w:t>
      </w:r>
    </w:p>
    <w:p>
      <w:pPr>
        <w:keepLines w:val="0"/>
      </w:pPr>
      <w:r>
        <w:t>Η επιλογή έγινε χωριστά ανά μέθοδο με προκαθορισμένο μηχανικό κανόνα: πρώτα μεγιστοποιήθηκε η ισοβαρής ως προς roots και layouts τραπεζοειδής time-average success στα no-learning probes, έπειτα χρησιμοποιήθηκαν ως tie-breakers η τελική success, η time-average return και, μόνο σε πλήρη ισοβαθμία, το λεξικογραφικά μικρότερο config ID. Οι επιλεγμένες ρυθμίσεις ήταν q-c06, sarsa-c06, dqn-c05, ppo-c06 και dyna-c03. Το bounded search space ήταν ίσης έκτασης αλλά όχι εξαντλητικό, άρα η σύγκριση αφορά αυτές τις frozen επιλογές και όχι τη θεωρητικά μέγιστη δυνατή επίδοση κάθε algorithm family.</w:t>
      </w:r>
    </w:p>
    <w:p>
      <w:pPr>
        <w:pStyle w:val="Heading2"/>
      </w:pPr>
      <w:r>
        <w:t>3.4 Φάση A: ανεξάρτητη ονομαστική μάθηση και σημεία ελέγχου</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t>3.5 Φάση B: αντιστοιχισμένος σχεδιασμός FN/FD/AN/AD</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υπό σταθερή πολιτική και στη συνέχεια κατά πόσο η online μάθηση μειώνει ή αυξάνει αυτή την απώλεια.</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t>3.6 Μηχανισμοί αβεβαιότητας και συνθήκες διαταραχής</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keepLines w:val="0"/>
      </w:pPr>
      <w:r>
        <w:t>Η operational σημασιολογία των disturbances είναι μέρος του frozen protocol. Στο swap-right-down ισχύει up→up, right→down, down→right, left→left, ενώ στο cycle-clockwise ισχύει up→right, right→down, down→left, left→up. Η αλλαγή εφαρμόζεται στο actually executed action mapping και παραμένει ενεργή στα επόμενα episodes. Ο agent δεν λαμβάνει change indicator ούτε executed-action truth.</w:t>
      </w:r>
    </w:p>
    <w:p>
      <w:pPr>
        <w:keepLines w:val="0"/>
      </w:pPr>
      <w:r>
        <w:t>Στο action-failure-0.15 πραγματοποιείται ανεξάρτητη Bernoulli δοκιμή σε κάθε πραγματική αλληλεπίδραση. Σε αποτυχία, η intended action μετατρέπεται σε no-op: η ground-truth θέση παραμένει αμετάβλητη, collision=false και αποδίδεται η κανονική step reward −0,1, εκτός αν εφαρμόζεται άλλη terminal/reward rule. Η μετάβαση παραμένει κανονική εμπειρία και στους Adaptive branches τροφοδοτεί τον method-native learning mechanism.</w:t>
      </w:r>
    </w:p>
    <w:p>
      <w:pPr>
        <w:keepLines w:val="0"/>
      </w:pPr>
      <w:r>
        <w:t>Στο observation-corruption-0.05 η δοκιμή γίνεται μετά την πραγματική μετάβαση. Όταν ενεργοποιηθεί, η delivered observation δειγματοληπτείται ομοιόμορφα από όλα τα μη-obstacle κελιά που δεν είναι η τρέχουσα ground-truth θέση. Goal και start δεν αποκλείονται ως κατηγορίες εφόσον είναι έγκυρα και δεν συμπίπτουν με την τρέχουσα πραγματική θέση. Η corruption δεν αλλάζει transition ή reward· αλλάζει μόνο την observation που λαμβάνει ο agent και, όταν η μάθηση είναι ενεργή, αυτή η observation χρησιμοποιείται στην κανονική ενημέρωση.</w:t>
      </w:r>
    </w:p>
    <w:p>
      <w:pPr/>
      <w:r>
        <w:t>Οι πιθανότητες 0,15 και 0,05 είναι συγκεκριμένα, προκαθορισμένα frozen severity points του τελικού protocol και όχι επίπεδα ενός severity sweep· συνεπώς η Phase B δεν εκτιμά dose–response σχέση ως προς την ένταση αυτών των δύο stochastic disturbances.</w:t>
      </w:r>
    </w:p>
    <w:p>
      <w:pPr>
        <w:keepNext/>
        <w:jc w:val="center"/>
      </w:pPr>
      <w:r>
        <w:drawing>
          <wp:inline xmlns:a="http://schemas.openxmlformats.org/drawingml/2006/main" xmlns:pic="http://schemas.openxmlformats.org/drawingml/2006/picture">
            <wp:extent cx="5486400" cy="4536538"/>
            <wp:docPr id="1" name="Picture 1" descr="Δύο τελικά held-out 7×7 GridWorld layouts με start, goal και obstacles, και τέσσερα schematics για swap right/down, clockwise action cycle, action failure p=0.15 και observation corruption p=0.05." title="Τελικό GridWorld και παγωμένοι μηχανισμοί διαταραχής"/>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486400" cy="453653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Τα δύο τελικά held-out 7×7 layouts και οι τέσσερις frozen Phase-B conditions. Τα action remaps είναι persistent και unannounced· τα stochastic conditions απεικονίζονται στα συγκεκριμένα p=0,15 και p=0,05 του protocol.</w:t>
      </w:r>
    </w:p>
    <w:p>
      <w:pPr>
        <w:pStyle w:val="Heading2"/>
      </w:pPr>
      <w:r>
        <w:t>3.7 RQ1: μεγέθη εκτίμησης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t>3.8 RQ2: ανθεκτικότητα και μέγεθος εκτίμησης οφέλους προσαρμογής</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t>3.9 RQ3: ανάκαμψη, παθητικά χρονικά παράθυρα και δεξιά λογοκρισία</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συνοδεύεται από προκαθορισμένο sensitivity analysis στα 0,05 και 0,20. Τα thresholds αυτά είχαν οριστεί πριν από την τελική ανάλυση και χρησιμοποιούνται για να εξεταστεί η ευαισθησία της recovery incidence στον ορισμό της γειτνίασης, όχι για να επιλεγεί εκ των υστέρων το threshold που δίνει ευνοϊκότερο αποτέλεσμα.</w:t>
      </w:r>
    </w:p>
    <w:p>
      <w:pPr>
        <w:keepLines w:val="0"/>
      </w:pPr>
      <w:r>
        <w:t>Για πληρότητα, ο directed recovery gap γράφεται gₖ=Nₖ−Dₖ, όπου Nₖ είναι η equal-layout Adaptive-Nominal μέση reward ανά interaction στο παράθυρο k και Dₖ η αντίστοιχη Adaptive-Disturbed τιμή. Το window είναι in-tolerance όταν gₖ≤0,10· το κριτήριο δεν είναι |gₖ|≤0,10. Stable recovery απαιτεί δύο διαδοχικά in-tolerance windows. recovery_time είναι το endpoint του πρώτου window του πρώτου stable pair και confirmation_time το endpoint του δεύτερου. Αν το pair δεν εμφανιστεί μέχρι το 256, το observation είναι right-censored και recovery_time=null.</w:t>
      </w:r>
    </w:p>
    <w:p>
      <w:pPr>
        <w:pStyle w:val="Heading2"/>
      </w:pPr>
      <w:r>
        <w:t>3.10 Ανεξάρτητες επαναλήψεις, διατάξεις, προϋπολογισμοί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keepLines w:val="0"/>
      </w:pPr>
      <w:r>
        <w:t>Το πλήθος των 12 roots επιλέχθηκε πριν από το final experiment μέσω DEVELOPMENT precision sizing. Εξετάστηκαν candidate counts 12, 16, 20 και 24 και επιλέχθηκε το μικρότερο n που ικανοποιούσε το προδηλωμένο Student-t 95% half-width &lt;0,20 τόσο για Phase-A AUC όσο και για Phase-B adaptation benefit. Το κριτήριο ικανοποιήθηκε στα 12 roots, όπου το μέγιστο observed sizing half-width ήταν 0,1428. Οι layouts δεν αυξάνουν το n επειδή μειώνονται ισοβαρώς μέσα σε κάθε root.</w:t>
      </w:r>
    </w:p>
    <w:p>
      <w:pPr>
        <w:keepLines w:val="0"/>
      </w:pPr>
      <w:r>
        <w:t>Οι δύο final layouts έχουν generation seeds 57001 και 57002. Για root r_i, i=01,…,12, χρησιμοποιούνται χωριστά streams initialization=71000+i, exploration=72000+i, scenario=73000+i, environment=74000+i, action disturbance=75000+i και observation disturbance=76000+i. Η διάκριση αυτή αποτρέπει την ανεπιθύμητη επαναχρησιμοποίηση ενός ενιαίου RNG stream μεταξύ μηχανισμών και διατηρεί το pairing όπου αυτό απαιτείται από το protocol.</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t>3.12 Αναπαραγωγιμότητα, ιχνηλασιμότητα και διαχωρισμός της επιστημονικής ανάλυσης</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t>4.3 Η Study ως μονάδα εκτέλεσης και ιχνηλασιμότητας</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t>4.4 Ντετερμινιστικός σχεδιασμός και φραγμοί σταδίων</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keepLines w:val="0"/>
      </w:pPr>
      <w:r>
        <w:t>Κρίσιμη αρχιτεκτονική αρχή είναι ο information firewall μεταξύ agent και evaluator. Η εφαρμογή και το evidence layer μπορούν να γνωρίζουν ground-truth θέση, branch identity, disturbance configuration και telemetry για σκοπούς validation ή visualization, όμως αυτά τα δεδομένα δεν μετατρέπονται σε learning input. Ο agent ενημερώνεται μόνο από την προβλεπόμενη observation/reward/action interface. Έτσι η hidden-change υπόθεση δεν παραβιάζεται από το ίδιο το σύστημα παρακολούθησης.</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t>4.6 Απομόνωση γεννητριών τυχαιότητας και αναπαραγωγιμότητα</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keepLines w:val="0"/>
      </w:pPr>
      <w:r>
        <w:t>Η αναπαραγωγιμότητα εξαρτάται επίσης από την απομόνωση των πηγών τυχαιότητας. Αν initialization, exploration, environment sampling και disturbance sampling κατανάλωναν μία κοινή mutable RNG ακολουθία, μία αθώα αλλαγή στον αριθμό random draws ενός component θα μπορούσε να μεταβάλει άσχετο component και να σπάσει το intended pairing. Για αυτό τα seed streams είναι χωριστά και προκαθορισμένα ανά root. Η αρχιτεκτονική καταγράφει τις ταυτότητες αυτές στα run bundles αντί να βασίζεται σε implicit global seed.</w:t>
      </w:r>
    </w:p>
    <w:p>
      <w:pPr>
        <w:pStyle w:val="Heading2"/>
      </w:pPr>
      <w:r>
        <w:t>4.7 Πακέτα εκτέλεσης,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t>4.8 Επικύρωση Evidence-v2 και στρώμα ανάλυσης</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t>4.9 Χειρισμός αποτυχίας και διαδρομή ανάκαμψης του T-610</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t>4.11 Ζωντανή οπτικοποίηση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t>4.12 Εποπτεία εκτέλεσης και ασφαλής επανεκκίνηση</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t>4.13 Προστασία του τελικού αποθεματικού και εξουσιοδότηση</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t>4.14 Παραγωγή αποτελεσμάτων και υλικού της διπλωματικής</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keepLines w:val="0"/>
      </w:pPr>
      <w:r>
        <w:t>Ο διαχωρισμός scientific core, Study orchestration, evidence validation, analysis και UI περιορίζει δύο κατηγορίες σφάλματος. Πρώτον, η παρουσίαση δεν έχει εξουσία να επαναϋπολογίζει estimands ή να αλλάζει thresholds. Δεύτερον, μία αποτυχία ή αλλαγή στο presentation layer δεν απαιτεί επανάληψη της επιστημονικής εκτέλεσης εφόσον τα frozen evidence artifacts παραμένουν έγκυρα. Η ίδια αρχή επιτρέπει το Word manuscript να αναφέρεται σε registered figures/tables ως immutable scientific media, ενώ η συγγραφή αλλάζει μόνο exposition και contextual interpretation.</w:t>
      </w:r>
    </w:p>
    <w:p>
      <w:pPr>
        <w:keepLines w:val="0"/>
      </w:pPr>
      <w:r>
        <w:t>Η Study-first σχεδίαση λειτουργεί επομένως ως provenance boundary: immutable recipe → deterministic plan → Phase-A state → exact matched Phase-B branches → validated evidence → frozen analysis → registered thesis assets. Η PySide6 εφαρμογή είναι thin inspection/control surface πάνω από αυτή την αλυσίδα. Η διάκριση είναι ουσιώδης για τη διπλωματική, επειδή η αναπαραγωγιμότητα δεν στηρίζεται σε screenshots ή χειροκίνητες σημειώσεις αλλά σε versioned machine-readable identities.</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keepLines/>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r>
        <w:t>Το Σχήμα 2 αποτυπώνει αυτή τη διάκριση ως τέσσερα διαδοχικά επίπεδα αυθεντίας: επιστημονικός ορισμός, εκτέλεση και evidence, ανάλυση και registered assets, και τέλος read-only παρουσίαση.</w:t>
      </w:r>
    </w:p>
    <w:p>
      <w:pPr>
        <w:keepNext/>
        <w:jc w:val="center"/>
      </w:pPr>
      <w:r>
        <w:drawing>
          <wp:inline xmlns:a="http://schemas.openxmlformats.org/drawingml/2006/main" xmlns:pic="http://schemas.openxmlformats.org/drawingml/2006/picture">
            <wp:extent cx="5486400" cy="2931682"/>
            <wp:docPr id="2" name="Picture 2" descr="Layered architecture from frozen protocol and StudyRecipe through deterministic execution, validation, frozen evidence, T-612 analysis, T-613 thesis assets, PySide6 UI and Word presentation, with no scientific recomputation in the presentation layer." title="Αρχιτεκτονική ροή και επίπεδα επιστημονικής αυθεντίας"/>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486400" cy="29316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Επίπεδα επιστημονικής αυθεντίας από το frozen protocol έως την read-only παρουσίαση. Το T-612 και το T-613 παράγουν analysis και registered assets, ενώ UI και Word δεν επαναϋπολογίζουν estimands ή thresholds.</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Ως ανεξάρτητη μονάδα χρησιμοποιείται η ανεξάρτητη επανάληψη (root): οι δύο τελικές διατάξεις συνδυάζονται με ίσο βάρος μέσα σε κάθε root και τα αριθμητικά μεγέθη συνοδεύονται από σημειακά διαστήματα Student-t 95% με βάση το πραγματικό πλήθος των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τελική ανάλυση βασίζεται αποκλειστικά στην επικυρωμένη εκτέλεση αντικατάστασης· η αρχική αποτυχημένη εκτέλεση δεν συμμετέχει σε κανένα αποτέλεσμα. Οι λεπτομέρειες της γραμμής εκτέλεσης και οι αναγνωριστικές τιμές ακεραιότητας παρατίθενται στο Παράρτημα Γ.</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ζευγαρωμένες διαφορές A−B ανά ανεξάρτητη επανάληψη, αφού οι δύο διατάξεις συνδυαστούν με ίσο βάρος. Τα διαστήματα είναι σημειακά διαστήματα εκτίμησης και δεν αποτελούν ταυτόχρονη συμπερασματολογία για ολόκληρη οικογένεια συγκρίσεων. Δεν έχει οριστεί οικογένεια p-values ούτε σύνθετος δείκτης συνολικής κατάταξης· επομένως η παρουσίαση παραμένει περιγραφική ως προς τις εκτιμώμενες διαφορές και την αβεβαιότητά τους.</w:t>
      </w:r>
    </w:p>
    <w:p>
      <w:pPr>
        <w:keepNext/>
        <w:spacing w:before="120" w:after="200"/>
        <w:jc w:val="center"/>
      </w:pPr>
      <w:r>
        <w:drawing>
          <wp:inline xmlns:a="http://schemas.openxmlformats.org/drawingml/2006/main" xmlns:pic="http://schemas.openxmlformats.org/drawingml/2006/picture">
            <wp:extent cx="5577840" cy="2664968"/>
            <wp:docPr id="25" name="Picture 25" descr="Αποτελέσματα με μία ματιά: σύνθεση των κύριων ευρημάτων των RQ1, RQ2 και RQ3 από τα αποδεκτά αποτελέσματα." title="Αποτελέσματα με μία ματιά"/>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προϋπολογισμού αλληλεπιδράσεων.</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Για καθεμία από τις τρεις, η εκτιμώμενη method-minus-DQN διαφορά ήταν 1,762 return units, με paired interval [0,637, 2,888]. Η αντίστοιχη εκτιμώμενη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descr="Σχήμα 3: Τελική ονομαστική απόδοση ανά μέθοδο με σημειακά διαστήματα Student-t 95% σε 12 ανεξάρτητες επαναλήψεις." title="Σχήμα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Τελική ονομαστική απόδοση ανά μέθοδο με σημειακά διαστήματα Student-t 95% σε 12 ανεξάρτητες επαναλήψεις.</w:t>
      </w:r>
    </w:p>
    <w:p>
      <w:pPr>
        <w:pStyle w:val="Heading3"/>
      </w:pPr>
      <w:r>
        <w:rPr>
          <w:rFonts w:ascii="Times New Roman" w:hAnsi="Times New Roman" w:eastAsia="Times New Roman"/>
          <w:sz w:val="22"/>
        </w:rPr>
        <w:t>5.2.2 Αποτελεσματικότητα μάθησης κατά μήκος του διαθέσιμου προϋπολογισμού</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οι εκτιμώμενες διαφορές Dyna-Q+−Q-Learning, Dyna-Q+−SARSA, Dyna-Q+−DQN και Dyna-Q+−PPO ήταν αντίστοιχα 1,143 [0,936, 1,350], 1,126 [0,949, 1,303], 2,377 [1,441, 3,314] και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descr="Σχήμα 4: Μέση απόδοση στον άξονα αλληλεπιδράσεων, ξεχωριστά από την τελική επίδοση." title="Σχήμα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Μέση απόδοση στον άξονα αλληλεπιδράσεων, ξεχωριστά από την τελική επίδοση.</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συνθήκη</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Συνθήκη</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Σύνοψη για την ενότητα «5.3.1 Συνολική εικόνα ανά συνθήκη».</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descr="Σχήμα 5: Όφελος προσαρμογής ανά μέθοδο και συνθήκη· θετική τιμή σημαίνει μικρότερη απώλεια στην Adaptive από ό,τι στην Frozen εκτέλεση." title="Σχήμα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Όφελος προσαρμογής ανά μέθοδο και συνθήκη· θετική τιμή σημαίνει μικρότερη απώλεια στην Adaptive από ό,τι στην Frozen εκτέλεση.</w:t>
      </w:r>
    </w:p>
    <w:p>
      <w:pPr>
        <w:keepNext/>
        <w:jc w:val="center"/>
      </w:pPr>
      <w:r>
        <w:drawing>
          <wp:inline xmlns:a="http://schemas.openxmlformats.org/drawingml/2006/main" xmlns:pic="http://schemas.openxmlformats.org/drawingml/2006/picture">
            <wp:extent cx="5577840" cy="3994610"/>
            <wp:docPr id="6" name="Picture 6" descr="Σχήμα 6: Η απώλεια στην Frozen και στην Adaptive εκτέλεση παρουσιάζεται ως δύο διακριτά μεγέθη." title="Σχήμα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Η απώλεια στην Frozen και στην Adaptive εκτέλεση παρουσιάζεται ως δύο διακριτά μεγέθη.</w:t>
      </w:r>
    </w:p>
    <w:p>
      <w:pPr>
        <w:pStyle w:val="Heading3"/>
      </w:pPr>
      <w:r>
        <w:rPr>
          <w:rFonts w:ascii="Times New Roman" w:hAnsi="Times New Roman" w:eastAsia="Times New Roman"/>
          <w:sz w:val="22"/>
        </w:rPr>
        <w:t>5.3.2 Μόνιμη κυκλική ανααντιστοίχιση ενεργειών</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Μόνιμη εναλλαγή δεξιάς–κάτω ενέργειας</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εκτιμώμενη Q-Learning−SARSA διαφορά ήταν 8,879 [3,432, 14,327]. Η εκτιμώμενη SARSA−PPO διαφορά ήταν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Αποτυχία ενέργειας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Αλλοίωση παρατήρησης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Το αποτέλεσμα υπογραμμίζει ότι η δυνατότητα μιας μεθόδου να συνεχίζει να μαθαίνει μπορεί να επιτρέψει προσαρμογή σε persistent dynamics change αλλά μπορεί επίσης να οδηγήσει σε επιδείνωση όταν το εισερχόμενο σήμα παρατήρησης είναι περιστασιακά λανθασμένο.</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descr="Σχήμα 7: Όφελος προσαρμογής ανά συνθήκη σε μικρά πολλαπλά γραφήματα με κοινές κλίμακες." title="Σχήμα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Όφελος προσαρμογής ανά συνθήκη σε μικρά πολλαπλά γραφήματα με κοινές κλίμακες.</w:t>
      </w:r>
    </w:p>
    <w:p>
      <w:pPr>
        <w:pStyle w:val="Heading2"/>
      </w:pPr>
      <w:r>
        <w:rPr>
          <w:rFonts w:ascii="Times New Roman" w:hAnsi="Times New Roman" w:eastAsia="Times New Roman"/>
          <w:sz w:val="22"/>
        </w:rPr>
        <w:t>5.4 RQ3 — Ανάκαμψη μετά από μόνιμη ανααντιστοίχιση ενεργειών</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Κυκλική ανααντιστοίχιση</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Εναλλαγή δεξιάς–κάτω ενέργειας</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descr="Σχήμα 8: Καταγεγραμμένες τροχιές κατευθυνόμενης απόκλισης ανά root για την κύρια οικογένεια action-remap· η διακεκομμένη γραμμή αντιστοιχεί στην ανοχή 0,10." title="Σχήμα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Καταγεγραμμένες τροχιές κατευθυνόμενης απόκλισης ανά root για την κύρια οικογένεια action-remap· η διακεκομμένη γραμμή αντιστοιχεί στην ανοχή 0,10.</w:t>
      </w:r>
    </w:p>
    <w:p>
      <w:pPr>
        <w:keepNext/>
        <w:jc w:val="center"/>
      </w:pPr>
      <w:r>
        <w:drawing>
          <wp:inline xmlns:a="http://schemas.openxmlformats.org/drawingml/2006/main" xmlns:pic="http://schemas.openxmlformats.org/drawingml/2006/picture">
            <wp:extent cx="5577840" cy="2498430"/>
            <wp:docPr id="9" name="Picture 9" descr="Σχήμα 9: Αναλογία roots που πέτυχαν σταθερή ανάκαμψη στην κύρια ανοχή 0,10· οι υπόλοιπες παραμένουν δεξιά λογοκριμένες (right-censored)." title="Σχήμα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Αναλογία roots που πέτυχαν σταθερή ανάκαμψη στην κύρια ανοχή 0,10· οι υπόλοιπες παραμένουν δεξιά λογοκριμένες (right-censored).</w:t>
      </w:r>
    </w:p>
    <w:p>
      <w:pPr>
        <w:keepNext/>
        <w:jc w:val="center"/>
      </w:pPr>
      <w:r>
        <w:drawing>
          <wp:inline xmlns:a="http://schemas.openxmlformats.org/drawingml/2006/main" xmlns:pic="http://schemas.openxmlformats.org/drawingml/2006/picture">
            <wp:extent cx="5577840" cy="2485176"/>
            <wp:docPr id="10" name="Picture 10" descr="Σχήμα 10: Περιορισμένος χρόνος καθυστέρησης ανάκαμψης έως το όριο των 256 αλληλεπιδράσεων, με ρητή διατήρηση της λογοκρισίας." title="Σχήμα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Περιορισμένος χρόνος καθυστέρησης ανάκαμψης έως το όριο των 256 αλληλεπιδράσεων, με ρητή διατήρηση της λογοκρισίας.</w:t>
      </w:r>
    </w:p>
    <w:p>
      <w:pPr>
        <w:keepNext/>
        <w:jc w:val="center"/>
      </w:pPr>
      <w:r>
        <w:drawing>
          <wp:inline xmlns:a="http://schemas.openxmlformats.org/drawingml/2006/main" xmlns:pic="http://schemas.openxmlformats.org/drawingml/2006/picture">
            <wp:extent cx="5577840" cy="2485176"/>
            <wp:docPr id="11" name="Picture 11" descr="Σχήμα 11: Παρατηρούμενος χρόνος ανάκαμψης μόνο μεταξύ των roots που ανέκαμψαν· το εμφανιζόμενο n αποκλείει τις right-censored roots." title="Σχήμα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Παρατηρούμενος χρόνος ανάκαμψης μόνο μεταξύ των roots που ανέκαμψαν· το εμφανιζόμενο n αποκλείει τις right-censored roots.</w:t>
      </w:r>
    </w:p>
    <w:p>
      <w:pPr/>
      <w:r>
        <w:rPr>
          <w:i/>
        </w:rPr>
        <w:t>Σημείωση ερμηνείας: ο χρόνος αυτός είναι υπό συνθήκη ανάκαμψης (conditional on recovery). Όταν το recovered n είναι πολύ μικρό, ιδίως n=1 ή n=2, η εκτίμηση είναι ασταθής και πρέπει να διαβάζεται μαζί με το recovery proportion και το restricted delay.</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t>Κυκλική</w:t>
            </w:r>
          </w:p>
        </w:tc>
        <w:tc>
          <w:tcPr>
            <w:tcW w:type="dxa" w:w="2929"/>
            <w:tcMar>
              <w:top w:w="80" w:type="dxa"/>
              <w:start w:w="80" w:type="dxa"/>
              <w:bottom w:w="80" w:type="dxa"/>
              <w:end w:w="80" w:type="dxa"/>
            </w:tcMar>
            <w:vAlign w:val="center"/>
          </w:tcPr>
          <w:p>
            <w:r>
              <w:t>Εναλλαγή</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Αναλογία σταθερής ανάκαμψης στις ανοχές 0,05/0,10/0,20 για τις δύο συνθήκες ανααντιστοίχισης.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descr="Σχήμα 12: Προκαθορισμένη ανάλυση ευαισθησίας για ανοχές 0,05/0,10/0,20· κύρια ανοχή παραμένει το 0,10." title="Σχήμα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Προκαθορισμένη ανάλυση ευαισθησίας για ανοχές 0,05/0,10/0,20· κύρια ανοχή παραμένει το 0,10.</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ενώ η εκτιμώμενη time-average επίδοση της Dyna-Q+ ήταν υψηλότερη κατά μήκος του διαθέσιμου προϋπολογισμού αλληλεπιδράσεων. Η DQN και η PPO είχαν χαμηλότερη τελική και time-average επίδοση και μεγαλύτερη διακύμανση μεταξύ ανεξάρτητων επαναλήψεων στο συγκεκριμένο ελεγχόμενο περιβάλλον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είχε την υψηλότερη καταγεγραμμένη time-average ονομαστική επίδοση, ενώ οι Q-Learning και SARSA εμφάνισαν τις υψηλότερες αναλογίες σταθερής ανάκαμψης στις δύο μόνιμες συνθήκες ανααντιστοίχισης. Η online προσαρμογή μπορεί να είναι ωφέλιμη, ουδέτερη ή επιβαρυντική ανάλογα με τον μηχανισμό της διαταραχής.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held-out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t>6.2 RQ1: τελική επίδοση και αποδοτικότητα δείγματος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t>Η παρατήρηση είναι συμβατή με τη βασική αρχή της Dyna ότι η πραγματική εμπειρία αξιοποιείται τόσο για άμεση value learning όσο και για model-based planning updates [19].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[9].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[13].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keepLines w:val="0"/>
      </w:pPr>
      <w:r>
        <w:t>Η διάκριση τελικής επίδοσης και learning efficiency συμφωνεί με τη γενικότερη αρχή ότι διαφορετικά σημεία ή summaries μιας learning curve απαντούν σε διαφορετικές ερωτήσεις. Σε non-stationary evaluation η ίδια λογική γίνεται ακόμη ισχυρότερη: η performance κατά την adaptation phase μπορεί να διαφέρει από την τελική post-change policy [21], [23]. Για αυτό η υψηλή nominal time-average απόδοση της Dyna-Q+ δεν χρησιμοποιείται ως ένδειξη ότι θα έχει υποχρεωτικά μικρότερο adaptation loss ή ταχύτερο recovery.</w:t>
      </w:r>
    </w:p>
    <w:p>
      <w:pPr>
        <w:pStyle w:val="Heading2"/>
      </w:pPr>
      <w:r>
        <w:t>6.3 RQ2: η αποτελεσματικότητα της προσαρμογής εξαρτάται από τη συνθήκη</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Αντίθετα, η observation corruption εισάγει περιστασιακά λανθασμένο input στο learning process. Η online ενημέρωση πάνω σε αλλοιωμένες παρατηρήσεις μπορεί να μεταφέρει το σφάλμα στις value estimates αντί να «διορθώσει» μια σταθερή νέα δυναμική. Η πρόταση αυτή παραμένει mechanism-level ερμηνεία και όχι νέα causal μέτρηση του πειράματος.</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[7].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[12]. Η βιβλιογραφία δείχνει επίσης ότι implementation-level choices παίζουν σημαντικό ρόλο στην παρατηρούμενη συμπεριφορά PPO/TRPO-like methods [13].</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[11].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[8].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[19].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[19].</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[8].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keepLines w:val="0"/>
      </w:pPr>
      <w:r>
        <w:t>Η πρωτογενής Dyna εργασία προσφέρει μία εύλογη αλλά περιορισμένη μηχανιστική ερμηνεία: planning πάνω σε learned model μπορεί να πολλαπλασιάζει την αξιοποίηση κάθε πραγματικής transition, αλλά μετά από change τμήματα του model μπορούν να παραμένουν stale έως ότου συλλεχθεί νέα πραγματική εμπειρία [19]. Η Dyna-Q+ προσθέτει recency-driven re-exploration ακριβώς για να αυξήσει την πιθανότητα επανεξέτασης παλιών state–action pairs. Το αποτέλεσμα της παρούσας μελέτης δείχνει ότι αυτοί οι μηχανισμοί δεν μεταφράστηκαν σε καθολικά ταχύτερη recovery στο συγκεκριμένο protocol· δεν αποδεικνύει ότι το model-based planning είναι γενικά επιζήμιο.</w:t>
      </w:r>
    </w:p>
    <w:p>
      <w:pPr>
        <w:keepLines w:val="0"/>
      </w:pPr>
      <w:r>
        <w:t>Η σύγκριση με σύγχρονο model-based continual RL απαιτεί ακόμη μεγαλύτερη προσοχή. Οι Liu et al. διατηρούν reusable online world dynamics και σχεδιάζουν με MPC σε sequence tasks με κοινή dynamics και μεταβαλλόμενα rewards [30]. Η παρούσα action-remap αλλάζει τη σχέση intended προς executed action και το Dyna-Q+ κάνει value/planning backups αντί για direct MPC. Επομένως, το recent result είναι χρήσιμο ως απόδειξη ότι η οργάνωση και επαναχρησιμοποίηση model knowledge είναι ενεργό ερευνητικό θέμα, όχι ως cross-domain predictor των thesis outcomes.</w:t>
      </w:r>
    </w:p>
    <w:p>
      <w:pPr>
        <w:pStyle w:val="Heading2"/>
      </w:pPr>
      <w:r>
        <w:t>6.5 RQ3: συχνότητα, χρόνος και λογοκρισία της ανάκαμψης</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t>6.6 Ευαισθησία στον λειτουργικό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neighborhood/tolerance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t>6.7 Σχέση με συνεχή ενισχυτική μάθηση και κρυφή μεταβολή</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[7].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[7].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keepLines w:val="0"/>
      </w:pPr>
      <w:r>
        <w:t>Η RQ3 operationalization είναι σκόπιμα αυστηρή ως προς το τι ονομάζεται observed recovery. Η resilience literature δείχνει ότι degradation, recovery trajectory και τελική κατάσταση μπορεί να αποκλίνουν [24], ενώ το NovGrid διαχωρίζει επίσης immediate resilience, adaptive efficiency και asymptotic performance [23]. Επιπλέον, το temporal-granularity analysis των Cadet et al. δείχνει ότι whole-horizon aggregation μπορεί να κρύψει recovery information [25]. Αυτά δεν καθορίζουν το δικό μας threshold ή window size, αλλά στηρίζουν την επιλογή να διατηρούνται χωριστά recovery incidence, observed time και restricted delay.</w:t>
      </w:r>
    </w:p>
    <w:p>
      <w:pPr>
        <w:keepLines w:val="0"/>
      </w:pPr>
      <w:r>
        <w:t>Η λογοκρισία είναι ουσιαστικό μέρος αυτής της διάκρισης. Ένα root που δεν ικανοποιεί το stable criterion έως το 256 δεν παρέχει observed event time· παρέχει μόνο την πληροφορία ότι το event δεν παρατηρήθηκε μέσα στον διαθέσιμο horizon. Η χρήση του 256 ως restricted-horizon quantity επιτρέπει bounded comparison χωρίς να μετατρέπει τη μη ανάκαμψη σε ψευδή παρατήρηση. Παράλληλα, η sensitivity στα 0,05/0,10/0,20 δείχνει πόσο εξαρτάται η incidence από τον operational ορισμό, χωρίς post-hoc επιλογή threshold.</w:t>
      </w:r>
    </w:p>
    <w:p>
      <w:pPr>
        <w:pStyle w:val="Heading2"/>
      </w:pPr>
      <w:r>
        <w:rPr>
          <w:rFonts w:ascii="Times New Roman" w:hAnsi="Times New Roman" w:eastAsia="Times New Roman"/>
          <w:sz w:val="22"/>
        </w:rPr>
        <w:t>6.8 Απειλές προς την εσωτερική εγκυρότητα</w:t>
      </w:r>
    </w:p>
    <w:p>
      <w:pPr>
        <w:pStyle w:val="Heading3"/>
      </w:pPr>
      <w:r>
        <w:t>6.8.1 Δίκαιη σύγκριση και ρύθμιση υπερπαραμέτρων</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t>6.8.2 Ισοδυναμία σημείων ελέγχου</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t>6.8.3 Διαρροή πληροφορίας</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t>6.9 Εγκυρότητα εννοιολογικής κατασκευής</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t>6.10 Εγκυρότητα στατιστικών συμπερασμάτων</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t>6.11 Εξωτερική εγκυρότητα</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held-out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[8], [7]. Αυτές οι διαφορές περιορίζουν τις direct cross-study comparisons αλλά ταυτόχρονα δείχνουν σαφείς κατευθύνσεις για επέκταση της παρούσας εργασίας.</w:t>
      </w:r>
    </w:p>
    <w:p>
      <w:pPr>
        <w:keepLines w:val="0"/>
      </w:pPr>
      <w:r>
        <w:t>Η εξωτερική εγκυρότητα πρέπει να διαβάζεται μαζί με το είδος benchmark. Η ZSG survey επισημαίνει ότι environment και evaluation protocol είναι αδιαχώριστα και ότι held-out seeds από μόνα τους δεν αρκούν για ισχυρούς ισχυρισμούς generalisation όταν οι παράγοντες μεταβολής δεν είναι ελεγχόμενοι [22]. Το NovGrid αντίστοιχα χρησιμοποιεί controllable novelty σε μικρό GridWorld για να απομονώνει post-change behavior [23]. Η παρούσα μελέτη ακολουθεί αυτή τη controlled-factor φιλοσοφία, αλλά παραμένει μία συγκεκριμένη 7×7 task family με δύο final layouts και δεν τεκμηριώνει transfer σε continuous control ή robotics.</w:t>
      </w:r>
    </w:p>
    <w:p>
      <w:pPr>
        <w:keepLines w:val="0"/>
      </w:pPr>
      <w:r>
        <w:t>Επίσης, specialized robustness methods δεν προσφέρουν καθολικό comparator χωρίς αλλαγή του research question. Η action-robust εργασία των Tessler et al. χρησιμοποιεί adversarial action models και δείχνει sensitivity στη severity και στο domain [26], ενώ η bounded observation robustness των Jarne Ornia et al. βελτιστοποιεί explicit lexicographic robustness objective με nominal-utility tolerance [28]. Η απουσία αυτών των interventions από το thesis δεν είναι ένδειξη ότι είναι ασήμαντες· σημαίνει ότι το πείραμα εστιάζει σε standard method-native adaptation υπό κοινό information contract.</w:t>
      </w:r>
    </w:p>
    <w:p>
      <w:pPr/>
      <w:r>
        <w:t>Αυτό περιορίζει ειδικά την ερμηνεία των action-failure και observation-corruption αποτελεσμάτων. Η μελέτη δεν εξετάζει αν η σχετική διάταξη των μεθόδων, το adaptation benefit ή η συμπεριφορά ανάκαμψης διατηρούνται για άλλες πιθανότητες αποτυχίας/αλλοίωσης ή για διαφορετικές temporal frequencies. Η διάκριση είναι ουσιώδης, επειδή το Robust-Gymnasium αντιμετωπίζει disturbance target, mode, severity και frequency ως διακριτούς πειραματικούς άξονες [32]. Τα p=0,15 και p=0,05 πρέπει επομένως να διαβάζονται ως δύο συγκεκριμένα σημεία του frozen protocol, όχι ως γενικό συμπέρασμα για ολόκληρες severity καμπύλες.</w:t>
      </w:r>
    </w:p>
    <w:p>
      <w:pPr/>
      <w:r>
        <w:t>Επιπλέον, κάθε Phase-B branch περιέχει μία post-checkpoint μεταβολή και παρακολουθείται για σταθερό horizon 256 αλληλεπιδράσεων. Δεν εξετάζονται repeated ή recurrent disruptions, επιστροφή σε προηγούμενο regime ή αλληλουχία πολλών changepoints. Η παρατηρούμενη ανάκαμψη μετά από μία αλλαγή τεκμηριώνει bounded post-change recovery στο συγκεκριμένο contract, όχι μακροχρόνια resilience σε περιβάλλον που αλλάζει επανειλημμένα.</w:t>
      </w:r>
    </w:p>
    <w:p>
      <w:pPr>
        <w:pStyle w:val="Heading2"/>
      </w:pPr>
      <w:r>
        <w:t>6.12 Εγκυρότητα αναπαραγωγιμότητας</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[13],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w:t>
      </w:r>
      <w:r>
        <w:rPr>
          <w:rFonts w:ascii="Times New Roman" w:hAnsi="Times New Roman" w:eastAsia="Times New Roman"/>
          <w:sz w:val="22"/>
        </w:rPr>
        <w:t xml:space="preserve">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 failure και μπορεί να γίνει αρνητική στην observation corruption.</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keepLines w:val="0"/>
      </w:pPr>
      <w:r>
        <w:t>Ένα ακόμη όριο είναι η ασφάλεια. Η safe-RL βιβλιογραφία διαχωρίζει task return από costs, constraints και risk semantics, ενώ η safe-continual βιβλιογραφία προσθέτει την ανάγκη ελέγχου των constraints κατά την ίδια την adaptation transient [29], [31]. Η παρούσα μελέτη δεν ορίζει safety cost ούτε safe-exploration constraint· επομένως τα resilience findings δεν πρέπει να διατυπωθούν ως αποδείξεις ασφαλούς deployment. Η συμβολή περιορίζεται στην εμπειρική συμπεριφορά task performance και recovery υπό συγκεκριμένες disturbances.</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Ταυτόχρονα, η observation corruption δείχνει ότι η ίδια η δυνατότητα online learning μπορεί να γίνει πηγή επιδείνωσης.</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ονομαστικό επίπεδο, οι τρεις tabular/planning μέθοδοι δεν διαχωρίστηκαν. Ως προς την αποτελεσματικότητα μάθησης, η Dyna-Q+ είχε την υψηλότερη εκτιμώμενη time-average απόδοση. Το εύρημα παραμένει περιορισμένο στο συγκεκριμένο ελεγχόμενο περιβάλλον, στον διαθέσιμο προϋπολογισμό και στις προκαθορισμένες τελικές ρυθμίσεις.</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αλλά μπορεί να μην προσφέρει όφελος ή ακόμη και να επιδεινώσει την επίδοση όταν το learning signal αλλοιώνεται από θόρυβο παρατήρησης.</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πλησιάσει σταθερά την Adaptive-Nominal reference trajectory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t>7.7.2 Διαφορετικοί προϋπολογισμοί και χρονικές κλίμακες μάθησης</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t>7.7.3 Ρητή ανίχνευση αλλαγής και εκτίμηση πλαισίου</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t>7.7.4 Εξειδικευμένοι μηχανισμοί συνεχούς μάθησης</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t>7.7.5 Αρθρωτή προσαρμογή με μοντέλο</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t>7.7.6 Διαχείριση replay σε μη στάσιμα περιβάλλοντα</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t>7.7.7 Πλουσιότερη μελέτη ανάκαμψης</w:t>
      </w:r>
    </w:p>
    <w:p>
      <w:pPr>
        <w:spacing w:after="120" w:line="360" w:lineRule="auto"/>
        <w:ind w:firstLine="397"/>
        <w:jc w:val="both"/>
      </w:pPr>
      <w:r>
        <w:t>Η παρούσα μελέτη χρησιμοποιεί 32-interaction windows και fixed horizon 256. Μελλοντική εργασία μπορεί να εξετάσει διαφορετικές προκαθορισμένες temporal resolutions, longer horizons, event-time models που χειρίζονται censoring πιο άμεσα, καθώς και repeated/recurrent regime changes ή αλληλουχίες πολλών changepoints.</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t>7.7.8 Περισσότερες ανεξάρτητες επαναλήψεις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t>7.7.9 Ασφάλεια και προσαρμογή υπό περιορισμούς</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keepLines w:val="0"/>
      </w:pPr>
      <w:r>
        <w:t>Μία φυσική επέκταση είναι να διαχωριστούν πειραματικά τα regimes no-update robustness, hidden online adaptation και explicit context/change detection. Η ZSG βιβλιογραφία παρέχει καθαρό protocol boundary για το πρώτο [22], ενώ το continual RL καλύπτει πλουσιότερες περιπτώσεις retention και μεταβολής χωρίς καθαρά task boundaries [20]. Ένα επόμενο protocol θα μπορούσε να προσθέσει detector ή context inference ως ξεχωριστό treatment, χωρίς να αλλοιώσει αναδρομικά τα αποτελέσματα της παρούσας μελέτης.</w:t>
      </w:r>
    </w:p>
    <w:p>
      <w:pPr>
        <w:keepLines w:val="0"/>
      </w:pPr>
      <w:r>
        <w:t>Για model-based agents, χρήσιμη κατεύθυνση είναι η ελεγχόμενη μελέτη model freshness, planning strategy και history management. Η Dyna foundation δείχνει τον ρόλο του recency-driven exploration σε changing worlds [19], ενώ το recent online-world-model work δείχνει διαφορετικό design point όπου reusable dynamics χρησιμοποιείται άμεσα για MPC planning [30]. Συγκριτικές ablations θα μπορούσαν να ξεχωρίσουν planning quantity, model reset/recency, uncertainty handling και replay/model retention αντί να αποδίδεται κάθε post-change διαφορά γενικά στο «model-based RL».</w:t>
      </w:r>
    </w:p>
    <w:p>
      <w:pPr>
        <w:keepLines w:val="0"/>
      </w:pPr>
      <w:r>
        <w:t>Τέλος, η μετάβαση από resilience σε safe continual adaptation απαιτεί νέο επιστημονικό συμβόλαιο. Θα χρειάζονταν explicit cost/constraint variables, safety evaluation τόσο κατά την adaptation transient όσο και μετά από αυτή, και πιθανώς methods σχεδιασμένες για constrained learning [29], [31]. Η πρόσφατη safe-continual survey χρησιμοποιείται εδώ υποστηρικτικά ως taxonomy και όχι ως οριστικό standard. Αυτή η επέκταση είναι σημαντική ακριβώς επειδή η σημερινή εργασία δεν μετρά αυτά τα μεγέθη και δεν πρέπει να τα υπονοεί μέσω του task return.</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και στην observation corruption μπορούσε να συνδεθεί με χειρότερη aggregate συμπεριφορά.</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ageBreakBefore/>
      </w:pPr>
      <w:r>
        <w:t>Βιβλιογραφία</w:t>
      </w:r>
    </w:p>
    <w:p>
      <w:pPr>
        <w:spacing w:after="80"/>
        <w:ind w:left="340" w:hanging="340"/>
        <w:jc w:val="left"/>
      </w:pPr>
      <w:r>
        <w:rPr>
          <w:rFonts w:ascii="Times New Roman" w:hAnsi="Times New Roman" w:eastAsia="Times New Roman"/>
          <w:sz w:val="22"/>
        </w:rPr>
        <w:t>[1] Richard S. Sutton and Andrew G. Barto, Reinforcement Learning: An Introduction, 2nd ed. MIT Press, 2018. ISBN 9780262039246.</w:t>
      </w:r>
    </w:p>
    <w:p>
      <w:pPr>
        <w:spacing w:after="80"/>
        <w:ind w:left="340" w:hanging="340"/>
        <w:jc w:val="left"/>
      </w:pPr>
      <w:r>
        <w:rPr>
          <w:rFonts w:ascii="Times New Roman" w:hAnsi="Times New Roman" w:eastAsia="Times New Roman"/>
          <w:sz w:val="22"/>
        </w:rPr>
        <w:t>[2] Christian Steinparz, Thomas Schmied, Fabian Paischer, Marius-Constantin Dinu, Vihang Patil, Angela Bitto-Nemling, Hamid Eghbal-zadeh, and Sepp Hochreiter, “Reactive Exploration to Cope with Non-Stationarity in Lifelong Reinforcement Learning,” in Proceedings of the Conference on Lifelong Learning Agents, PMLR, vol. 199, 2022. [Online]. Available: https://proceedings.mlr.press/v199/steinparz22a.html</w:t>
      </w:r>
    </w:p>
    <w:p>
      <w:pPr>
        <w:spacing w:after="80"/>
        <w:ind w:left="340" w:hanging="340"/>
        <w:jc w:val="left"/>
      </w:pPr>
      <w:r>
        <w:rPr>
          <w:rFonts w:ascii="Times New Roman" w:hAnsi="Times New Roman" w:eastAsia="Times New Roman"/>
          <w:sz w:val="22"/>
        </w:rPr>
        <w:t>[3] Shibhansh Dohare, J. Fernando Hernandez-Garcia, Qingfeng Lan, Parash Rahman, A. Rupam Mahmood, and Richard S. Sutton, “Loss of plasticity in deep continual learning,” Nature, vol. 632, pp. 768–774, 2024, doi: 10.1038/s41586-024-07711-7.</w:t>
      </w:r>
    </w:p>
    <w:p>
      <w:pPr>
        <w:spacing w:after="80"/>
        <w:ind w:left="340" w:hanging="340"/>
        <w:jc w:val="left"/>
      </w:pPr>
      <w:r>
        <w:rPr>
          <w:rFonts w:ascii="Times New Roman" w:hAnsi="Times New Roman" w:eastAsia="Times New Roman"/>
          <w:sz w:val="22"/>
        </w:rPr>
        <w:t>[4] Evgenii Nikishin, Max Schwarzer, Pierluca D’Oro, Pierre-Luc Bacon, and Aaron Courville, “The Primacy Bias in Deep Reinforcement Learning,” in Proceedings of the 39th International Conference on Machine Learning, PMLR, vol. 162, pp. 16828–16847, 2022.</w:t>
      </w:r>
    </w:p>
    <w:p>
      <w:pPr>
        <w:spacing w:after="80"/>
        <w:ind w:left="340" w:hanging="340"/>
        <w:jc w:val="left"/>
      </w:pPr>
      <w:r>
        <w:rPr>
          <w:rFonts w:ascii="Times New Roman" w:hAnsi="Times New Roman" w:eastAsia="Times New Roman"/>
          <w:sz w:val="22"/>
        </w:rPr>
        <w:t>[5] Andrew Patterson, Samuel Neumann, Martha White, and Adam White, “Empirical Design in Reinforcement Learning,” Journal of Machine Learning Research, vol. 25, no. 318, pp. 1–63, 2024.</w:t>
      </w:r>
    </w:p>
    <w:p>
      <w:pPr>
        <w:spacing w:after="80"/>
        <w:ind w:left="340" w:hanging="340"/>
        <w:jc w:val="left"/>
      </w:pPr>
      <w:r>
        <w:rPr>
          <w:rFonts w:ascii="Times New Roman" w:hAnsi="Times New Roman" w:eastAsia="Times New Roman"/>
          <w:sz w:val="22"/>
        </w:rPr>
        <w:t>[6] Peter Henderson, Riashat Islam, Philip Bachman, Joelle Pineau, Doina Precup, and David Meger, “Deep Reinforcement Learning That Matters,” in Proceedings of AAAI-18, 2018.</w:t>
      </w:r>
    </w:p>
    <w:p>
      <w:pPr>
        <w:spacing w:after="80"/>
        <w:ind w:left="340" w:hanging="340"/>
        <w:jc w:val="left"/>
      </w:pPr>
      <w:r>
        <w:rPr>
          <w:rFonts w:ascii="Times New Roman" w:hAnsi="Times New Roman" w:eastAsia="Times New Roman"/>
          <w:sz w:val="22"/>
        </w:rPr>
        <w:t>[7] Pouya Hamadanian, Arash Nasr-Esfahany, Malte Schwarzkopf, Siddhartha Sen, and Mohammad Alizadeh, “Online Reinforcement Learning in Non-Stationary Context-Driven Environments,” in Proceedings of the International Conference on Learning Representations (ICLR), 2025. [Online]. Available: https://proceedings.iclr.cc/paper_files/paper/2025/hash/fb21dae9e8710a272c0a0ca848f71553-Abstract-Conference.html</w:t>
      </w:r>
    </w:p>
    <w:p>
      <w:pPr>
        <w:spacing w:after="80"/>
        <w:ind w:left="340" w:hanging="340"/>
        <w:jc w:val="left"/>
      </w:pPr>
      <w:r>
        <w:rPr>
          <w:rFonts w:ascii="Times New Roman" w:hAnsi="Times New Roman" w:eastAsia="Times New Roman"/>
          <w:sz w:val="22"/>
        </w:rPr>
        <w:t>[8] Safa Alver, Ali Rahimi-Kalahroudi, and Doina Precup, “Partial Models for Building Adaptive Model-Based Reinforcement Learning Agents,” in Proceedings of the 3rd Conference on Lifelong Learning Agents, PMLR, vol. 274, pp. 959–977, 2025. [Online]. Available: https://proceedings.mlr.press/v274/alver25a.html</w:t>
      </w:r>
    </w:p>
    <w:p>
      <w:pPr>
        <w:spacing w:after="80"/>
        <w:ind w:left="340" w:hanging="340"/>
        <w:jc w:val="left"/>
      </w:pPr>
      <w:r>
        <w:rPr>
          <w:rFonts w:ascii="Times New Roman" w:hAnsi="Times New Roman" w:eastAsia="Times New Roman"/>
          <w:sz w:val="22"/>
        </w:rPr>
        <w:t>[9] Richard S. Sutton and Andrew G. Barto, “Q-learning: Off-policy TD Control,” in Reinforcement Learning: An Introduction, 2nd ed. MIT Press, 2018, pp. 131–135.</w:t>
      </w:r>
    </w:p>
    <w:p>
      <w:pPr>
        <w:spacing w:after="80"/>
        <w:ind w:left="340" w:hanging="340"/>
        <w:jc w:val="left"/>
      </w:pPr>
      <w:r>
        <w:rPr>
          <w:rFonts w:ascii="Times New Roman" w:hAnsi="Times New Roman" w:eastAsia="Times New Roman"/>
          <w:sz w:val="22"/>
        </w:rPr>
        <w:t>[10] Volodymyr Mnih, Koray Kavukcuoglu, David Silver, Alex Graves, Ioannis Antonoglou, Daan Wierstra, and Martin Riedmiller, “Playing Atari with Deep Reinforcement Learning,” preprint, 2013.</w:t>
      </w:r>
    </w:p>
    <w:p>
      <w:pPr>
        <w:spacing w:after="80"/>
        <w:ind w:left="340" w:hanging="340"/>
        <w:jc w:val="left"/>
      </w:pPr>
      <w:r>
        <w:rPr>
          <w:rFonts w:ascii="Times New Roman" w:hAnsi="Times New Roman" w:eastAsia="Times New Roman"/>
          <w:sz w:val="22"/>
        </w:rPr>
        <w:t>[11] William Fedus, Prajit Ramachandran, Rishabh Agarwal, Yoshua Bengio, Hugo Larochelle, Mark Rowland, and Will Dabney, “Revisiting Fundamentals of Experience Replay,” in Proceedings of the 37th International Conference on Machine Learning, PMLR, vol. 119, pp. 3061–3071, 2020.</w:t>
      </w:r>
    </w:p>
    <w:p>
      <w:pPr>
        <w:spacing w:after="80"/>
        <w:ind w:left="340" w:hanging="340"/>
        <w:jc w:val="left"/>
      </w:pPr>
      <w:r>
        <w:rPr>
          <w:rFonts w:ascii="Times New Roman" w:hAnsi="Times New Roman" w:eastAsia="Times New Roman"/>
          <w:sz w:val="22"/>
        </w:rPr>
        <w:t>[12] John Schulman, Filip Wolski, Prafulla Dhariwal, Alec Radford, and Oleg Klimov, “Proximal Policy Optimization Algorithms,” arXiv:1707.06347, 2017.</w:t>
      </w:r>
    </w:p>
    <w:p>
      <w:pPr>
        <w:spacing w:after="80"/>
        <w:ind w:left="340" w:hanging="340"/>
        <w:jc w:val="left"/>
      </w:pPr>
      <w:r>
        <w:rPr>
          <w:rFonts w:ascii="Times New Roman" w:hAnsi="Times New Roman" w:eastAsia="Times New Roman"/>
          <w:sz w:val="22"/>
        </w:rPr>
        <w:t>[13] Logan Engstrom, Andrew Ilyas, Shibani Santurkar, Dimitris Tsipras, Firdaus Janoos, Larry Rudolph, and Aleksander Madry, “Implementation Matters in Deep Policy Gradients: A Case Study on PPO and TRPO,” arXiv:2005.12729, 2020.</w:t>
      </w:r>
    </w:p>
    <w:p>
      <w:pPr>
        <w:spacing w:after="80"/>
        <w:ind w:left="340" w:hanging="340"/>
        <w:jc w:val="left"/>
      </w:pPr>
      <w:r>
        <w:rPr>
          <w:rFonts w:ascii="Times New Roman" w:hAnsi="Times New Roman" w:eastAsia="Times New Roman"/>
          <w:sz w:val="22"/>
        </w:rPr>
        <w:t>[14] Chaofan Pan, Xin Yang, Yanhua Li, Wei Wei, Tianrui Li, Bo An, and Jiye Liang, “A Survey of Continual Reinforcement Learning,” arXiv:2506.21872, 2025.</w:t>
      </w:r>
    </w:p>
    <w:p>
      <w:pPr>
        <w:spacing w:after="80"/>
        <w:ind w:left="340" w:hanging="340"/>
        <w:jc w:val="left"/>
      </w:pPr>
      <w:r>
        <w:rPr>
          <w:rFonts w:ascii="Times New Roman" w:hAnsi="Times New Roman" w:eastAsia="Times New Roman"/>
          <w:sz w:val="22"/>
        </w:rPr>
        <w:t>[15] Zihe Liu, Deep Reinforcement Learning in Non-stationary Environments, Ph.D. dissertation, University of Technology Sydney, 2024. [Online]. Available: https://opus.lib.uts.edu.au/handle/10453/186408</w:t>
      </w:r>
    </w:p>
    <w:p>
      <w:pPr>
        <w:spacing w:after="80"/>
        <w:ind w:left="340" w:hanging="340"/>
        <w:jc w:val="left"/>
      </w:pPr>
      <w:r>
        <w:rPr>
          <w:rFonts w:ascii="Times New Roman" w:hAnsi="Times New Roman" w:eastAsia="Times New Roman"/>
          <w:sz w:val="22"/>
        </w:rPr>
        <w:t>[16] Rishabh Agarwal, Max Schwarzer, Pablo Samuel Castro, Aaron Courville, and Marc G. Bellemare, “Deep Reinforcement Learning at the Edge of the Statistical Precipice,” NeurIPS, 2021, arXiv:2108.13264.</w:t>
      </w:r>
    </w:p>
    <w:p>
      <w:pPr>
        <w:spacing w:after="80"/>
        <w:ind w:left="340" w:hanging="340"/>
        <w:jc w:val="left"/>
      </w:pPr>
      <w:r>
        <w:rPr>
          <w:rFonts w:ascii="Times New Roman" w:hAnsi="Times New Roman" w:eastAsia="Times New Roman"/>
          <w:sz w:val="22"/>
        </w:rPr>
        <w:t>[17] Fabio Pardo, Arash Tavakoli, Vitaly Levdik, and Petar Kormushev, “Time Limits in Reinforcement Learning,” in Proceedings of the 35th International Conference on Machine Learning, PMLR, vol. 80, pp. 4045–4054, 2018.</w:t>
      </w:r>
    </w:p>
    <w:p>
      <w:pPr>
        <w:keepLines w:val="0"/>
      </w:pPr>
      <w:r>
        <w:t>[18] Christopher J. C. H. Watkins and Peter Dayan, “Q-learning,” Machine Learning, vol. 8, pp. 279–292, 1992.</w:t>
      </w:r>
    </w:p>
    <w:p>
      <w:pPr>
        <w:keepLines w:val="0"/>
      </w:pPr>
      <w:r>
        <w:t>[19] Richard S. Sutton, “Integrated Modeling and Control Based on Reinforcement Learning and Dynamic Programming,” in Advances in Neural Information Processing Systems 3, pp. 471–478, 1990.</w:t>
      </w:r>
    </w:p>
    <w:p>
      <w:pPr>
        <w:keepLines w:val="0"/>
      </w:pPr>
      <w:r>
        <w:t>[20] Khimya Khetarpal, Matthew Riemer, Irina Rish, and Doina Precup, “Towards Continual Reinforcement Learning: A Review and Perspectives,” Journal of Artificial Intelligence Research, vol. 75, pp. 1401–1476, 2022, doi: 10.1613/JAIR.1.13673.</w:t>
      </w:r>
    </w:p>
    <w:p>
      <w:pPr>
        <w:keepLines w:val="0"/>
      </w:pPr>
      <w:r>
        <w:t>[21] Sindhu Padakandla, “A Survey of Reinforcement Learning Algorithms for Dynamically Varying Environments,” ACM Computing Surveys, vol. 54, no. 6, 2021, doi: 10.1145/3459991.</w:t>
      </w:r>
    </w:p>
    <w:p>
      <w:pPr>
        <w:keepLines w:val="0"/>
      </w:pPr>
      <w:r>
        <w:t>[22] Robert Kirk, Amy Zhang, Edward Grefenstette, and Tim Rocktäschel, “A Survey of Zero-shot Generalisation in Deep Reinforcement Learning,” Journal of Artificial Intelligence Research, vol. 76, pp. 201–264, 2023.</w:t>
      </w:r>
    </w:p>
    <w:p>
      <w:pPr>
        <w:keepLines w:val="0"/>
      </w:pPr>
      <w:r>
        <w:t>[23] Jonathan Balloch, Zhiyu Lin, Mustafa Hussain, Aarun Srinivas, Robert Wright, Xiangyu Peng, Julia Kim, and Mark Riedl, “NovGrid: A Flexible Grid World for Evaluating Agent Response to Novelty,” arXiv:2203.12117, 2022.</w:t>
      </w:r>
    </w:p>
    <w:p>
      <w:pPr>
        <w:keepLines w:val="0"/>
      </w:pPr>
      <w:r>
        <w:t>[24] Manuela Chacon-Chamorro et al., “Cooperative Resilience in Artificial Intelligence Multiagent Systems,” arXiv:2409.13187, 2024.</w:t>
      </w:r>
    </w:p>
    <w:p>
      <w:pPr>
        <w:keepLines w:val="0"/>
      </w:pPr>
      <w:r>
        <w:t>[25] Xavier Cadet, Simona Boboila, Edward Koh, Peter Chin, and Alina Oprea, “Quantitative Resilience Modeling for Autonomous Cyber Defense,” Reinforcement Learning Journal, vol. 6, pp. 894–908, 2025.</w:t>
      </w:r>
    </w:p>
    <w:p>
      <w:pPr>
        <w:keepLines w:val="0"/>
      </w:pPr>
      <w:r>
        <w:t>[26] Chen Tessler, Yonathan Efroni, and Shie Mannor, “Action Robust Reinforcement Learning and Applications in Continuous Control,” in Proceedings of the 36th International Conference on Machine Learning, PMLR, vol. 97, 2019.</w:t>
      </w:r>
    </w:p>
    <w:p>
      <w:pPr>
        <w:keepLines w:val="0"/>
      </w:pPr>
      <w:r>
        <w:t>[27] Yuhui Wang, Hao He, and Xiaoyang Tan, “Robust Reinforcement Learning in POMDPs with Incomplete and Noisy Observations,” arXiv:1902.05795, 2019.</w:t>
      </w:r>
    </w:p>
    <w:p>
      <w:pPr>
        <w:keepLines w:val="0"/>
      </w:pPr>
      <w:r>
        <w:t>[28] Daniel Jarne Ornia, Licio Romao, Lewis Hammond, Manuel Mazo Jr., and Alessandro Abate, “Bounded Robustness in Reinforcement Learning via Lexicographic Objectives,” in Proceedings of Learning for Dynamics and Control, PMLR, vol. 242, pp. 954–967, 2024.</w:t>
      </w:r>
    </w:p>
    <w:p>
      <w:pPr>
        <w:keepLines w:val="0"/>
      </w:pPr>
      <w:r>
        <w:t>[29] Shangding Gu, Long Yang, Yali Du, Guang Chen, Florian Walter, Jun Wang, and Alois Knoll, “A Review of Safe Reinforcement Learning: Methods, Theories and Applications,” arXiv:2205.10330, 2022.</w:t>
      </w:r>
    </w:p>
    <w:p>
      <w:pPr>
        <w:keepLines w:val="0"/>
      </w:pPr>
      <w:r>
        <w:t>[30] Zichen Liu, Guoji Fu, Chao Du, Wee Sun Lee, and Min Lin, “Continual Reinforcement Learning by Planning with Online World Models,” in Proceedings of the 42nd International Conference on Machine Learning, PMLR, vol. 267, pp. 38397–38423, 2025.</w:t>
      </w:r>
    </w:p>
    <w:p>
      <w:pPr>
        <w:keepLines w:val="0"/>
      </w:pPr>
      <w:r>
        <w:t>[31] Timofey Tomashevskiy, “Safe Continual Reinforcement Learning Methods for Nonstationary Environments: Towards a Survey of the State of the Art,” arXiv:2601.05152v1, 2026, doi: 10.48550/arXiv.2601.05152.</w:t>
      </w:r>
    </w:p>
    <w:p>
      <w:pPr/>
      <w:r>
        <w:t>[32] Shangding Gu, Laixi Shi, Muning Wen, Ming Jin, Eric Mazumdar, Yuejie Chi, Adam Wierman, and Costas Spanos, “Robust-Gymnasium: A Unified Modular Benchmark for Robust Reinforcement Learning,” in Proceedings of the International Conference on Learning Representations (ICLR), 2025, arXiv:2502.19652. [Online]. Available: https://arxiv.org/abs/2502.19652</w:t>
      </w:r>
    </w:p>
    <w:p>
      <w:pPr>
        <w:pStyle w:val="Heading1"/>
        <w:pageBreakBefore/>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t>Α.1 Μέθοδοι και τελικές ρυθμίσεις</w:t>
      </w:r>
    </w:p>
    <w:p>
      <w:pPr>
        <w:jc w:val="both"/>
      </w:pPr>
      <w:r>
        <w:rPr>
          <w:rFonts w:ascii="Times New Roman" w:hAnsi="Times New Roman" w:eastAsia="Times New Roman"/>
          <w:sz w:val="22"/>
        </w:rPr>
        <w:t>Οι τελικές ρυθμίσεις προέρχονται απευθείας από το παγωμένο protocol-v2.1 και συνοψίζονται εδώ ώστε η βασική παραμετροποίηση να είναι αναγνώσιμη χωρίς εξωτερική αναζήτηση στο repository.</w:t>
      </w:r>
    </w:p>
    <w:tbl>
      <w:tblPr>
        <w:tblStyle w:val="TableGrid"/>
        <w:tblW w:type="auto" w:w="0"/>
        <w:jc w:val="center"/>
        <w:tblLook w:firstColumn="1" w:firstRow="1" w:lastColumn="0" w:lastRow="0" w:noHBand="0" w:noVBand="1" w:val="04A0"/>
      </w:tblPr>
      <w:tblGrid>
        <w:gridCol w:w="2197"/>
        <w:gridCol w:w="2197"/>
        <w:gridCol w:w="2197"/>
        <w:gridCol w:w="2197"/>
      </w:tblGrid>
      <w:tr>
        <w:trPr>
          <w:tblHeader w:val="true"/>
        </w:trPr>
        <w:tc>
          <w:tcPr>
            <w:tcW w:type="dxa" w:w="2197"/>
            <w:vAlign w:val="center"/>
          </w:tcPr>
          <w:p>
            <w:pPr>
              <w:spacing w:after="0" w:line="240" w:lineRule="auto"/>
            </w:pPr>
            <w:r>
              <w:rPr>
                <w:rFonts w:ascii="Times New Roman" w:hAnsi="Times New Roman" w:eastAsia="Times New Roman"/>
                <w:b/>
                <w:sz w:val="17"/>
              </w:rPr>
              <w:t>Μέθοδος</w:t>
            </w:r>
          </w:p>
        </w:tc>
        <w:tc>
          <w:tcPr>
            <w:tcW w:type="dxa" w:w="2197"/>
            <w:vAlign w:val="center"/>
          </w:tcPr>
          <w:p>
            <w:pPr>
              <w:spacing w:after="0" w:line="240" w:lineRule="auto"/>
            </w:pPr>
            <w:r>
              <w:rPr>
                <w:rFonts w:ascii="Times New Roman" w:hAnsi="Times New Roman" w:eastAsia="Times New Roman"/>
                <w:b/>
                <w:sz w:val="17"/>
              </w:rPr>
              <w:t>ID ρύθμισης</w:t>
            </w:r>
          </w:p>
        </w:tc>
        <w:tc>
          <w:tcPr>
            <w:tcW w:type="dxa" w:w="2197"/>
            <w:vAlign w:val="center"/>
          </w:tcPr>
          <w:p>
            <w:pPr>
              <w:spacing w:after="0" w:line="240" w:lineRule="auto"/>
            </w:pPr>
            <w:r>
              <w:rPr>
                <w:rFonts w:ascii="Times New Roman" w:hAnsi="Times New Roman" w:eastAsia="Times New Roman"/>
                <w:b/>
                <w:sz w:val="17"/>
              </w:rPr>
              <w:t>Ρυθμός μάθησης</w:t>
            </w:r>
          </w:p>
        </w:tc>
        <w:tc>
          <w:tcPr>
            <w:tcW w:type="dxa" w:w="2197"/>
            <w:vAlign w:val="center"/>
          </w:tcPr>
          <w:p>
            <w:pPr>
              <w:spacing w:after="0" w:line="240" w:lineRule="auto"/>
            </w:pPr>
            <w:r>
              <w:rPr>
                <w:rFonts w:ascii="Times New Roman" w:hAnsi="Times New Roman" w:eastAsia="Times New Roman"/>
                <w:b/>
                <w:sz w:val="17"/>
              </w:rPr>
              <w:t>Κύριες τελικές ρυθμίσεις</w:t>
            </w:r>
          </w:p>
        </w:tc>
      </w:tr>
      <w:tr>
        <w:tc>
          <w:tcPr>
            <w:tcW w:type="dxa" w:w="2197"/>
            <w:vAlign w:val="center"/>
          </w:tcPr>
          <w:p>
            <w:pPr>
              <w:spacing w:after="0" w:line="240" w:lineRule="auto"/>
            </w:pPr>
            <w:r>
              <w:rPr>
                <w:rFonts w:ascii="Times New Roman" w:hAnsi="Times New Roman" w:eastAsia="Times New Roman"/>
                <w:b w:val="0"/>
                <w:sz w:val="17"/>
              </w:rPr>
              <w:t>Q-Learning</w:t>
            </w:r>
          </w:p>
        </w:tc>
        <w:tc>
          <w:tcPr>
            <w:tcW w:type="dxa" w:w="2197"/>
            <w:vAlign w:val="center"/>
          </w:tcPr>
          <w:p>
            <w:pPr>
              <w:spacing w:after="0" w:line="240" w:lineRule="auto"/>
            </w:pPr>
            <w:r>
              <w:rPr>
                <w:rFonts w:ascii="Times New Roman" w:hAnsi="Times New Roman" w:eastAsia="Times New Roman"/>
                <w:b w:val="0"/>
                <w:sz w:val="17"/>
              </w:rPr>
              <w:t>q-c06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SARSA</w:t>
            </w:r>
          </w:p>
        </w:tc>
        <w:tc>
          <w:tcPr>
            <w:tcW w:type="dxa" w:w="2197"/>
            <w:vAlign w:val="center"/>
          </w:tcPr>
          <w:p>
            <w:pPr>
              <w:spacing w:after="0" w:line="240" w:lineRule="auto"/>
            </w:pPr>
            <w:r>
              <w:rPr>
                <w:rFonts w:ascii="Times New Roman" w:hAnsi="Times New Roman" w:eastAsia="Times New Roman"/>
                <w:b w:val="0"/>
                <w:sz w:val="17"/>
              </w:rPr>
              <w:t>sarsa-c06</w:t>
            </w:r>
          </w:p>
        </w:tc>
        <w:tc>
          <w:tcPr>
            <w:tcW w:type="dxa" w:w="2197"/>
            <w:vAlign w:val="center"/>
          </w:tcPr>
          <w:p>
            <w:pPr>
              <w:spacing w:after="0" w:line="240" w:lineRule="auto"/>
            </w:pPr>
            <w:r>
              <w:rPr>
                <w:rFonts w:ascii="Times New Roman" w:hAnsi="Times New Roman" w:eastAsia="Times New Roman"/>
                <w:b w:val="0"/>
                <w:sz w:val="17"/>
              </w:rPr>
              <w:t>0,4</w:t>
            </w:r>
          </w:p>
        </w:tc>
        <w:tc>
          <w:tcPr>
            <w:tcW w:type="dxa" w:w="2197"/>
            <w:vAlign w:val="center"/>
          </w:tcPr>
          <w:p>
            <w:pPr>
              <w:spacing w:after="0" w:line="240" w:lineRule="auto"/>
            </w:pPr>
            <w:r>
              <w:rPr>
                <w:rFonts w:ascii="Times New Roman" w:hAnsi="Times New Roman" w:eastAsia="Times New Roman"/>
                <w:b w:val="0"/>
                <w:sz w:val="17"/>
              </w:rPr>
              <w:t>γ=0,95 · ε=0,10 · Q₀=0</w:t>
            </w:r>
          </w:p>
        </w:tc>
      </w:tr>
      <w:tr>
        <w:tc>
          <w:tcPr>
            <w:tcW w:type="dxa" w:w="2197"/>
            <w:vAlign w:val="center"/>
          </w:tcPr>
          <w:p>
            <w:pPr>
              <w:spacing w:after="0" w:line="240" w:lineRule="auto"/>
            </w:pPr>
            <w:r>
              <w:rPr>
                <w:rFonts w:ascii="Times New Roman" w:hAnsi="Times New Roman" w:eastAsia="Times New Roman"/>
                <w:b w:val="0"/>
                <w:sz w:val="17"/>
              </w:rPr>
              <w:t>DQN</w:t>
            </w:r>
          </w:p>
        </w:tc>
        <w:tc>
          <w:tcPr>
            <w:tcW w:type="dxa" w:w="2197"/>
            <w:vAlign w:val="center"/>
          </w:tcPr>
          <w:p>
            <w:pPr>
              <w:spacing w:after="0" w:line="240" w:lineRule="auto"/>
            </w:pPr>
            <w:r>
              <w:rPr>
                <w:rFonts w:ascii="Times New Roman" w:hAnsi="Times New Roman" w:eastAsia="Times New Roman"/>
                <w:b w:val="0"/>
                <w:sz w:val="17"/>
              </w:rPr>
              <w:t>dqn-c05</w:t>
            </w:r>
          </w:p>
        </w:tc>
        <w:tc>
          <w:tcPr>
            <w:tcW w:type="dxa" w:w="2197"/>
            <w:vAlign w:val="center"/>
          </w:tcPr>
          <w:p>
            <w:pPr>
              <w:spacing w:after="0" w:line="240" w:lineRule="auto"/>
            </w:pPr>
            <w:r>
              <w:rPr>
                <w:rFonts w:ascii="Times New Roman" w:hAnsi="Times New Roman" w:eastAsia="Times New Roman"/>
                <w:b w:val="0"/>
                <w:sz w:val="17"/>
              </w:rPr>
              <w:t>0,003</w:t>
            </w:r>
          </w:p>
        </w:tc>
        <w:tc>
          <w:tcPr>
            <w:tcW w:type="dxa" w:w="2197"/>
            <w:vAlign w:val="center"/>
          </w:tcPr>
          <w:p>
            <w:pPr>
              <w:spacing w:after="0" w:line="240" w:lineRule="auto"/>
            </w:pPr>
            <w:r>
              <w:rPr>
                <w:rFonts w:ascii="Times New Roman" w:hAnsi="Times New Roman" w:eastAsia="Times New Roman"/>
                <w:b w:val="0"/>
                <w:sz w:val="17"/>
              </w:rPr>
              <w:t>γ=0,95 · buffer=16.384 · batch=32 · learning starts=128 · target update=128 · net 64×64 · ε: 1,00→0,05</w:t>
            </w:r>
          </w:p>
        </w:tc>
      </w:tr>
      <w:tr>
        <w:tc>
          <w:tcPr>
            <w:tcW w:type="dxa" w:w="2197"/>
            <w:vAlign w:val="center"/>
          </w:tcPr>
          <w:p>
            <w:pPr>
              <w:spacing w:after="0" w:line="240" w:lineRule="auto"/>
            </w:pPr>
            <w:r>
              <w:rPr>
                <w:rFonts w:ascii="Times New Roman" w:hAnsi="Times New Roman" w:eastAsia="Times New Roman"/>
                <w:b w:val="0"/>
                <w:sz w:val="17"/>
              </w:rPr>
              <w:t>PPO</w:t>
            </w:r>
          </w:p>
        </w:tc>
        <w:tc>
          <w:tcPr>
            <w:tcW w:type="dxa" w:w="2197"/>
            <w:vAlign w:val="center"/>
          </w:tcPr>
          <w:p>
            <w:pPr>
              <w:spacing w:after="0" w:line="240" w:lineRule="auto"/>
            </w:pPr>
            <w:r>
              <w:rPr>
                <w:rFonts w:ascii="Times New Roman" w:hAnsi="Times New Roman" w:eastAsia="Times New Roman"/>
                <w:b w:val="0"/>
                <w:sz w:val="17"/>
              </w:rPr>
              <w:t>ppo-c06</w:t>
            </w:r>
          </w:p>
        </w:tc>
        <w:tc>
          <w:tcPr>
            <w:tcW w:type="dxa" w:w="2197"/>
            <w:vAlign w:val="center"/>
          </w:tcPr>
          <w:p>
            <w:pPr>
              <w:spacing w:after="0" w:line="240" w:lineRule="auto"/>
            </w:pPr>
            <w:r>
              <w:rPr>
                <w:rFonts w:ascii="Times New Roman" w:hAnsi="Times New Roman" w:eastAsia="Times New Roman"/>
                <w:b w:val="0"/>
                <w:sz w:val="17"/>
              </w:rPr>
              <w:t>0,001</w:t>
            </w:r>
          </w:p>
        </w:tc>
        <w:tc>
          <w:tcPr>
            <w:tcW w:type="dxa" w:w="2197"/>
            <w:vAlign w:val="center"/>
          </w:tcPr>
          <w:p>
            <w:pPr>
              <w:spacing w:after="0" w:line="240" w:lineRule="auto"/>
            </w:pPr>
            <w:r>
              <w:rPr>
                <w:rFonts w:ascii="Times New Roman" w:hAnsi="Times New Roman" w:eastAsia="Times New Roman"/>
                <w:b w:val="0"/>
                <w:sz w:val="17"/>
              </w:rPr>
              <w:t>γ=0,95 · n_steps=128 · batch=64 · epochs=10 · clip=0,20 · GAE λ=0,95 · π/V 64×64</w:t>
            </w:r>
          </w:p>
        </w:tc>
      </w:tr>
      <w:tr>
        <w:tc>
          <w:tcPr>
            <w:tcW w:type="dxa" w:w="2197"/>
            <w:vAlign w:val="center"/>
          </w:tcPr>
          <w:p>
            <w:pPr>
              <w:spacing w:after="0" w:line="240" w:lineRule="auto"/>
            </w:pPr>
            <w:r>
              <w:rPr>
                <w:rFonts w:ascii="Times New Roman" w:hAnsi="Times New Roman" w:eastAsia="Times New Roman"/>
                <w:b w:val="0"/>
                <w:sz w:val="17"/>
              </w:rPr>
              <w:t>Dyna-Q+</w:t>
            </w:r>
          </w:p>
        </w:tc>
        <w:tc>
          <w:tcPr>
            <w:tcW w:type="dxa" w:w="2197"/>
            <w:vAlign w:val="center"/>
          </w:tcPr>
          <w:p>
            <w:pPr>
              <w:spacing w:after="0" w:line="240" w:lineRule="auto"/>
            </w:pPr>
            <w:r>
              <w:rPr>
                <w:rFonts w:ascii="Times New Roman" w:hAnsi="Times New Roman" w:eastAsia="Times New Roman"/>
                <w:b w:val="0"/>
                <w:sz w:val="17"/>
              </w:rPr>
              <w:t>dyna-c03</w:t>
            </w:r>
          </w:p>
        </w:tc>
        <w:tc>
          <w:tcPr>
            <w:tcW w:type="dxa" w:w="2197"/>
            <w:vAlign w:val="center"/>
          </w:tcPr>
          <w:p>
            <w:pPr>
              <w:spacing w:after="0" w:line="240" w:lineRule="auto"/>
            </w:pPr>
            <w:r>
              <w:rPr>
                <w:rFonts w:ascii="Times New Roman" w:hAnsi="Times New Roman" w:eastAsia="Times New Roman"/>
                <w:b w:val="0"/>
                <w:sz w:val="17"/>
              </w:rPr>
              <w:t>0,2</w:t>
            </w:r>
          </w:p>
        </w:tc>
        <w:tc>
          <w:tcPr>
            <w:tcW w:type="dxa" w:w="2197"/>
            <w:vAlign w:val="center"/>
          </w:tcPr>
          <w:p>
            <w:pPr>
              <w:spacing w:after="0" w:line="240" w:lineRule="auto"/>
            </w:pPr>
            <w:r>
              <w:rPr>
                <w:rFonts w:ascii="Times New Roman" w:hAnsi="Times New Roman" w:eastAsia="Times New Roman"/>
                <w:b w:val="0"/>
                <w:sz w:val="17"/>
              </w:rPr>
              <w:t>γ=0,95 · ε=0,10 · Q₀=0 · planning steps=10 · κ=0,0005</w:t>
            </w:r>
          </w:p>
        </w:tc>
      </w:tr>
    </w:tbl>
    <w:p>
      <w:pPr>
        <w:pStyle w:val="Caption"/>
        <w:jc w:val="center"/>
      </w:pPr>
      <w:r>
        <w:rPr>
          <w:rFonts w:ascii="Times New Roman" w:hAnsi="Times New Roman" w:eastAsia="Times New Roman"/>
          <w:b/>
          <w:sz w:val="20"/>
        </w:rPr>
        <w:t xml:space="preserve">Πίνακας </w:t>
      </w:r>
      <w:r>
        <w:rPr>
          <w:rFonts w:ascii="Times New Roman" w:hAnsi="Times New Roman" w:eastAsia="Times New Roman"/>
          <w:sz w:val="20"/>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Τελικές ρυθμίσεις των πέντε μεθόδων στο protocol-v2.1.</w:t>
      </w:r>
    </w:p>
    <w:p>
      <w:pPr>
        <w:keepLines w:val="0"/>
      </w:pPr>
      <w:r>
        <w:t>Το DEVELOPMENT tuning χρησιμοποίησε έξι προκαθορισμένες υποψήφιες ρυθμίσεις ανά μέθοδο στις ίδιες 3 tuning-only roots × 2 development layouts, δηλαδή 180 tuning units συνολικά. Οι επιλογές πριν από το final reserve ήταν q-c06, sarsa-c06, dqn-c05, ppo-c06 και dyna-c03. Το search space ήταν bounded και ίσης έκτασης ανά method, όχι εξαντλητικό.</w:t>
      </w:r>
    </w:p>
    <w:p>
      <w:pPr>
        <w:pStyle w:val="Heading3"/>
      </w:pPr>
      <w:r>
        <w:t>Α.2 Τελικές διατάξεις και ανεξάρτητες επαναλήψεις</w:t>
      </w:r>
    </w:p>
    <w:p>
      <w:pPr>
        <w:spacing w:after="120" w:line="360" w:lineRule="auto"/>
        <w:ind w:firstLine="397"/>
        <w:jc w:val="both"/>
      </w:pPr>
      <w:r>
        <w:rPr>
          <w:rFonts w:ascii="Times New Roman" w:hAnsi="Times New Roman" w:eastAsia="Times New Roman"/>
          <w:sz w:val="22"/>
        </w:rPr>
        <w:t>Η τελική μελέτη χρησιμοποιεί δύο ανεξάρτητες διατάξεις GridWorld 7×7. Και στις δύο, η αρχική θέση είναι (0,0), ο στόχος (6,6), το μήκος της συντομότερης διαδρομής είναι 12 βήματα και το διοικητικό όριο επεισοδίου 48 βήματα. Η στατιστική ανάλυση χρησιμοποιεί 12 ανεξάρτητες επαναλήψεις (roots)· οι δύο διατάξεις συνδυάζονται με ίσο βάρος μέσα σε κάθε root πριν από τη συμπερασματολογία.</w:t>
      </w:r>
    </w:p>
    <w:p>
      <w:pPr>
        <w:keepLines w:val="0"/>
      </w:pPr>
      <w:r>
        <w:t>Generation seeds των final layouts: gw-l1-final-a=57001 και gw-l1-final-b=57002. Για root r_i, i=01,…,12, τα seed streams είναι initialization=71000+i, exploration=72000+i, scenario=73000+i, environment=74000+i, action disturbance=75000+i και observation disturbance=76000+i. Η επιλογή n=12 προέκυψε από predeclared DEVELOPMENT sizing μεταξύ {12,16,20,24}, με μέγιστο 95% Student-t half-width 0,1428 στο πρώτο qualifying candidate.</w:t>
      </w:r>
    </w:p>
    <w:p>
      <w:pPr>
        <w:pStyle w:val="Heading3"/>
      </w:pPr>
      <w:r>
        <w:t>Α.3 Ορισμοί των διαταραχών</w:t>
      </w:r>
    </w:p>
    <w:p>
      <w:pPr>
        <w:spacing w:after="120" w:line="360" w:lineRule="auto"/>
        <w:ind w:firstLine="397"/>
        <w:jc w:val="both"/>
      </w:pPr>
      <w:r>
        <w:rPr>
          <w:rFonts w:ascii="Times New Roman" w:hAnsi="Times New Roman" w:eastAsia="Times New Roman"/>
          <w:sz w:val="22"/>
        </w:rPr>
        <w:t>Οι τέσσερις προκαθορισμένες συνθήκες της Φάσης B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Στην εναλλαγή right–down, οι right και down ανταλλάσσουν συνέπειες ενώ up/left παραμένουν αμετάβλητες. Στην κυκλική ανααντιστοίχιση ισχύει up→right→down→left→up. Η αποτυχία ενέργειας εφαρμόζεται με πιθανότητα 0,15. Η αλλοίωση παρατήρησης εφαρμόζεται με πιθανότητα 0,05 και δειγματοληψία ομοιόμορφα από έγκυρες μη εμποδισμένες θέσεις, εξαιρώντας την πραγματική κατάσταση.</w:t>
      </w:r>
    </w:p>
    <w:p>
      <w:pPr>
        <w:keepLines w:val="0"/>
      </w:pPr>
      <w:r>
        <w:t>Action failure: με πιθανότητα 0,15 η intended action εκτελείται ως no-op, η ground-truth θέση δεν αλλάζει, collision=false και η reward είναι η ordinary step reward −0,1 εκτός άλλης terminal/reward rule. Observation corruption: με πιθανότητα 0,05 η delivered observation δειγματοληπτείται ομοιόμορφα από τα μη-obstacle κελιά εξαιρώντας την τρέχουσα ground-truth θέση· goal και start δεν αποκλείονται ειδικά από το support. Η πραγματική μετάβαση και reward δεν αλλάζουν.</w:t>
      </w:r>
    </w:p>
    <w:p>
      <w:pPr>
        <w:pStyle w:val="Heading3"/>
      </w:pPr>
      <w:r>
        <w:t>Α.4 Προϋπολογισμοί και συμβόλαιο ανάκαμψης</w:t>
      </w:r>
    </w:p>
    <w:p>
      <w:pPr/>
      <w:r>
        <w:rPr>
          <w:rFonts w:ascii="Times New Roman" w:hAnsi="Times New Roman" w:eastAsia="Times New Roman"/>
          <w:sz w:val="22"/>
        </w:rPr>
        <w:t>Η Φάση A διαθέτει 8.192 πραγματικές αλληλεπιδράσεις εκπαίδευσης ανά μονάδα, με probes στα 0, 512, 1.024, 2.048, 4.096 και 8.192 interactions και 12 επεισόδια ανά probe. Η Φάση B έχει ορίζοντα 256 interactions. Για το RQ3 χρησιμοποιούνται παθητικά παράθυρα 32 interactions, κύρια ανοχή 0,10, προκαθορισμένες ανοχές ευαισθησίας 0,05 και 0,20 και απαίτηση δύο διαδοχικών παραθύρων εντός ανοχής για σταθερή ανάκαμψη. Η μη ανάκαμψη παραμένει δεξιά λογοκριμένη στο 256 με null recovery time.</w:t>
      </w:r>
    </w:p>
    <w:p>
      <w:pPr>
        <w:pStyle w:val="Heading2"/>
      </w:pPr>
      <w:r>
        <w:t>Παράρτημα Β — Πλήρη αποτελέσματα και διαγνωστικά ανά ερευνητικό ερώτημα</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descr="Σχήμα 13: Κατανομή τελικής ονομαστικής απόδοσης ανά root μετά από ισότιμη μείωση ως προς τα layouts." title="Σχήμα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Κατανομή τελικής ονομαστικής απόδοσης ανά root μετά από ισότιμη μείωση ως προς τα layouts.</w:t>
      </w:r>
    </w:p>
    <w:p>
      <w:pPr>
        <w:keepNext/>
        <w:jc w:val="center"/>
      </w:pPr>
      <w:r>
        <w:drawing>
          <wp:inline xmlns:a="http://schemas.openxmlformats.org/drawingml/2006/main" xmlns:pic="http://schemas.openxmlformats.org/drawingml/2006/picture">
            <wp:extent cx="5577840" cy="3014696"/>
            <wp:docPr id="14" name="Picture 14" descr="Σχήμα 14: Κατανομή της μέσης απόδοσης στον άξονα αλληλεπιδράσεων ανά root μετά από ισότιμη μείωση ως προς τα layouts." title="Σχήμα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Κατανομή της μέσης απόδοσης στον άξονα αλληλεπιδράσεων ανά root μετά από ισότιμη μείωση ως προς τα layouts.</w:t>
      </w:r>
    </w:p>
    <w:p>
      <w:pPr>
        <w:keepNext/>
        <w:pageBreakBefore/>
        <w:jc w:val="center"/>
      </w:pPr>
      <w:r>
        <w:drawing>
          <wp:inline xmlns:a="http://schemas.openxmlformats.org/drawingml/2006/main" xmlns:pic="http://schemas.openxmlformats.org/drawingml/2006/picture">
            <wp:extent cx="3433990" cy="6583680"/>
            <wp:docPr id="15" name="Picture 15" descr="Σχήμα 15: Προκαθορισμένες paired συγκρίσεις A−B ανά root· τα διαστήματα είναι περιγραφικά σημειακά t intervals." title="Σχήμα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Προκαθορισμένες paired συγκρίσεις A−B ανά root· τα διαστήματα είναι περιγραφικά σημειακά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descr="Σχήμα 16: Κατανομές του οφέλους προσαρμογής ανά root, μέθοδο και συνθήκη." title="Σχήμα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Κατανομές του οφέλους προσαρμογής ανά root, μέθοδο και συνθήκη.</w:t>
      </w:r>
    </w:p>
    <w:p>
      <w:pPr>
        <w:keepNext/>
        <w:jc w:val="center"/>
      </w:pPr>
      <w:r>
        <w:drawing>
          <wp:inline xmlns:a="http://schemas.openxmlformats.org/drawingml/2006/main" xmlns:pic="http://schemas.openxmlformats.org/drawingml/2006/picture">
            <wp:extent cx="5577840" cy="3078015"/>
            <wp:docPr id="17" name="Picture 17" descr="Σχήμα 17: Αριθμητικός θερμικός χάρτης του μέσου καταγεγραμμένου οφέλους προσαρμογής· υψηλότερη τιμή σημαίνει μεγαλύτερο όφελος." title="Σχήμα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Αριθμητικός θερμικός χάρτης του μέσου καταγεγραμμένου οφέλους προσαρμογής· υψηλότερη τιμή σημαίνει μεγαλύτερο όφελος.</w:t>
      </w:r>
    </w:p>
    <w:p>
      <w:pPr>
        <w:keepNext/>
        <w:jc w:val="center"/>
      </w:pPr>
      <w:r>
        <w:drawing>
          <wp:inline xmlns:a="http://schemas.openxmlformats.org/drawingml/2006/main" xmlns:pic="http://schemas.openxmlformats.org/drawingml/2006/picture">
            <wp:extent cx="5577840" cy="4057199"/>
            <wp:docPr id="18" name="Picture 18" descr="Σχήμα 18: Όλες οι προκαθορισμένες paired συγκρίσεις A−B του RQ2 ανά συνθήκη και estimand." title="Σχήμα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Όλες οι προκαθορισμένες paired συγκρίσεις A−B του RQ2 ανά συνθήκη και estimand.</w:t>
      </w:r>
    </w:p>
    <w:p>
      <w:pPr>
        <w:keepNext/>
        <w:jc w:val="center"/>
      </w:pPr>
      <w:r>
        <w:drawing>
          <wp:inline xmlns:a="http://schemas.openxmlformats.org/drawingml/2006/main" xmlns:pic="http://schemas.openxmlformats.org/drawingml/2006/picture">
            <wp:extent cx="5577840" cy="3615862"/>
            <wp:docPr id="19" name="Picture 19" descr="Σχήμα 19: Paired διαγνωστικά Frozen-to-Adaptive ανά root· οι συνδετικές γραμμές δεν ορίζουν πρόσθετο estimand." title="Σχήμα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Paired διαγνωστικά Frozen-to-Adaptive ανά root· οι συνδετικές γραμμές δεν ορίζουν πρόσθετο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descr="Σχήμα 20: Αναλυτικές καταγεγραμμένες τροχιές ανά root, μέθοδο και κύρια συνθήκη· δεν εφαρμόζεται averaging μεταξύ τροχιών." title="Σχήμα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Αναλυτικές καταγεγραμμένες τροχιές ανά root, μέθοδο και κύρια συνθήκη· δεν εφαρμόζεται averaging μεταξύ τροχιών.</w:t>
      </w:r>
    </w:p>
    <w:p>
      <w:pPr>
        <w:keepNext/>
        <w:jc w:val="center"/>
      </w:pPr>
      <w:r>
        <w:drawing>
          <wp:inline xmlns:a="http://schemas.openxmlformats.org/drawingml/2006/main" xmlns:pic="http://schemas.openxmlformats.org/drawingml/2006/picture">
            <wp:extent cx="5577840" cy="2300275"/>
            <wp:docPr id="21" name="Picture 21" descr="Σχήμα 21: Σύνθεση των roots που ανέκαμψαν και των right-censored roots στην ανοχή 0,10." title="Σχήμα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Σύνθεση των roots που ανέκαμψαν και των right-censored roots στην ανοχή 0,10.</w:t>
      </w:r>
    </w:p>
    <w:p>
      <w:pPr>
        <w:keepNext/>
        <w:jc w:val="center"/>
      </w:pPr>
      <w:r>
        <w:drawing>
          <wp:inline xmlns:a="http://schemas.openxmlformats.org/drawingml/2006/main" xmlns:pic="http://schemas.openxmlformats.org/drawingml/2006/picture">
            <wp:extent cx="5577840" cy="5406865"/>
            <wp:docPr id="22" name="Picture 22" descr="Σχήμα 22: Προκαθορισμένες A−B συγκρίσεις για recovery status και restricted delay στον κύριο άξονα ανάκαμψης." title="Σχήμα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Προκαθορισμένες A−B συγκρίσεις για recovery status και restricted delay στον κύριο άξονα ανάκαμψης.</w:t>
      </w:r>
    </w:p>
    <w:p>
      <w:pPr>
        <w:keepNext/>
        <w:jc w:val="center"/>
      </w:pPr>
      <w:r>
        <w:drawing>
          <wp:inline xmlns:a="http://schemas.openxmlformats.org/drawingml/2006/main" xmlns:pic="http://schemas.openxmlformats.org/drawingml/2006/picture">
            <wp:extent cx="5577840" cy="2454782"/>
            <wp:docPr id="23" name="Picture 23" descr="Σχήμα 23: Καταγεγραμμένοι χρόνοι ανάκαμψης και επιβεβαίωσης· οι right-censored roots σημειώνονται στο horizon χωρίς κατασκευή ψευδούς χρόνου ανάκαμψης." title="Σχήμα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Καταγεγραμμένοι χρόνοι ανάκαμψης και επιβεβαίωσης· οι right-censored roots σημειώνονται στο horizon χωρίς κατασκευή ψευδούς χρόνου ανάκαμψης.</w:t>
      </w:r>
    </w:p>
    <w:p>
      <w:pPr>
        <w:pStyle w:val="Heading2"/>
      </w:pPr>
      <w:r>
        <w:t>Παράρτημα Γ — Τεκμήρια, ιχνηλασιμότητα και αναπαραγωγιμότητα</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t>Γ.1 Γραμμή εκτέλεσης</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descr="Σχήμα 24: Γραμμή ιχνηλασιμότητας του αποδεκτού evidence· η αποτυχημένη εκτέλεση 216 jobs παραμένει αποκλεισμένη." title="Σχήμα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Γραμμή ιχνηλασιμότητας του αποδεκτού evidence· η αποτυχημένη εκτέλεση 216 jobs παραμένει αποκλεισμένη.</w:t>
      </w:r>
    </w:p>
    <w:p>
      <w:pPr>
        <w:pStyle w:val="Heading3"/>
      </w:pPr>
      <w:r>
        <w:t>Γ.2 Παγωμένες ταυτότητες τεκμηρίων</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t>Γ.3 Ιχνηλασιμότητα βιβλιογραφίας</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t>27674a566ab55e4491b74243fe077a31ef81ae73</w:t>
      </w:r>
    </w:p>
    <w:p>
      <w:pPr>
        <w:spacing w:after="120" w:line="360" w:lineRule="auto"/>
        <w:ind w:firstLine="397"/>
        <w:jc w:val="both"/>
      </w:pPr>
      <w:r>
        <w:t>Το formal citation layer περιλαμβάνει 129 citation-ready sources. Η πλήρης research corpus περιλαμβάνει 601 canonical sources, 19 research materials και 281 indexed originals, αλλά formal thesis citations επιτρέπονται μόνο από το citation-ready manifest.</w:t>
      </w:r>
    </w:p>
    <w:p>
      <w:pPr>
        <w:pStyle w:val="Heading2"/>
      </w:pPr>
      <w:r>
        <w:t>Παράρτημα Δ — Αναπαραγωγή και λογισμικό περιβάλλον</w:t>
      </w:r>
    </w:p>
    <w:p>
      <w:pPr>
        <w:spacing w:after="120" w:line="360" w:lineRule="auto"/>
        <w:ind w:firstLine="397"/>
        <w:jc w:val="both"/>
      </w:pPr>
      <w:r>
        <w:rPr>
          <w:rFonts w:ascii="Times New Roman" w:hAnsi="Times New Roman" w:eastAsia="Times New Roman"/>
          <w:sz w:val="22"/>
        </w:rPr>
        <w:t>Η αναπαραγωγή της μελέτης βασίζεται στο ίδιο ελεγχόμενο λογισμικό και υπολογιστικό περιβάλλον που χρησιμοποιήθηκε στην τελική εκτέλεση. Η επιστημονική λογική παραμένει ανεξάρτητη από το γραφικό περιβάλλον και η ακεραιότητα των αποτελεσμάτων ελέγχεται μέσω των αποθηκευμένων πακέτων εκτέλεσης και των manifests.</w:t>
      </w:r>
    </w:p>
    <w:p>
      <w:pPr>
        <w:pStyle w:val="ListBullet"/>
        <w:spacing w:after="60" w:line="324" w:lineRule="auto"/>
        <w:ind w:left="369"/>
      </w:pPr>
      <w:r>
        <w:rPr>
          <w:rFonts w:ascii="Times New Roman" w:hAnsi="Times New Roman" w:eastAsia="Times New Roman"/>
          <w:sz w:val="22"/>
        </w:rPr>
        <w:t>Python 3.12 σε κλειδωμένο περιβάλλον uv,</w:t>
      </w:r>
    </w:p>
    <w:p>
      <w:pPr>
        <w:pStyle w:val="ListBullet"/>
        <w:spacing w:after="60" w:line="324" w:lineRule="auto"/>
        <w:ind w:left="369"/>
      </w:pPr>
      <w:r>
        <w:rPr>
          <w:rFonts w:ascii="Times New Roman" w:hAnsi="Times New Roman" w:eastAsia="Times New Roman"/>
          <w:sz w:val="22"/>
        </w:rPr>
        <w:t>επιστημονικός πυρήνας στο project-owned package src/resilient_agents/,</w:t>
      </w:r>
    </w:p>
    <w:p>
      <w:pPr>
        <w:pStyle w:val="ListBullet"/>
        <w:spacing w:after="60" w:line="324" w:lineRule="auto"/>
        <w:ind w:left="369"/>
      </w:pPr>
      <w:r>
        <w:rPr>
          <w:rFonts w:ascii="Times New Roman" w:hAnsi="Times New Roman" w:eastAsia="Times New Roman"/>
          <w:sz w:val="22"/>
        </w:rPr>
        <w:t>διαχωρισμένες και ντετερμινιστικές ροές τυχαιότητας (RNG),</w:t>
      </w:r>
    </w:p>
    <w:p>
      <w:pPr>
        <w:pStyle w:val="ListBullet"/>
        <w:spacing w:after="60" w:line="324" w:lineRule="auto"/>
        <w:ind w:left="369"/>
      </w:pPr>
      <w:r>
        <w:rPr>
          <w:rFonts w:ascii="Times New Roman" w:hAnsi="Times New Roman" w:eastAsia="Times New Roman"/>
          <w:sz w:val="22"/>
        </w:rPr>
        <w:t>κύκλος ζωής Study recipe/plan/store με ακριβή ιχνηλασιμότητα,</w:t>
      </w:r>
    </w:p>
    <w:p>
      <w:pPr>
        <w:pStyle w:val="ListBullet"/>
        <w:spacing w:after="60" w:line="324" w:lineRule="auto"/>
        <w:ind w:left="369"/>
      </w:pPr>
      <w:r>
        <w:rPr>
          <w:rFonts w:ascii="Times New Roman" w:hAnsi="Times New Roman" w:eastAsia="Times New Roman"/>
          <w:sz w:val="22"/>
        </w:rPr>
        <w:t>τα αποθηκευμένα πακέτα τεκμηρίων στο filesystem ως πηγή αλήθειας,</w:t>
      </w:r>
    </w:p>
    <w:p>
      <w:pPr>
        <w:pStyle w:val="ListBullet"/>
        <w:spacing w:after="60" w:line="324" w:lineRule="auto"/>
        <w:ind w:left="369"/>
      </w:pPr>
      <w:r>
        <w:rPr>
          <w:rFonts w:ascii="Times New Roman" w:hAnsi="Times New Roman" w:eastAsia="Times New Roman"/>
          <w:sz w:val="22"/>
        </w:rPr>
        <w:t>επικύρωση manifest και checksums,</w:t>
      </w:r>
    </w:p>
    <w:p>
      <w:pPr>
        <w:pStyle w:val="ListBullet"/>
        <w:spacing w:after="60" w:line="324" w:lineRule="auto"/>
        <w:ind w:left="369"/>
      </w:pPr>
      <w:r>
        <w:rPr>
          <w:rFonts w:ascii="Times New Roman" w:hAnsi="Times New Roman" w:eastAsia="Times New Roman"/>
          <w:sz w:val="22"/>
        </w:rPr>
        <w:t>read-only κατανάλωση της συγχρονισμένης βιβλιογραφίας της διπλωματικής.</w:t>
      </w:r>
    </w:p>
    <w:p>
      <w:pPr>
        <w:spacing w:after="120" w:line="360" w:lineRule="auto"/>
        <w:ind w:firstLine="397"/>
        <w:jc w:val="both"/>
      </w:pPr>
      <w:r>
        <w:rPr>
          <w:rFonts w:ascii="Times New Roman" w:hAnsi="Times New Roman" w:eastAsia="Times New Roman"/>
          <w:sz w:val="22"/>
        </w:rPr>
        <w:t>Η πλήρης υλοποίηση παραμένει διαθέσιμη στο repository της εργασίας. Στο παρόν παράρτημα καταγράφονται μόνο τα στοιχεία που είναι αναγκαία για την αναπαραγωγή και τον έλεγχο της επιστημονικής διαδικασίας, χωρίς εκτενή αποσπάσματα κώδικα.</w:t>
      </w:r>
    </w:p>
    <w:p>
      <w:r>
        <w:br w:type="page"/>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 w:type="paragraph" w:customStyle="1" w:styleId="GlossaryTerm">
    <w:name w:val="Glossary Term"/>
    <w:basedOn w:val="Normal"/>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Σύγκριση και Αξιολόγηση Ανθεκτικών Πρακτόρων Τεχνητής Νοημοσύνης σε Περιβάλλοντα με Αβεβαιότητα</dc:title>
  <dc:subject>Διπλωματική εργασία — ενισχυτική μάθηση, ανθεκτικότητα και προσαρμογή υπό αβεβαιότητα</dc:subject>
  <dc:creator/>
  <cp:keywords>reinforcement learning; resilient AI agents; non-stationarity; adaptation; recovery</cp:keywords>
  <dc:description/>
  <cp:lastModifiedBy/>
  <cp:revision>1</cp:revision>
  <dcterms:created xsi:type="dcterms:W3CDTF">2026-09-03T00:00:00Z</dcterms:created>
  <dcterms:modified xsi:type="dcterms:W3CDTF">2026-09-03T00:00:00Z</dcterms:modified>
  <cp:category>Diploma Thesis</cp:category>
</cp:coreProperties>
</file>