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συγκρίνει πέντε μεθόδους ενισχυτικής μάθησης — Q-Learning, SARSA, Deep Q-Network (DQN), Proximal Policy Optimization (PPO) και Dyna-Q+ — σε ένα ελεγχόμενο περιβάλλον GridWorld. Στόχος είναι να εξεταστεί όχι μόνο πόσο καλά μαθαίνουν σε κανονικές συνθήκες, αλλά και πώς επηρεάζονται όταν το περιβάλλον μεταβάλλεται μετά την αρχική εκπαίδευση και αν η συνέχιση της μάθησης βοηθά στην προσαρμογή τους.</w:t>
      </w:r>
    </w:p>
    <w:p>
      <w:pPr>
        <w:spacing w:after="120" w:line="360" w:lineRule="auto"/>
        <w:ind w:firstLine="397"/>
        <w:jc w:val="both"/>
      </w:pPr>
      <w:r>
        <w:rPr>
          <w:rFonts w:ascii="Times New Roman" w:hAnsi="Times New Roman" w:eastAsia="Times New Roman"/>
          <w:sz w:val="22"/>
        </w:rPr>
        <w:t>Η αξιολόγηση πραγματοποιείται σε δύο διαφορετικές διατάξεις του GridWorld και σε δώδεκα ανεξάρτητες επαναλήψεις. Μετά την αρχική εκπαίδευση εξετάζονται μόνιμες αλλαγές στη σημασία των ενεργειών, τυχαία αποτυχία ενεργειών και αλλοίωση παρατηρήσεων. Για τις βασικές συγκρίσεις χρησιμοποιούνται κοινές πραγματικές αλληλεπιδράσεις με το περιβάλλον και παρουσιάζονται μέσες τιμές μαζί με διαστήματα αβεβαιότητας.</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επίπεδο στις κανονικές συνθήκες, με τη Dyna-Q+ να αξιοποιεί ταχύτερα το διαθέσιμο πλήθος αλληλεπιδράσεων. Στις μόνιμες αλλαγές ενεργειών, η συνέχιση της μάθησης είναι ιδιαίτερα ωφέλιμη για Q-Learning και SARSA και επίσης θετική για Dyna-Q+, ενώ στις υπόλοιπες μορφές αβεβαιότητας το όφελος δεν είναι σταθερό. Ως προς την ανάκαμψη μετά από μόνιμη αλλαγή, Q-Learning και SARSA εμφανίζουν τη μεγαλύτερη συνέπεια. Συνεπώς, η ανθεκτικότητα ενός πράκτορα εξαρτάται τόσο από τη μέθοδο όσο και από το είδος της μεταβολής και δεν αποδίδεται σωστά με μία μόνο συνολική κατάταξη.</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compares five reinforcement-learning methods — Q-Learning, SARSA, Deep Q-Network (DQN), Proximal Policy Optimization (PPO), and Dyna-Q+ — in a controlled GridWorld environment. The aim is to examine both nominal learning and the behaviour of the agents when the environment changes after initial training, including whether continued learning helps them adapt.</w:t>
      </w:r>
    </w:p>
    <w:p>
      <w:pPr>
        <w:spacing w:after="120" w:line="360" w:lineRule="auto"/>
        <w:ind w:firstLine="397"/>
        <w:jc w:val="both"/>
      </w:pPr>
      <w:r>
        <w:rPr>
          <w:rFonts w:ascii="Times New Roman" w:hAnsi="Times New Roman" w:eastAsia="Times New Roman"/>
          <w:sz w:val="22"/>
        </w:rPr>
        <w:t>The evaluation uses two GridWorld layouts and twelve independent repetitions. After nominal training, the agents are evaluated under persistent action remapping, stochastic action failure, and observation corruption. The main comparisons use a common budget of real environment interactions and report mean performance together with uncertainty intervals.</w:t>
      </w:r>
    </w:p>
    <w:p>
      <w:pPr>
        <w:spacing w:after="120" w:line="360" w:lineRule="auto"/>
        <w:ind w:firstLine="397"/>
        <w:jc w:val="both"/>
      </w:pPr>
      <w:r>
        <w:rPr>
          <w:rFonts w:ascii="Times New Roman" w:hAnsi="Times New Roman" w:eastAsia="Times New Roman"/>
          <w:sz w:val="22"/>
        </w:rPr>
        <w:t>The results show that Q-Learning, SARSA, and Dyna-Q+ reach the same final nominal level, while Dyna-Q+ uses the available interaction budget more efficiently during learning. Continued learning is especially beneficial for Q-Learning and SARSA under persistent action remapping and is also beneficial for Dyna-Q+, but its effect is not consistently positive under the other uncertainty conditions. Q-Learning and SARSA also show the most consistent recovery after persistent changes. Overall, the findings indicate that resilience depends on both the learning method and the type of environmental change and should not be reduced to a single overall ranking.</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Γλωσσάριο και Ακρωνύμια</w:t>
        <w:br/>
        <w:t xml:space="preserve">    Ακρωνύμια</w:t>
        <w:br/>
        <w:t xml:space="preserve">    Βασικοί όροι</w:t>
        <w:br/>
        <w:t xml:space="preserve">Κεφάλαιο 1 — Εισαγωγή</w:t>
        <w:br/>
        <w:t xml:space="preserve">    1.1 Αντικείμενο και κίνητρο</w:t>
        <w:br/>
        <w:t xml:space="preserve">    1.2 Σκοπός και μέθοδοι</w:t>
        <w:br/>
        <w:t xml:space="preserve">    1.3 Ερευνητικά ερωτήματα</w:t>
        <w:br/>
        <w:t xml:space="preserve">    1.4 Γενική προσέγγιση</w:t>
        <w:br/>
        <w:t xml:space="preserve">    1.5 Συνεισφορά και όρια</w:t>
        <w:br/>
        <w:t xml:space="preserve">    1.6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προσαρμογή</w:t>
        <w:br/>
        <w:t xml:space="preserve">    2.8 Αξιόπιστη εμπειρική σύγκριση</w:t>
        <w:br/>
        <w:t xml:space="preserve">    2.9 Θέση της παρούσας εργασίας</w:t>
        <w:br/>
        <w:t xml:space="preserve">Κεφάλαιο 3 — Μεθοδολογία και Πειραματικός Σχεδιασμός</w:t>
        <w:br/>
        <w:t xml:space="preserve">    3.1 Σχεδιασμός της μελέτης</w:t>
        <w:br/>
        <w:t xml:space="preserve">    3.2 Το περιβάλλον GridWorld</w:t>
        <w:br/>
        <w:t xml:space="preserve">    3.3 Μέθοδοι που αξιολογούνται</w:t>
        <w:br/>
        <w:t xml:space="preserve">    3.4 Αρχική εκπαίδευση και αξιολόγηση μετά τη μεταβολή</w:t>
        <w:br/>
        <w:t xml:space="preserve">    3.5 Μεταβολές του περιβάλλοντος</w:t>
        <w:br/>
        <w:t xml:space="preserve">    3.6 Μετρήσεις για τα τρία ερευνητικά ερωτήματα</w:t>
        <w:br/>
        <w:t xml:space="preserve">    3.7 Επαναλήψεις και στατιστική σύνοψη</w:t>
        <w:br/>
        <w:t xml:space="preserve">    3.8 Αναπαραγωγιμότητα</w:t>
        <w:br/>
        <w:t xml:space="preserve">Κεφάλαιο 4 — Αρχιτεκτονική και Υλοποίηση του Συστήματος</w:t>
        <w:br/>
        <w:t xml:space="preserve">    4.1 Στόχος της υλοποίησης</w:t>
        <w:br/>
        <w:t xml:space="preserve">    4.2 Βασικά μέρη του συστήματος</w:t>
        <w:br/>
        <w:t xml:space="preserve">    4.3 Ροή ενός πειράματος</w:t>
        <w:br/>
        <w:t xml:space="preserve">    4.4 Desktop εφαρμογή</w:t>
        <w:br/>
        <w:t xml:space="preserve">    4.5 Αποθήκευση και αναπαραγωγιμότητα</w:t>
        <w:br/>
        <w:t xml:space="preserve">    4.6 Σύνοψη υλοποίησης</w:t>
        <w:br/>
        <w:t xml:space="preserve">Κεφάλαιο 5 — Πειραματικά Αποτελέσματα</w:t>
        <w:br/>
        <w:t xml:space="preserve">    5.1 Τρόπος παρουσίασης</w:t>
        <w:br/>
        <w:t xml:space="preserve">    5.2 RQ1 — Ονομαστική μάθηση</w:t>
        <w:br/>
        <w:t xml:space="preserve">        5.2.1 Τελική επίδοση</w:t>
        <w:br/>
        <w:t xml:space="preserve">        5.2.2 Πορεία της μάθησης</w:t>
        <w:br/>
        <w:t xml:space="preserve">    5.3 RQ2 — Επίδραση της online προσαρμογής</w:t>
        <w:br/>
        <w:t xml:space="preserve">        5.3.1 Συνολική εικόνα ανά συνθήκη</w:t>
        <w:br/>
        <w:t xml:space="preserve">    5.4 RQ3 — Ανάκαμψη μετά από μόνιμη αλλαγή</w:t>
        <w:br/>
        <w:t xml:space="preserve">        5.4.1 Ανάκαμψη στις δύο μόνιμες αλλαγές</w:t>
        <w:br/>
        <w:t xml:space="preserve">    5.5 Συνολική εικόνα</w:t>
        <w:br/>
        <w:t xml:space="preserve">Κεφάλαιο 6 — Συζήτηση</w:t>
        <w:br/>
        <w:t xml:space="preserve">    6.1 Τι δείχνει συνολικά η μελέτη</w:t>
        <w:br/>
        <w:t xml:space="preserve">    6.2 Ονομαστική μάθηση</w:t>
        <w:br/>
        <w:t xml:space="preserve">    6.3 Η προσαρμογή εξαρτάται από τη διαταραχή</w:t>
        <w:br/>
        <w:t xml:space="preserve">    6.4 Ανάκαμψη μετά από μόνιμη αλλαγή</w:t>
        <w:br/>
        <w:t xml:space="preserve">    6.5 Περιορισμοί</w:t>
        <w:br/>
        <w:t xml:space="preserve">    6.6 Πρακτική αποτίμηση</w:t>
        <w:br/>
        <w:t xml:space="preserve">Κεφάλαιο 7 — Συμπεράσματα και Μελλοντική Εργασία</w:t>
        <w:br/>
        <w:t xml:space="preserve">    7.1 Συνοπτική αποτίμηση</w:t>
        <w:br/>
        <w:t xml:space="preserve">    7.2 Απάντηση στα ερευνητικά ερωτήματα</w:t>
        <w:br/>
        <w:t xml:space="preserve">    7.3 Κύριο συμπέρασμα</w:t>
        <w:br/>
        <w:t xml:space="preserve">    7.4 Μελλοντικές επεκτάσεις</w:t>
        <w:br/>
        <w:t xml:space="preserve">    7.5 Τελικό όριο</w:t>
        <w:br/>
        <w:t xml:space="preserve">Βιβλιογραφία</w:t>
        <w:br/>
        <w:t xml:space="preserve">Παραρτήματα</w:t>
        <w:br/>
        <w:t xml:space="preserve">    Παράρτημα Α — Παγωμένο πειραματικό συμβόλαιο</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συμβόλαιο ανάκαμψης</w:t>
        <w:br/>
        <w:t xml:space="preserve">    Παράρτημα Β — Πλήρη αποτελέσματα και διαγνωστικά ανά ερευνητικό ερώτημα</w:t>
        <w:br/>
        <w:t xml:space="preserve">        Β.0 Συμπληρωματικά αποτελέσματα ανάκαμψης</w:t>
        <w:br/>
        <w:t xml:space="preserve">        Β.1 RQ1</w:t>
        <w:br/>
        <w:t xml:space="preserve">        Β.2 RQ2</w:t>
        <w:br/>
        <w:t xml:space="preserve">        Β.3 RQ3</w:t>
        <w:br/>
        <w:t xml:space="preserve">    Παράρτημα Γ — Τεκμήρια, ιχνηλασιμότητα και αναπαραγωγιμότητα</w:t>
        <w:br/>
        <w:t xml:space="preserve">        Γ.1 Γραμμή εκτέλεσης</w:t>
        <w:br/>
        <w:t xml:space="preserve">        Γ.2 Παγωμένες ταυτότητες τεκμηρίων</w:t>
        <w:br/>
        <w:t xml:space="preserve">        Γ.3 Ιχνηλασιμότητα βιβλιογραφίας</w:t>
        <w:br/>
        <w:t xml:space="preserve">    Παράρτημα Δ — Αναπαραγωγή και λογισμικό περιβάλλον</w:t>
        <w:fldChar w:fldCharType="end"/>
      </w:r>
    </w:p>
    <w:p>
      <w:pPr>
        <w:pStyle w:val="Heading1"/>
        <w:pageBreakBefore/>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Ροή του πειραματικού πρωτοκόλλου· τα ακριβή checkpoints προηγούνται των αντιστοιχισμένων κλάδων FN/FD/AN/AD.</w:t>
        <w:br/>
        <w:t xml:space="preserve">Σχήμα 2 — Αντιστοίχιση κάθε ερευνητικού ερωτήματος στα προκαθορισμένα μεγέθη εκτίμησης και στα καταγεγραμμένα αποτελέσματα.</w:t>
        <w:br/>
        <w:t xml:space="preserve">Σχήμα 3 — Τελική ονομαστική απόδοση ανά μέθοδο με σημειακά διαστήματα Student-t 95% σε 12 ανεξάρτητες επαναλήψεις.</w:t>
        <w:br/>
        <w:t xml:space="preserve">Σχήμα 4 — Μέση απόδοση στον άξονα αλληλεπιδράσεων, ξεχωριστά από την τελική επίδοση.</w:t>
        <w:br/>
        <w:t xml:space="preserve">Σχήμα 5 — Όφελος προσαρμογής ανά μέθοδο και συνθήκη· θετική τιμή σημαίνει μικρότερη απώλεια στην Adaptive από ό,τι στην Frozen εκτέλεση.</w:t>
        <w:br/>
        <w:t xml:space="preserve">Σχήμα 6 — Η απώλεια στην Frozen και στην Adaptive εκτέλεση παρουσιάζεται ως δύο διακριτά μεγέθη.</w:t>
        <w:br/>
        <w:t xml:space="preserve">Σχήμα 7 — Όφελος προσαρμογής ανά συνθήκη σε μικρά πολλαπλά γραφήματα με κοινές κλίμακες.</w:t>
        <w:br/>
        <w:t xml:space="preserve">Σχήμα 8 — Καταγεγραμμένες τροχιές κατευθυνόμενης απόκλισης ανά root για την κύρια οικογένεια action-remap· η διακεκομμένη γραμμή αντιστοιχεί στην ανοχή 0,10.</w:t>
        <w:br/>
        <w:t xml:space="preserve">Σχήμα 9 — Αναλογία roots που πέτυχαν σταθερή ανάκαμψη στην κύρια ανοχή 0,10· οι υπόλοιπες παραμένουν δεξιά λογοκριμένες (right-censored).</w:t>
        <w:br/>
        <w:t xml:space="preserve">Σχήμα 10 — Περιορισμένος χρόνος καθυστέρησης ανάκαμψης έως το όριο των 256 αλληλεπιδράσεων, με ρητή διατήρηση της λογοκρισίας.</w:t>
        <w:br/>
        <w:t xml:space="preserve">Σχήμα 11 — Παρατηρούμενος χρόνος ανάκαμψης μόνο μεταξύ των roots που ανέκαμψαν· το εμφανιζόμενο n αποκλείει τις right-censored roots.</w:t>
        <w:br/>
        <w:t xml:space="preserve">Σχήμα 12 — Προκαθορισμένη ανάλυση ευαισθησίας για ανοχές 0,05/0,10/0,20· κύρια ανοχή παραμένει το 0,10.</w:t>
        <w:br/>
        <w:t xml:space="preserve">Σχήμα 13 — Κατανομή τελικής ονομαστικής απόδοσης ανά root μετά από ισότιμη μείωση ως προς τα layouts.</w:t>
        <w:br/>
        <w:t xml:space="preserve">Σχήμα 14 — Κατανομή της μέσης απόδοσης στον άξονα αλληλεπιδράσεων ανά root μετά από ισότιμη μείωση ως προς τα layouts.</w:t>
        <w:br/>
        <w:t xml:space="preserve">Σχήμα 15 — Προκαθορισμένες paired συγκρίσεις A−B ανά root· τα διαστήματα είναι περιγραφικά σημειακά t intervals.</w:t>
        <w:br/>
        <w:t xml:space="preserve">Σχήμα 16 — Κατανομές του οφέλους προσαρμογής ανά root, μέθοδο και συνθήκη.</w:t>
        <w:br/>
        <w:t xml:space="preserve">Σχήμα 17 — Αριθμητικός θερμικός χάρτης του μέσου καταγεγραμμένου οφέλους προσαρμογής· υψηλότερη τιμή σημαίνει μεγαλύτερο όφελος.</w:t>
        <w:br/>
        <w:t xml:space="preserve">Σχήμα 18 — Όλες οι προκαθορισμένες paired συγκρίσεις A−B του RQ2 ανά συνθήκη και estimand.</w:t>
        <w:br/>
        <w:t xml:space="preserve">Σχήμα 19 — Paired διαγνωστικά Frozen-to-Adaptive ανά root· οι συνδετικές γραμμές δεν ορίζουν πρόσθετο estimand.</w:t>
        <w:br/>
        <w:t xml:space="preserve">Σχήμα 20 — Αναλυτικές καταγεγραμμένες τροχιές ανά root, μέθοδο και κύρια συνθήκη· δεν εφαρμόζεται averaging μεταξύ τροχιών.</w:t>
        <w:br/>
        <w:t xml:space="preserve">Σχήμα 21 — Σύνθεση των roots που ανέκαμψαν και των right-censored roots στην ανοχή 0,10.</w:t>
        <w:br/>
        <w:t xml:space="preserve">Σχήμα 22 — Προκαθορισμένες A−B συγκρίσεις για recovery status και restricted delay στον κύριο άξονα ανάκαμψης.</w:t>
        <w:br/>
        <w:t xml:space="preserve">Σχήμα 23 — Καταγεγραμμένοι χρόνοι ανάκαμψης και επιβεβαίωσης· οι right-censored roots σημειώνονται στο horizon χωρίς κατασκευή ψευδούς χρόνου ανάκαμψης.</w:t>
        <w:br/>
        <w:t xml:space="preserve">Σχήμα 24 — Γραμμή ιχνηλασιμότητας του αποδεκτού evidence· η αποτυχημένη εκτέλεση 216 jobs παραμένει αποκλεισμένη.</w:t>
        <w:fldChar w:fldCharType="end"/>
      </w:r>
    </w:p>
    <w:p>
      <w:pPr>
        <w:pStyle w:val="Heading1"/>
        <w:pageBreakBefore/>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Μέσες τιμές οφέλους προσαρμογής και σημειακά διαστήματα 95% ανά συνθήκη.</w:t>
        <w:br/>
        <w:t xml:space="preserve">Πίνακας 2 — Αναλογία σταθερής ανάκαμψης στις ανοχές 0,05/0,10/0,20 για τις δύο συνθήκες ανααντιστοίχισης.</w:t>
        <w:br/>
        <w:t xml:space="preserve">Πίνακας 3 — Τελικές ρυθμίσεις των πέντε μεθόδων στο protocol-v2.1.</w:t>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t>Κεφάλαιο 1 — Εισαγωγή</w:t>
      </w:r>
    </w:p>
    <w:p>
      <w:pPr>
        <w:pStyle w:val="Heading2"/>
      </w:pPr>
      <w:r>
        <w:t>1.1 Αντικείμενο και κίνητρο</w:t>
      </w:r>
    </w:p>
    <w:p>
      <w:pPr>
        <w:spacing w:after="120" w:line="360" w:lineRule="auto"/>
        <w:ind w:firstLine="397"/>
        <w:jc w:val="both"/>
      </w:pPr>
      <w:r>
        <w:rPr>
          <w:rFonts w:ascii="Times New Roman" w:hAnsi="Times New Roman" w:eastAsia="Times New Roman"/>
          <w:sz w:val="22"/>
        </w:rPr>
        <w:t>Η ενισχυτική μάθηση (Reinforcement Learning, RL) επιτρέπει σε έναν πράκτορα να μαθαίνει μέσω αλληλεπίδρασης με το περιβάλλον, επιλέγοντας ενέργειες και λαμβάνοντας ανταμοιβές [1]. Πολλές κλασικές προσεγγίσεις εξετάζονται σε περιβάλλοντα των οποίων η συμπεριφορά παραμένει σχετικά σταθερή. Στην πράξη, όμως, ένα σύστημα μπορεί να αλλάξει μετά την εκπαίδευση: μια ενέργεια μπορεί να έχει διαφορετικό αποτέλεσμα, ένας αισθητήρας να δίνει περιστασιακά λανθασμένη πληροφορία ή μια ενέργεια να αποτυγχάνει.</w:t>
      </w:r>
    </w:p>
    <w:p>
      <w:pPr>
        <w:spacing w:after="120" w:line="360" w:lineRule="auto"/>
        <w:ind w:firstLine="397"/>
        <w:jc w:val="both"/>
      </w:pPr>
      <w:r>
        <w:rPr>
          <w:rFonts w:ascii="Times New Roman" w:hAnsi="Times New Roman" w:eastAsia="Times New Roman"/>
          <w:sz w:val="22"/>
        </w:rPr>
        <w:t>Η αλλαγή αυτή δημιουργεί ένα πρακτικό ερώτημα. Δεν αρκεί ένας πράκτορας να αποδίδει καλά πριν από τη μεταβολή· έχει σημασία πόσο επηρεάζεται και αν μπορεί να προσαρμοστεί όταν συνεχίζει να μαθαίνει. Η βιβλιογραφία για μη στάσιμα και συνεχή περιβάλλοντα επισημαίνει ότι η προσαρμογή δεν είναι αυτόματη και ότι η νέα εμπειρία μπορεί να συγκρούεται με όσα έχουν ήδη μαθευτεί [2], [3], [4].</w:t>
      </w:r>
    </w:p>
    <w:p>
      <w:pPr>
        <w:spacing w:after="120" w:line="360" w:lineRule="auto"/>
        <w:ind w:firstLine="397"/>
        <w:jc w:val="both"/>
      </w:pPr>
      <w:r>
        <w:rPr>
          <w:rFonts w:ascii="Times New Roman" w:hAnsi="Times New Roman" w:eastAsia="Times New Roman"/>
          <w:sz w:val="22"/>
        </w:rPr>
        <w:t>Η παρούσα εργασία εξετάζει αυτό το πρόβλημα με ελεγχόμενο τρόπο. Το GridWorld λειτουργεί ως ελεγχόμενο περιβάλλον δοκιμών και όχι ως αυτοσκοπός της εργασίας. Η απλότητά του επιτρέπει να αλλάζει ένας παράγοντας κάθε φορά και να συγκρίνονται οι μέθοδοι κάτω από τις ίδιες βασικές συνθήκες.</w:t>
      </w:r>
    </w:p>
    <w:p>
      <w:pPr>
        <w:pStyle w:val="Heading2"/>
      </w:pPr>
      <w:r>
        <w:t>1.2 Σκοπός και μέθοδοι</w:t>
      </w:r>
    </w:p>
    <w:p>
      <w:pPr>
        <w:spacing w:after="120" w:line="360" w:lineRule="auto"/>
        <w:ind w:firstLine="397"/>
        <w:jc w:val="both"/>
      </w:pPr>
      <w:r>
        <w:rPr>
          <w:rFonts w:ascii="Times New Roman" w:hAnsi="Times New Roman" w:eastAsia="Times New Roman"/>
          <w:sz w:val="22"/>
        </w:rPr>
        <w:t>Σκοπός είναι η σύγκριση και αξιολόγηση πέντε διαφορετικών μεθόδων RL όταν το περιβάλλον παραμένει κανονικό και όταν μεταβάλλεται μετά την αρχική μάθηση. Οι μέθοδοι είναι:</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Η επιλογή τους καλύπτει διαφορετικές προσεγγίσεις: κλασικές tabular μεθόδους, deep value learning, policy optimization και model-based planning. Η εργασία δεν επιχειρεί να αποδείξει ότι κάποια μέθοδος είναι γενικά καλύτερη από όλες τις άλλες. Η σύγκριση αφορά το συγκεκριμένο ελεγχόμενο πρόβλημα, το ίδιο διαθέσιμο πλήθος πραγματικών αλληλεπιδράσεων και τις συγκεκριμένες τελικές ρυθμίσεις των μεθόδων.</w:t>
      </w:r>
    </w:p>
    <w:p>
      <w:pPr>
        <w:pStyle w:val="Heading2"/>
      </w:pPr>
      <w:r>
        <w:t>1.3 Ερευνητικά ερωτήματα</w:t>
      </w:r>
    </w:p>
    <w:p>
      <w:pPr>
        <w:spacing w:after="120" w:line="360" w:lineRule="auto"/>
        <w:ind w:firstLine="397"/>
        <w:jc w:val="both"/>
      </w:pPr>
      <w:r>
        <w:rPr>
          <w:rFonts w:ascii="Times New Roman" w:hAnsi="Times New Roman" w:eastAsia="Times New Roman"/>
          <w:sz w:val="22"/>
        </w:rPr>
        <w:t>Η αξιολόγηση οργανώνεται γύρω από τρία ερωτήματα:</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b/>
          <w:sz w:val="22"/>
        </w:rPr>
        <w:t>RQ1 — Ονομαστική μάθηση:</w:t>
      </w:r>
      <w:r>
        <w:rPr>
          <w:rFonts w:ascii="Times New Roman" w:hAnsi="Times New Roman" w:eastAsia="Times New Roman"/>
          <w:sz w:val="22"/>
        </w:rPr>
        <w:t xml:space="preserve"> Πώς συγκρίνονται οι πέντε μέθοδοι όταν το περιβάλλον δεν έχει αλλάξει, τόσο ως προς την τελική επίδοση όσο και ως προς την πορεία της μάθησης;</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b/>
          <w:sz w:val="22"/>
        </w:rPr>
        <w:t>RQ2 — Προσαρμογή μετά από μεταβολή:</w:t>
      </w:r>
      <w:r>
        <w:rPr>
          <w:rFonts w:ascii="Times New Roman" w:hAnsi="Times New Roman" w:eastAsia="Times New Roman"/>
          <w:sz w:val="22"/>
        </w:rPr>
        <w:t xml:space="preserve"> Πόσο επηρεάζεται κάθε μέθοδος από διαφορετικές διαταραχές και πόσο βοηθά η συνέχιση της μάθησης σε σχέση με την απλή χρήση της ήδη εκπαιδευμένης πολιτικής;</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b/>
          <w:sz w:val="22"/>
        </w:rPr>
        <w:t>RQ3 — Ανάκαμψη:</w:t>
      </w:r>
      <w:r>
        <w:rPr>
          <w:rFonts w:ascii="Times New Roman" w:hAnsi="Times New Roman" w:eastAsia="Times New Roman"/>
          <w:sz w:val="22"/>
        </w:rPr>
        <w:t xml:space="preserve"> Μετά από μια μόνιμη αλλαγή στη σημασία των ενεργειών, ποιες μέθοδοι επιστρέφουν σταθερά κοντά στην αντίστοιχη κανονική τους επίδοση και πόσο χρόνο χρειάζονται;</w:t>
      </w:r>
    </w:p>
    <w:p>
      <w:pPr>
        <w:spacing w:after="120" w:line="360" w:lineRule="auto"/>
        <w:ind w:firstLine="397"/>
        <w:jc w:val="both"/>
      </w:pPr>
      <w:r>
        <w:rPr>
          <w:rFonts w:ascii="Times New Roman" w:hAnsi="Times New Roman" w:eastAsia="Times New Roman"/>
          <w:sz w:val="22"/>
        </w:rPr>
        <w:t>Τα τρία ερωτήματα εξετάζονται χωριστά, επειδή μια μέθοδος μπορεί να μαθαίνει γρήγορα σε κανονικές συνθήκες αλλά να προσαρμόζεται αργά μετά από αλλαγή, ή αντίστροφα.</w:t>
      </w:r>
    </w:p>
    <w:p>
      <w:pPr>
        <w:pStyle w:val="Heading2"/>
      </w:pPr>
      <w:r>
        <w:t>1.4 Γενική προσέγγιση</w:t>
      </w:r>
    </w:p>
    <w:p>
      <w:pPr>
        <w:spacing w:after="120" w:line="360" w:lineRule="auto"/>
        <w:ind w:firstLine="397"/>
        <w:jc w:val="both"/>
      </w:pPr>
      <w:r>
        <w:rPr>
          <w:rFonts w:ascii="Times New Roman" w:hAnsi="Times New Roman" w:eastAsia="Times New Roman"/>
          <w:sz w:val="22"/>
        </w:rPr>
        <w:t>Η μελέτη χρησιμοποιεί δύο διαφορετικές τελικές διατάξεις GridWorld και δώδεκα ανεξάρτητες επαναλήψεις. Αρχικά κάθε μέθοδος εκπαιδεύεται σε κανονικές συνθήκες. Στη συνέχεια, από το ίδιο εκπαιδευμένο σημείο εκκίνησης, εξετάζεται η συμπεριφορά της με και χωρίς διαταραχή και με τη μάθηση ενεργοποιημένη ή απενεργοποιημένη. Με αυτόν τον τρόπο η επίδραση της μεταβολής μπορεί να διαχωριστεί από την επίδραση που έχει από μόνη της η συνέχιση της μάθησης.</w:t>
      </w:r>
    </w:p>
    <w:p>
      <w:pPr>
        <w:spacing w:after="120" w:line="360" w:lineRule="auto"/>
        <w:ind w:firstLine="397"/>
        <w:jc w:val="both"/>
      </w:pPr>
      <w:r>
        <w:rPr>
          <w:rFonts w:ascii="Times New Roman" w:hAnsi="Times New Roman" w:eastAsia="Times New Roman"/>
          <w:sz w:val="22"/>
        </w:rPr>
        <w:t>Οι μεταβολές περιλαμβάνουν δύο μόνιμες ανααντιστοιχίσεις ενεργειών, πιθανότητα αποτυχίας ενέργειας 15% και αλλοίωση παρατήρησης 5%. Τα αποτελέσματα συνοψίζονται ανά ανεξάρτητη επανάληψη και παρουσιάζονται με μέσες τιμές και διαστήματα 95%, ώστε η σύγκριση να μην βασίζεται σε μία μόνο τυχαία εκτέλεση [5], [6].</w:t>
      </w:r>
    </w:p>
    <w:p>
      <w:pPr>
        <w:spacing w:after="120" w:line="360" w:lineRule="auto"/>
        <w:ind w:firstLine="397"/>
        <w:jc w:val="both"/>
      </w:pPr>
      <w:r>
        <w:rPr>
          <w:rFonts w:ascii="Times New Roman" w:hAnsi="Times New Roman" w:eastAsia="Times New Roman"/>
          <w:sz w:val="22"/>
        </w:rPr>
        <w:t>Η επιλογή ενός μικρού και πλήρως ελεγχόμενου περιβάλλοντος είναι σκόπιμη. Σε ένα μεγαλύτερο benchmark θα ήταν δυσκολότερο να διαχωριστεί αν μια μεταβολή της επίδοσης προέρχεται από τον ίδιο τον μηχανισμό της διαταραχής, από την πολυπλοκότητα του περιβάλλοντος ή από τη στοχαστικότητα της εκπαίδευσης. Στο GridWorld μπορούν να οριστούν με σαφήνεια η αρχική κατάσταση, ο στόχος, τα εμπόδια, οι διαθέσιμες ενέργειες και το ακριβές σημείο στο οποίο αλλάζει η συμπεριφορά του περιβάλλοντος. Έτσι η εργασία εστιάζει στο ερώτημα που την ενδιαφέρει: πώς αντιδρούν διαφορετικοί μηχανισμοί μάθησης όταν οι συνθήκες που είχαν μάθει παύουν να ισχύουν.</w:t>
      </w:r>
    </w:p>
    <w:p>
      <w:pPr>
        <w:spacing w:after="120" w:line="360" w:lineRule="auto"/>
        <w:ind w:firstLine="397"/>
        <w:jc w:val="both"/>
      </w:pPr>
      <w:r>
        <w:rPr>
          <w:rFonts w:ascii="Times New Roman" w:hAnsi="Times New Roman" w:eastAsia="Times New Roman"/>
          <w:sz w:val="22"/>
        </w:rPr>
        <w:t>Η σύγκριση πέντε μεθόδων έχει επίσης εφαρμοστικό χαρακτήρα. Οι Q-Learning και SARSA δείχνουν τη συμπεριφορά κλασικών tabular προσεγγίσεων, η DQN και η PPO εισάγουν νευρωνική προσέγγιση και βελτιστοποίηση πολιτικής, ενώ η Dyna-Q+ προσθέτει μαθημένο μοντέλο και planning. Δεν πρόκειται για πέντε παραλλαγές του ίδιου αλγορίθμου αλλά για διαφορετικούς τρόπους αξιοποίησης της εμπειρίας. Αυτό κάνει τη σύγκριση πιο χρήσιμη για την κατανόηση των μηχανισμών, χωρίς να απαιτεί να καλυφθεί ολόκληρο το πεδίο της ενισχυτικής μάθησης.</w:t>
      </w:r>
    </w:p>
    <w:p>
      <w:pPr>
        <w:spacing w:after="120" w:line="360" w:lineRule="auto"/>
        <w:ind w:firstLine="397"/>
        <w:jc w:val="both"/>
      </w:pPr>
      <w:r>
        <w:rPr>
          <w:rFonts w:ascii="Times New Roman" w:hAnsi="Times New Roman" w:eastAsia="Times New Roman"/>
          <w:sz w:val="22"/>
        </w:rPr>
        <w:t>Ένα ακόμη πρακτικό στοιχείο της εργασίας είναι ότι η πειραματική διαδικασία δεν περιορίζεται σε scripts που παράγουν τελικά αρχεία. Υλοποιήθηκε desktop εφαρμογή που παρουσιάζει τη δομή του πειράματος, την πορεία μιας εκτέλεσης, το GridWorld και τα αποθηκευμένα αποτελέσματα. Η εφαρμογή δεν αντικαθιστά την επιστημονική ανάλυση, αλλά κάνει το σύστημα ευκολότερο να επιθεωρηθεί και να παρουσιαστεί. Με αυτόν τον τρόπο η εργασία συνδυάζει πειραματική αξιολόγηση και ολοκληρωμένη υλοποίηση λογισμικού, όπως είναι συνηθισμένο σε μια εφαρμοσμένη διπλωματική.</w:t>
      </w:r>
    </w:p>
    <w:p>
      <w:pPr>
        <w:pStyle w:val="Heading2"/>
      </w:pPr>
      <w:r>
        <w:t>1.5 Συνεισφορά και όρια</w:t>
      </w:r>
    </w:p>
    <w:p>
      <w:pPr>
        <w:spacing w:after="120" w:line="360" w:lineRule="auto"/>
        <w:ind w:firstLine="397"/>
        <w:jc w:val="both"/>
      </w:pPr>
      <w:r>
        <w:rPr>
          <w:rFonts w:ascii="Times New Roman" w:hAnsi="Times New Roman" w:eastAsia="Times New Roman"/>
          <w:sz w:val="22"/>
        </w:rPr>
        <w:t>Η κύρια συνεισφορά της εργασίας είναι η υλοποίηση μιας ολοκληρωμένης και αναπαραγώγιμης σύγκρισης πέντε διαφορετικών μηχανισμών RL πριν και μετά από ελεγχόμενες μεταβολές του περιβάλλοντος. Παράλληλα, αναπτύχθηκε desktop εφαρμογή για την εκτέλεση, παρακολούθηση και επιθεώρηση των πειραμάτων και των αποθηκευμένων αποτελεσμάτων.</w:t>
      </w:r>
    </w:p>
    <w:p>
      <w:pPr>
        <w:spacing w:after="120" w:line="360" w:lineRule="auto"/>
        <w:ind w:firstLine="397"/>
        <w:jc w:val="both"/>
      </w:pPr>
      <w:r>
        <w:rPr>
          <w:rFonts w:ascii="Times New Roman" w:hAnsi="Times New Roman" w:eastAsia="Times New Roman"/>
          <w:sz w:val="22"/>
        </w:rPr>
        <w:t>Τα συμπεράσματα αφορούν το συγκεκριμένο ελεγχόμενο περιβάλλον και δεν αποτελούν γενική κατάταξη των αλγορίθμων. Το GridWorld είναι μικρό και διακριτό, χρησιμοποιούνται δύο τελικές διατάξεις και συγκεκριμένο υπολογιστικό budget. Δεν εξετάζονται, για παράδειγμα, σύνθετα ρομποτικά περιβάλλοντα, συνεχείς χώροι ενεργειών ή ειδικοί αλγόριθμοι ανίχνευσης αλλαγής.</w:t>
      </w:r>
    </w:p>
    <w:p>
      <w:pPr>
        <w:pStyle w:val="Heading2"/>
      </w:pPr>
      <w:r>
        <w:t>1.6 Δομή της διπλωματικής</w:t>
      </w:r>
    </w:p>
    <w:p>
      <w:pPr>
        <w:spacing w:after="120" w:line="360" w:lineRule="auto"/>
        <w:ind w:firstLine="397"/>
        <w:jc w:val="both"/>
      </w:pPr>
      <w:r>
        <w:rPr>
          <w:rFonts w:ascii="Times New Roman" w:hAnsi="Times New Roman" w:eastAsia="Times New Roman"/>
          <w:sz w:val="22"/>
        </w:rPr>
        <w:t>Το Κεφάλαιο 2 παρουσιάζει τις απαραίτητες βασικές έννοιες της ενισχυτικής μάθησης, τις πέντε μεθόδους και το πρόβλημα της μη στασιμότητας. Το Κεφάλαιο 3 περιγράφει το GridWorld και τον πειραματικό σχεδιασμό. Το Κεφάλαιο 4 παρουσιάζει την υλοποίηση του συστήματος και την εφαρμογή. Το Κεφάλαιο 5 παρουσιάζει τα βασικά αποτελέσματα, το Κεφάλαιο 6 τα ερμηνεύει και συζητά τους περιορισμούς, ενώ το Κεφάλαιο 7 συνοψίζει τα συμπεράσματα και τις πιθανές μελλοντικές επεκτάσεις.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[12].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rPr>
          <w:rFonts w:ascii="Times New Roman" w:hAnsi="Times New Roman" w:eastAsia="Times New Roman"/>
          <w:sz w:val="22"/>
        </w:rP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rPr>
          <w:rFonts w:ascii="Times New Roman" w:hAnsi="Times New Roman" w:eastAsia="Times New Roman"/>
          <w:sz w:val="22"/>
        </w:rP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w:t>
      </w:r>
    </w:p>
    <w:p>
      <w:pPr>
        <w:spacing w:after="120" w:line="360" w:lineRule="auto"/>
        <w:ind w:firstLine="397"/>
        <w:jc w:val="both"/>
      </w:pPr>
      <w:r>
        <w:rPr>
          <w:rFonts w:ascii="Times New Roman" w:hAnsi="Times New Roman" w:eastAsia="Times New Roman"/>
          <w:sz w:val="22"/>
        </w:rP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pStyle w:val="Heading2"/>
      </w:pPr>
      <w:r>
        <w:t>2.7 Μη στασιμότητα και προσαρμογή</w:t>
      </w:r>
    </w:p>
    <w:p>
      <w:pPr>
        <w:spacing w:after="120" w:line="360" w:lineRule="auto"/>
        <w:ind w:firstLine="397"/>
        <w:jc w:val="both"/>
      </w:pPr>
      <w:r>
        <w:rPr>
          <w:rFonts w:ascii="Times New Roman" w:hAnsi="Times New Roman" w:eastAsia="Times New Roman"/>
          <w:sz w:val="22"/>
        </w:rPr>
        <w:t>Σε ένα μη στάσιμο περιβάλλον μπορούν να αλλάξουν οι μεταβάσεις, οι ανταμοιβές, οι παρατηρήσεις ή άλλες παράμετροι του προβλήματος. Η αλλαγή μπορεί να είναι μόνιμη ή προσωρινή και μπορεί να είναι γνωστή ή κρυφή από τον πράκτορα. Για αυτό δεν υπάρχει μία ενιαία στρατηγική προσαρμογής που να είναι κατάλληλη για κάθε περίπτωση [2], [14].</w:t>
      </w:r>
    </w:p>
    <w:p>
      <w:pPr>
        <w:spacing w:after="120" w:line="360" w:lineRule="auto"/>
        <w:ind w:firstLine="397"/>
        <w:jc w:val="both"/>
      </w:pPr>
      <w:r>
        <w:rPr>
          <w:rFonts w:ascii="Times New Roman" w:hAnsi="Times New Roman" w:eastAsia="Times New Roman"/>
          <w:sz w:val="22"/>
        </w:rPr>
        <w:t>Στα βαθιά συστήματα, η συνέχιση της εκπαίδευσης μπορεί να επηρεάζεται από φαινόμενα όπως primacy bias και απώλεια πλαστικότητας, άρα η ύπαρξη νέων δεδομένων δεν εγγυάται από μόνη της αποτελεσματική προσαρμογή [3], [4]. Άλλες εργασίες εξετάζουν ρητή πληροφορία context, ανίχνευση αλλαγής ή διαφορετική οργάνωση του μαθημένου μοντέλου και της μνήμης [15], [7], [8]. Οι προσεγγίσεις αυτές είναι σχετικές με το πρόβλημα, αλλά χρησιμοποιούν διαφορετικές παραδοχές από την παρούσα εργασία, όπου η αλλαγή δεν ανακοινώνεται στον πράκτορα.</w:t>
      </w:r>
    </w:p>
    <w:p>
      <w:pPr>
        <w:pStyle w:val="Heading2"/>
      </w:pPr>
      <w:r>
        <w:t>2.8 Αξιόπιστη εμπειρική σύγκριση</w:t>
      </w:r>
    </w:p>
    <w:p>
      <w:pPr>
        <w:spacing w:after="120" w:line="360" w:lineRule="auto"/>
        <w:ind w:firstLine="397"/>
        <w:jc w:val="both"/>
      </w:pPr>
      <w:r>
        <w:rPr>
          <w:rFonts w:ascii="Times New Roman" w:hAnsi="Times New Roman" w:eastAsia="Times New Roman"/>
          <w:sz w:val="22"/>
        </w:rPr>
        <w:t>Οι συγκρίσεις RL επηρεάζονται από την τυχαιότητα, τις υπερπαραμέτρους, το διαθέσιμο training budget και τις λεπτομέρειες υλοποίησης. Για αυτό η βιβλιογραφία συνιστά πολλαπλές ανεξάρτητες εκτελέσεις και αναφορά της αβεβαιότητας αντί για συμπεράσματα από μία μόνο εκτέλεση [5], [6], [16]. Η παρούσα μελέτη ακολουθεί αυτή την αρχή με δώδεκα ανεξάρτητες επαναλήψεις και κοινό budget πραγματικών αλληλεπιδράσεων.</w:t>
      </w:r>
    </w:p>
    <w:p>
      <w:pPr>
        <w:spacing w:after="120" w:line="360" w:lineRule="auto"/>
        <w:ind w:firstLine="397"/>
        <w:jc w:val="both"/>
      </w:pPr>
      <w:r>
        <w:rPr>
          <w:rFonts w:ascii="Times New Roman" w:hAnsi="Times New Roman" w:eastAsia="Times New Roman"/>
          <w:sz w:val="22"/>
        </w:rPr>
        <w:t>Σημαντική είναι επίσης η σωστή μεταχείριση των χρονικών ορίων των επεισοδίων. Η λήξη επεισοδίου επειδή εξαντλήθηκε ένα διοικητικό όριο βημάτων δεν είναι πάντα ισοδύναμη με πραγματική τερματική κατάσταση του προβλήματος [17]. Η υλοποίηση διατηρεί αυτή τη διάκριση ώστε η εκπαίδευση να μην αλλοιώνεται από λανθασμένη σημασιολογία τερματισμού.</w:t>
      </w:r>
    </w:p>
    <w:p>
      <w:pPr>
        <w:pStyle w:val="Heading2"/>
      </w:pPr>
      <w:r>
        <w:t>2.9 Θέση της παρούσας εργασίας</w:t>
      </w:r>
    </w:p>
    <w:p>
      <w:pPr>
        <w:spacing w:after="120" w:line="360" w:lineRule="auto"/>
        <w:ind w:firstLine="397"/>
        <w:jc w:val="both"/>
      </w:pPr>
      <w:r>
        <w:rPr>
          <w:rFonts w:ascii="Times New Roman" w:hAnsi="Times New Roman" w:eastAsia="Times New Roman"/>
          <w:sz w:val="22"/>
        </w:rPr>
        <w:t>Η εργασία δεν προτείνει νέο αλγόριθμο RL. Συγκρίνει πέντε γνωστές μεθόδους κάτω από κοινές, ελεγχόμενες συνθήκες και εστιάζει στη διαφορά ανάμεσα στην κανονική μάθηση, στην επίδραση διαφορετικών διαταραχών και στην ικανότητα προσαρμογής μετά από μόνιμη αλλαγή. Η έμφαση βρίσκεται στην καθαρή πειραματική σύγκριση και στην αναπαραγώγιμη υλοποίηση, όχι στην εξαντλητική κάλυψη όλου του continual RL.</w:t>
      </w:r>
    </w:p>
    <w:p>
      <w:pPr>
        <w:pStyle w:val="Heading1"/>
      </w:pPr>
      <w:r>
        <w:t>Κεφάλαιο 3 — Μεθοδολογία και Πειραματικός Σχεδιασμός</w:t>
      </w:r>
    </w:p>
    <w:p>
      <w:pPr>
        <w:pStyle w:val="Heading2"/>
      </w:pPr>
      <w:r>
        <w:t>3.1 Σχεδιασμός της μελέτης</w:t>
      </w:r>
    </w:p>
    <w:p>
      <w:pPr>
        <w:spacing w:after="120" w:line="360" w:lineRule="auto"/>
        <w:ind w:firstLine="397"/>
        <w:jc w:val="both"/>
      </w:pPr>
      <w:r>
        <w:rPr>
          <w:rFonts w:ascii="Times New Roman" w:hAnsi="Times New Roman" w:eastAsia="Times New Roman"/>
          <w:sz w:val="22"/>
        </w:rPr>
        <w:t>Η μελέτη συγκρίνει τις πέντε μεθόδους κάτω από κοινές βασικές συνθήκες. Η κύρια μονάδα σύγκρισης είναι οι πραγματικές αλληλεπιδράσεις του πράκτορα με το περιβάλλον. Αυτό επιτρέπει σε κάθε αλγόριθμο να διατηρεί τον φυσικό τρόπο με τον οποίο πραγματοποιεί εσωτερικές ενημερώσεις, χωρίς να εξισώνονται τεχνητά gradient steps, replay updates ή planning steps.</w:t>
      </w:r>
    </w:p>
    <w:p>
      <w:pPr>
        <w:pStyle w:val="Heading2"/>
      </w:pPr>
      <w:r>
        <w:t>3.2 Το περιβάλλον GridWorld</w:t>
      </w:r>
    </w:p>
    <w:p>
      <w:pPr>
        <w:spacing w:after="120" w:line="360" w:lineRule="auto"/>
        <w:ind w:firstLine="397"/>
        <w:jc w:val="both"/>
      </w:pPr>
      <w:r>
        <w:rPr>
          <w:rFonts w:ascii="Times New Roman" w:hAnsi="Times New Roman" w:eastAsia="Times New Roman"/>
          <w:sz w:val="22"/>
        </w:rPr>
        <w:t>Χρησιμοποιούνται δύο τελικές διατάξεις 7×7. Και στις δύο η αρχική θέση είναι το (0,0), ο στόχος το (6,6), υπάρχουν εννέα εμπόδια και το μικρότερο έγκυρο μονοπάτι έχει μήκος 12 βημάτων. Κάθε επεισόδιο μπορεί να διαρκέσει έως 48 βήματα.</w:t>
      </w:r>
    </w:p>
    <w:p>
      <w:pPr>
        <w:spacing w:after="120" w:line="360" w:lineRule="auto"/>
        <w:ind w:firstLine="397"/>
        <w:jc w:val="both"/>
      </w:pPr>
      <w:r>
        <w:rPr>
          <w:rFonts w:ascii="Times New Roman" w:hAnsi="Times New Roman" w:eastAsia="Times New Roman"/>
          <w:sz w:val="22"/>
        </w:rPr>
        <w:t>Η ανταμοιβή είναι +1,0 όταν ο πράκτορας φτάνει στον στόχο, -0,1 για ένα κανονικό βήμα και -0,25 για σύγκρουση. Ο συντελεστής προεξόφλησης είναι 0,95. Ο πράκτορας παρατηρεί τη θέση του στο πλέγμα και δεν λαμβάνει ειδική ένδειξη ότι έχει συμβεί κάποια μεταβολή. Έτσι, η προσαρμογή πρέπει να προκύψει από την εμπειρία και όχι από εξωτερική ειδοποίηση.</w:t>
      </w:r>
    </w:p>
    <w:p>
      <w:pPr>
        <w:spacing w:after="120" w:line="360" w:lineRule="auto"/>
        <w:ind w:firstLine="397"/>
        <w:jc w:val="both"/>
      </w:pPr>
      <w:r>
        <w:rPr>
          <w:rFonts w:ascii="Times New Roman" w:hAnsi="Times New Roman" w:eastAsia="Times New Roman"/>
          <w:sz w:val="22"/>
        </w:rPr>
        <w:t>Το GridWorld λειτουργεί ως ελεγχόμενο περιβάλλον δοκιμών και όχι ως αυτοσκοπός της εργασίας.</w:t>
      </w:r>
    </w:p>
    <w:p>
      <w:pPr>
        <w:spacing w:after="120" w:line="360" w:lineRule="auto"/>
        <w:ind w:firstLine="397"/>
        <w:jc w:val="both"/>
      </w:pPr>
      <w:r>
        <w:rPr>
          <w:rFonts w:ascii="Times New Roman" w:hAnsi="Times New Roman" w:eastAsia="Times New Roman"/>
          <w:sz w:val="22"/>
        </w:rPr>
        <w:t>Οι δύο τελικές διατάξεις έχουν το ίδιο μέγεθος, την ίδια αρχική και τελική θέση και συγκρίσιμο βασικό επίπεδο δυσκολίας, αλλά διαφορετική γεωμετρία εμποδίων. Η χρήση δύο layouts μειώνει την πιθανότητα ένα αποτέλεσμα να οφείλεται αποκλειστικά σε μία συγκεκριμένη διάταξη του πλέγματος. Παράλληλα, η διατήρηση της ίδιας κλίμακας του προβλήματος επιτρέπει οι διαφορές να αποδίδονται ευκολότερα στη μέθοδο και στη διαταραχή και όχι σε αλλαγή του ίδιου του task.</w:t>
      </w:r>
    </w:p>
    <w:p>
      <w:pPr>
        <w:spacing w:after="120" w:line="360" w:lineRule="auto"/>
        <w:ind w:firstLine="397"/>
        <w:jc w:val="both"/>
      </w:pPr>
      <w:r>
        <w:rPr>
          <w:rFonts w:ascii="Times New Roman" w:hAnsi="Times New Roman" w:eastAsia="Times New Roman"/>
          <w:sz w:val="22"/>
        </w:rPr>
        <w:t>Σε κάθε βήμα ο πράκτορας επιλέγει μία από τις τέσσερις βασικές κατευθύνσεις κίνησης. Αν η κίνηση είναι έγκυρη, μεταφέρεται στο αντίστοιχο γειτονικό κελί· αν συναντήσει εμπόδιο ή όριο του πλέγματος, εφαρμόζεται η προβλεπόμενη συνέπεια σύγκρουσης. Ο στόχος είναι να φτάσει στο τελικό κελί με όσο το δυνατόν μικρότερο κόστος διαδρομής. Η απλή αυτή δυναμική κάνει ορατή τη συμπεριφορά της πολιτικής: μια καλή πολιτική ακολουθεί σύντομη και σταθερή διαδρομή, ενώ μια λανθασμένη αντιστοίχιση ενεργειών γίνεται άμεσα αντιληπτή από τις κινήσεις και την ανταμοιβή.</w:t>
      </w:r>
    </w:p>
    <w:p>
      <w:pPr>
        <w:spacing w:after="120" w:line="360" w:lineRule="auto"/>
        <w:ind w:firstLine="397"/>
        <w:jc w:val="both"/>
      </w:pPr>
      <w:r>
        <w:rPr>
          <w:rFonts w:ascii="Times New Roman" w:hAnsi="Times New Roman" w:eastAsia="Times New Roman"/>
          <w:sz w:val="22"/>
        </w:rPr>
        <w:t>Η οπτική απλότητα του GridWorld είναι χρήσιμη και για την εφαρμογή. Η ίδια κατάσταση που χρησιμοποιεί ο επιστημονικός πυρήνας μπορεί να αποδοθεί ως πλέγμα με πράκτορα, στόχο και εμπόδια, χωρίς να απαιτείται διαφορετικό μοντέλο δεδομένων μόνο για την παρουσίαση. Η ζωντανή απεικόνιση βοηθά τον χρήστη να καταλάβει τι σημαίνουν στην πράξη η ονομαστική μάθηση, μια διαταραχή και η συνέχιση ή μη της μάθησης.</w:t>
      </w:r>
    </w:p>
    <w:p>
      <w:pPr>
        <w:pStyle w:val="Heading2"/>
      </w:pPr>
      <w:r>
        <w:t>3.3 Μέθοδοι που αξιολογούνται</w:t>
      </w:r>
    </w:p>
    <w:p>
      <w:pPr>
        <w:spacing w:after="120" w:line="360" w:lineRule="auto"/>
        <w:ind w:firstLine="397"/>
        <w:jc w:val="both"/>
      </w:pPr>
      <w:r>
        <w:rPr>
          <w:rFonts w:ascii="Times New Roman" w:hAnsi="Times New Roman" w:eastAsia="Times New Roman"/>
          <w:sz w:val="22"/>
        </w:rPr>
        <w:t>Οι Q-Learning και SARSA αποτελούν τις δύο κλασικές tabular μεθόδους. Η DQN χρησιμοποιεί νευρωνικό δίκτυο και experience replay, η PPO είναι on-policy μέθοδος βελτιστοποίησης πολιτικής και η Dyna-Q+ συνδυάζει πραγματική εμπειρία με μοντέλο του περιβάλλοντος και planning.</w:t>
      </w:r>
    </w:p>
    <w:p>
      <w:pPr>
        <w:spacing w:after="120" w:line="360" w:lineRule="auto"/>
        <w:ind w:firstLine="397"/>
        <w:jc w:val="both"/>
      </w:pPr>
      <w:r>
        <w:rPr>
          <w:rFonts w:ascii="Times New Roman" w:hAnsi="Times New Roman" w:eastAsia="Times New Roman"/>
          <w:sz w:val="22"/>
        </w:rPr>
        <w:t>Οι τελικές ρυθμίσεις των αλγορίθμων καθορίστηκαν πριν από την τελική αξιολόγηση. Για τις Q-Learning και SARSA χρησιμοποιούνται learning rate 0,4 και ε=0,1. Η Dyna-Q+ χρησιμοποιεί learning rate 0,2, ε=0,1, δέκα planning steps και exploration bonus κ=0,0005. Η DQN χρησιμοποιεί δίκτυο 64×64, learning rate 0,003 και replay buffer 16.384 μεταβάσεων. Η PPO χρησιμοποιεί policy/value δίκτυα 64×64, learning rate 0,001 και rollout length 128. Οι πληρέστερες τελικές ρυθμίσεις παρατίθενται στο Παράρτημα Α.</w:t>
      </w:r>
    </w:p>
    <w:p>
      <w:pPr>
        <w:pStyle w:val="Heading2"/>
      </w:pPr>
      <w:r>
        <w:t>3.4 Αρχική εκπαίδευση και αξιολόγηση μετά τη μεταβολή</w:t>
      </w:r>
    </w:p>
    <w:p>
      <w:pPr>
        <w:spacing w:after="120" w:line="360" w:lineRule="auto"/>
        <w:ind w:firstLine="397"/>
        <w:jc w:val="both"/>
      </w:pPr>
      <w:r>
        <w:rPr>
          <w:rFonts w:ascii="Times New Roman" w:hAnsi="Times New Roman" w:eastAsia="Times New Roman"/>
          <w:sz w:val="22"/>
        </w:rPr>
        <w:t>Η διαδικασία χωρίζεται σε δύο φάσεις. Στην πρώτη φάση κάθε μέθοδος εκπαιδεύεται ανεξάρτητα στο κανονικό περιβάλλον. Στο τέλος αποθηκεύεται η πλήρης κατάσταση της εκπαίδευσης, ώστε η δεύτερη φάση να ξεκινά από ακριβώς το ίδιο εκπαιδευμένο σημείο.</w:t>
      </w:r>
    </w:p>
    <w:p>
      <w:pPr>
        <w:spacing w:after="120" w:line="360" w:lineRule="auto"/>
        <w:ind w:firstLine="397"/>
        <w:jc w:val="both"/>
      </w:pPr>
      <w:r>
        <w:rPr>
          <w:rFonts w:ascii="Times New Roman" w:hAnsi="Times New Roman" w:eastAsia="Times New Roman"/>
          <w:sz w:val="22"/>
        </w:rPr>
        <w:t>Στη δεύτερη φάση δημιουργούνται τέσσερις αντίστοιχες περιπτώσεις: κανονικό περιβάλλον χωρίς νέα μάθηση, μεταβαλλόμενο περιβάλλον χωρίς νέα μάθηση, κανονικό περιβάλλον με συνέχιση της μάθησης και μεταβαλλόμενο περιβάλλον με συνέχιση της μάθησης. Η διάταξη αυτή επιτρέπει να εξεταστεί ξεχωριστά η επίδραση της μεταβολής και η επίδραση της online προσαρμογής.</w:t>
      </w:r>
    </w:p>
    <w:p>
      <w:pPr>
        <w:spacing w:after="120" w:line="360" w:lineRule="auto"/>
        <w:ind w:firstLine="397"/>
        <w:jc w:val="both"/>
      </w:pPr>
      <w:r>
        <w:rPr>
          <w:rFonts w:ascii="Times New Roman" w:hAnsi="Times New Roman" w:eastAsia="Times New Roman"/>
          <w:sz w:val="22"/>
        </w:rPr>
        <w:t>Η δεύτερη φάση είναι κεντρική για τη λογική της εργασίας. Η απλή σύγκριση «πριν και μετά τη διαταραχή» δεν θα ήταν αρκετή, επειδή ένας πράκτορας που συνεχίζει να μαθαίνει μπορεί να αλλάζει ακόμη και όταν το περιβάλλον παραμένει κανονικό. Για αυτό χρησιμοποιούνται αντίστοιχες κανονικές και διαταραγμένες διαδρομές τόσο με απενεργοποιημένη όσο και με ενεργοποιημένη μάθηση. Η σύγκριση εξετάζει όχι μόνο αν η επίδοση πέφτει μετά τη μεταβολή, αλλά και αν η δυνατότητα νέων ενημερώσεων περιορίζει αυτή την πτώση.</w:t>
      </w:r>
    </w:p>
    <w:p>
      <w:pPr>
        <w:spacing w:after="120" w:line="360" w:lineRule="auto"/>
        <w:ind w:firstLine="397"/>
        <w:jc w:val="both"/>
      </w:pPr>
      <w:r>
        <w:rPr>
          <w:rFonts w:ascii="Times New Roman" w:hAnsi="Times New Roman" w:eastAsia="Times New Roman"/>
          <w:sz w:val="22"/>
        </w:rPr>
        <w:t>Στην περίπτωση χωρίς νέα μάθηση, ο πράκτορας χρησιμοποιεί όσα έμαθε στην πρώτη φάση χωρίς να αλλάζει τις παραμέτρους του. Αυτό προσεγγίζει ένα deployment στο οποίο το μοντέλο έχει εκπαιδευτεί και στη συνέχεια χρησιμοποιείται σταθερά. Στην adaptive περίπτωση οι κανονικοί μηχανισμοί μάθησης της κάθε μεθόδου παραμένουν ενεργοί. Έτσι η εργασία δεν προσθέτει ειδικό αλγόριθμο ανίχνευσης αλλαγής ή μηχανισμό επαναφοράς· εξετάζει τι μπορεί να πετύχει η ίδια η μέθοδος όταν απλώς συνεχίζει να λαμβάνει εμπειρία.</w:t>
      </w:r>
    </w:p>
    <w:p>
      <w:pPr>
        <w:spacing w:after="120" w:line="360" w:lineRule="auto"/>
        <w:ind w:firstLine="397"/>
        <w:jc w:val="both"/>
      </w:pPr>
      <w:r>
        <w:rPr>
          <w:rFonts w:ascii="Times New Roman" w:hAnsi="Times New Roman" w:eastAsia="Times New Roman"/>
          <w:sz w:val="22"/>
        </w:rPr>
        <w:t>Το κοινό σημείο εκκίνησης των αντίστοιχων περιπτώσεων είναι σημαντικό για μια δίκαιη σύγκριση. Αν οι κλάδοι ξεκινούσαν από διαφορετικές ανεξάρτητες εκπαιδεύσεις, η διαφορά τους θα περιείχε και την τυχαιότητα της αρχικής μάθησης. Η αποθήκευση της πλήρους κατάστασης στο τέλος της πρώτης φάσης επιτρέπει οι επόμενες περιπτώσεις να ξεκινούν από το ίδιο μαθημένο σύστημα και να διαφέρουν μόνο ως προς τη συνθήκη που εξετάζεται.</w:t>
      </w:r>
    </w:p>
    <w:p>
      <w:pPr>
        <w:pStyle w:val="Heading2"/>
      </w:pPr>
      <w:r>
        <w:t>3.5 Μεταβολές του περιβάλλοντος</w:t>
      </w:r>
    </w:p>
    <w:p>
      <w:pPr>
        <w:spacing w:after="120" w:line="360" w:lineRule="auto"/>
        <w:ind w:firstLine="397"/>
        <w:jc w:val="both"/>
      </w:pPr>
      <w:r>
        <w:rPr>
          <w:rFonts w:ascii="Times New Roman" w:hAnsi="Times New Roman" w:eastAsia="Times New Roman"/>
          <w:sz w:val="22"/>
        </w:rPr>
        <w:t>Εξετάζονται τέσσερις συνθήκες:</w:t>
      </w:r>
    </w:p>
    <w:p>
      <w:pPr>
        <w:pStyle w:val="ListBullet"/>
        <w:spacing w:after="60" w:line="324" w:lineRule="auto"/>
        <w:ind w:left="369"/>
      </w:pPr>
      <w:r>
        <w:rPr>
          <w:rFonts w:ascii="Times New Roman" w:hAnsi="Times New Roman" w:eastAsia="Times New Roman"/>
          <w:b/>
          <w:sz w:val="22"/>
        </w:rPr>
        <w:t>Κυκλική ανααντιστοίχιση ενεργειών:</w:t>
      </w:r>
      <w:r>
        <w:rPr>
          <w:rFonts w:ascii="Times New Roman" w:hAnsi="Times New Roman" w:eastAsia="Times New Roman"/>
          <w:sz w:val="22"/>
        </w:rPr>
        <w:t xml:space="preserve"> η σημασία των ενεργειών αλλάζει μόνιμα με κυκλικό τρόπο.</w:t>
      </w:r>
    </w:p>
    <w:p>
      <w:pPr>
        <w:pStyle w:val="ListBullet"/>
        <w:spacing w:after="60" w:line="324" w:lineRule="auto"/>
        <w:ind w:left="369"/>
      </w:pPr>
      <w:r>
        <w:rPr>
          <w:rFonts w:ascii="Times New Roman" w:hAnsi="Times New Roman" w:eastAsia="Times New Roman"/>
          <w:b/>
          <w:sz w:val="22"/>
        </w:rPr>
        <w:t>Εναλλαγή δεξιάς–κάτω ενέργειας:</w:t>
      </w:r>
      <w:r>
        <w:rPr>
          <w:rFonts w:ascii="Times New Roman" w:hAnsi="Times New Roman" w:eastAsia="Times New Roman"/>
          <w:sz w:val="22"/>
        </w:rPr>
        <w:t xml:space="preserve"> δύο ενέργειες ανταλλάσσουν μόνιμα τη σημασία τους.</w:t>
      </w:r>
    </w:p>
    <w:p>
      <w:pPr>
        <w:pStyle w:val="ListBullet"/>
        <w:spacing w:after="60" w:line="324" w:lineRule="auto"/>
        <w:ind w:left="369"/>
      </w:pPr>
      <w:r>
        <w:rPr>
          <w:rFonts w:ascii="Times New Roman" w:hAnsi="Times New Roman" w:eastAsia="Times New Roman"/>
          <w:b/>
          <w:sz w:val="22"/>
        </w:rPr>
        <w:t>Αποτυχία ενέργειας 15%:</w:t>
      </w:r>
      <w:r>
        <w:rPr>
          <w:rFonts w:ascii="Times New Roman" w:hAnsi="Times New Roman" w:eastAsia="Times New Roman"/>
          <w:sz w:val="22"/>
        </w:rPr>
        <w:t xml:space="preserve"> η επιλεγμένη ενέργεια αποτυγχάνει τυχαία με πιθανότητα 0,15.</w:t>
      </w:r>
    </w:p>
    <w:p>
      <w:pPr>
        <w:pStyle w:val="ListBullet"/>
        <w:spacing w:after="60" w:line="324" w:lineRule="auto"/>
        <w:ind w:left="369"/>
      </w:pPr>
      <w:r>
        <w:rPr>
          <w:rFonts w:ascii="Times New Roman" w:hAnsi="Times New Roman" w:eastAsia="Times New Roman"/>
          <w:b/>
          <w:sz w:val="22"/>
        </w:rPr>
        <w:t>Αλλοίωση παρατήρησης 5%:</w:t>
      </w:r>
      <w:r>
        <w:rPr>
          <w:rFonts w:ascii="Times New Roman" w:hAnsi="Times New Roman" w:eastAsia="Times New Roman"/>
          <w:sz w:val="22"/>
        </w:rPr>
        <w:t xml:space="preserve"> η παρατήρηση του πράκτορα αλλοιώνεται τυχαία με πιθανότητα 0,05.</w:t>
      </w:r>
    </w:p>
    <w:p>
      <w:pPr>
        <w:spacing w:after="120" w:line="360" w:lineRule="auto"/>
        <w:ind w:firstLine="397"/>
        <w:jc w:val="both"/>
      </w:pPr>
      <w:r>
        <w:rPr>
          <w:rFonts w:ascii="Times New Roman" w:hAnsi="Times New Roman" w:eastAsia="Times New Roman"/>
          <w:sz w:val="22"/>
        </w:rPr>
        <w:t>Οι δύο πρώτες συνθήκες είναι μόνιμες αλλαγές και χρησιμοποιούνται επίσης για τη μελέτη της ανάκαμψης.</w:t>
      </w:r>
    </w:p>
    <w:p>
      <w:pPr>
        <w:pStyle w:val="Heading2"/>
      </w:pPr>
      <w:r>
        <w:t>3.6 Μετρήσεις για τα τρία ερευνητικά ερωτήματα</w:t>
      </w:r>
    </w:p>
    <w:p>
      <w:pPr>
        <w:spacing w:after="120" w:line="360" w:lineRule="auto"/>
        <w:ind w:firstLine="397"/>
        <w:jc w:val="both"/>
      </w:pPr>
      <w:r>
        <w:rPr>
          <w:rFonts w:ascii="Times New Roman" w:hAnsi="Times New Roman" w:eastAsia="Times New Roman"/>
          <w:sz w:val="22"/>
        </w:rPr>
        <w:t>Για το RQ1 καταγράφεται η τελική ονομαστική επίδοση και η μέση επίδοση κατά μήκος του διαθέσιμου budget, ώστε να διαχωριστεί το τελικό επίπεδο από την ταχύτητα με την οποία αξιοποιείται η εμπειρία.</w:t>
      </w:r>
    </w:p>
    <w:p>
      <w:pPr>
        <w:spacing w:after="120" w:line="360" w:lineRule="auto"/>
        <w:ind w:firstLine="397"/>
        <w:jc w:val="both"/>
      </w:pPr>
      <w:r>
        <w:rPr>
          <w:rFonts w:ascii="Times New Roman" w:hAnsi="Times New Roman" w:eastAsia="Times New Roman"/>
          <w:sz w:val="22"/>
        </w:rPr>
        <w:t>Για το RQ2 συγκρίνεται η απώλεια που προκαλεί κάθε διαταραχή όταν η μάθηση είναι απενεργοποιημένη με την αντίστοιχη απώλεια όταν η μάθηση συνεχίζεται. Θετικό όφελος προσαρμογής σημαίνει ότι η συνέχιση της μάθησης περιόρισε την επίδραση της διαταραχής.</w:t>
      </w:r>
    </w:p>
    <w:p>
      <w:pPr>
        <w:spacing w:after="120" w:line="360" w:lineRule="auto"/>
        <w:ind w:firstLine="397"/>
        <w:jc w:val="both"/>
      </w:pPr>
      <w:r>
        <w:rPr>
          <w:rFonts w:ascii="Times New Roman" w:hAnsi="Times New Roman" w:eastAsia="Times New Roman"/>
          <w:sz w:val="22"/>
        </w:rPr>
        <w:t>Για το RQ3 εξετάζεται αν η επίδοση μετά από μόνιμη αλλαγή επιστρέφει σταθερά κοντά στην αντίστοιχη κανονική πορεία. Η αξιολόγηση γίνεται ανά 32 αλληλεπιδράσεις, με κύρια ανοχή 0,10 και απαίτηση δύο συνεχόμενων επιτυχημένων παραθύρων. Αν μια επανάληψη δεν ανακάμψει μέχρι τις 256 αλληλεπιδράσεις, καταγράφεται ως μη ανακτημένη μέσα στον διαθέσιμο ορίζοντα και δεν της αποδίδεται τεχνητός χρόνος ανάκαμψης.</w:t>
      </w:r>
    </w:p>
    <w:p>
      <w:pPr>
        <w:spacing w:after="120" w:line="360" w:lineRule="auto"/>
        <w:ind w:firstLine="397"/>
        <w:jc w:val="both"/>
      </w:pPr>
      <w:r>
        <w:rPr>
          <w:rFonts w:ascii="Times New Roman" w:hAnsi="Times New Roman" w:eastAsia="Times New Roman"/>
          <w:sz w:val="22"/>
        </w:rPr>
        <w:t>Οι τέσσερις διαταραχές επιλέχθηκαν ώστε να μην εκφράζουν όλες το ίδιο είδος προβλήματος. Οι δύο ανααντιστοιχίσεις αλλάζουν μόνιμα τη σχέση ανάμεσα στην εντολή του πράκτορα και στην πραγματική κίνηση. Η αποτυχία ενέργειας εισάγει στοχαστικότητα χωρίς να αλλάζει μόνιμα τη σημασία της ενέργειας. Η αλλοίωση παρατήρησης επηρεάζει την πληροφορία που φτάνει στον πράκτορα αντί για την πραγματική κίνηση του περιβάλλοντος. Επομένως, ένα θετικό αποτέλεσμα σε μία συνθήκη δεν θεωρείται αυτόματα ένδειξη ότι η ίδια μέθοδος θα είναι εξίσου ανθεκτική και στις υπόλοιπες.</w:t>
      </w:r>
    </w:p>
    <w:p>
      <w:pPr>
        <w:spacing w:after="120" w:line="360" w:lineRule="auto"/>
        <w:ind w:firstLine="397"/>
        <w:jc w:val="both"/>
      </w:pPr>
      <w:r>
        <w:rPr>
          <w:rFonts w:ascii="Times New Roman" w:hAnsi="Times New Roman" w:eastAsia="Times New Roman"/>
          <w:sz w:val="22"/>
        </w:rPr>
        <w:t>Η μέτρηση ανάκαμψης χρησιμοποιείται μόνο στις μόνιμες αλλαγές ενεργειών επειδή εκεί υπάρχει σαφής νέα κατάσταση του περιβάλλοντος προς την οποία ο πράκτορας μπορεί να προσαρμοστεί. Στις στοχαστικές αποτυχίες και στις περιστασιακές λανθασμένες παρατηρήσεις δεν υπάρχει αντίστοιχο μόνιμο νέο mapping που πρέπει να μαθευτεί. Για αυτές τις συνθήκες το βασικό ενδιαφέρον είναι η συνολική επίδραση της συνέχισης της μάθησης.</w:t>
      </w:r>
    </w:p>
    <w:p>
      <w:pPr>
        <w:pStyle w:val="Heading2"/>
      </w:pPr>
      <w:r>
        <w:t>3.7 Επαναλήψεις και στατιστική σύνοψη</w:t>
      </w:r>
    </w:p>
    <w:p>
      <w:pPr>
        <w:spacing w:after="120" w:line="360" w:lineRule="auto"/>
        <w:ind w:firstLine="397"/>
        <w:jc w:val="both"/>
      </w:pPr>
      <w:r>
        <w:rPr>
          <w:rFonts w:ascii="Times New Roman" w:hAnsi="Times New Roman" w:eastAsia="Times New Roman"/>
          <w:sz w:val="22"/>
        </w:rPr>
        <w:t>Η τελική αξιολόγηση χρησιμοποιεί δώδεκα ανεξάρτητες επαναλήψεις και τις δύο διατάξεις του GridWorld. Οι δύο διατάξεις συνδυάζονται με ίσο βάρος μέσα σε κάθε επανάληψη και η επανάληψη αποτελεί τη μονάδα της στατιστικής σύνοψης. Στο κύριο κείμενο παρουσιάζονται μέσες τιμές και διαστήματα 95%. Οι λεπτομερείς ζευγαρωμένες συγκρίσεις, οι κατανομές ανά επανάληψη και η ανάλυση ευαισθησίας παρατίθενται στο Παράρτημα Β.</w:t>
      </w:r>
    </w:p>
    <w:p>
      <w:pPr>
        <w:spacing w:after="120" w:line="360" w:lineRule="auto"/>
        <w:ind w:firstLine="397"/>
        <w:jc w:val="both"/>
      </w:pPr>
      <w:r>
        <w:rPr>
          <w:rFonts w:ascii="Times New Roman" w:hAnsi="Times New Roman" w:eastAsia="Times New Roman"/>
          <w:sz w:val="22"/>
        </w:rPr>
        <w:t>Η παρουσίαση των αποτελεσμάτων δίνει έμφαση στις βασικές τάσεις και αφήνει τις αναλυτικές διαγνωστικές συγκρίσεις στα παραρτήματα.</w:t>
      </w:r>
    </w:p>
    <w:p>
      <w:pPr>
        <w:pStyle w:val="Heading2"/>
      </w:pPr>
      <w:r>
        <w:t>3.8 Αναπαραγωγιμότητα</w:t>
      </w:r>
    </w:p>
    <w:p>
      <w:pPr>
        <w:spacing w:after="120" w:line="360" w:lineRule="auto"/>
        <w:ind w:firstLine="397"/>
        <w:jc w:val="both"/>
      </w:pPr>
      <w:r>
        <w:rPr>
          <w:rFonts w:ascii="Times New Roman" w:hAnsi="Times New Roman" w:eastAsia="Times New Roman"/>
          <w:sz w:val="22"/>
        </w:rPr>
        <w:t>Οι ρυθμίσεις, οι πηγές τυχαιότητας, τα checkpoints και τα αποτελέσματα αποθηκεύονται μαζί με τα απαραίτητα στοιχεία ταυτότητας της εκτέλεσης. Η τελική ανάλυση παράγεται από το αποθηκευμένο και επικυρωμένο evidence και όχι από τιμές που υπολογίζονται χειροκίνητα μέσα στο Word ή στο γραφικό περιβάλλον. Οι αναλυτικές τεχνικές λεπτομέρειες και τα στοιχεία ιχνηλασιμότητας διατηρούνται στο repository και στα παραρτήματα.</w:t>
      </w:r>
    </w:p>
    <w:p>
      <w:pPr>
        <w:keepNext/>
        <w:jc w:val="center"/>
      </w:pPr>
      <w:r>
        <w:drawing>
          <wp:inline xmlns:a="http://schemas.openxmlformats.org/drawingml/2006/main" xmlns:pic="http://schemas.openxmlformats.org/drawingml/2006/picture">
            <wp:extent cx="5577840" cy="1564993"/>
            <wp:docPr id="1" name="Picture 1" descr="Σχήμα 1: Ροή του πειραματικού πρωτοκόλλου· τα ακριβή checkpoints προηγούνται των αντιστοιχισμένων κλάδων FN/FD/AN/AD." title="Σχήμα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Ροή του πειραματικού πρωτοκόλλου· τα ακριβή checkpoints προηγούνται των αντιστοιχισμένων κλάδων FN/FD/AN/AD.</w:t>
      </w:r>
    </w:p>
    <w:p>
      <w:pPr>
        <w:keepNext/>
        <w:jc w:val="center"/>
      </w:pPr>
      <w:r>
        <w:drawing>
          <wp:inline xmlns:a="http://schemas.openxmlformats.org/drawingml/2006/main" xmlns:pic="http://schemas.openxmlformats.org/drawingml/2006/picture">
            <wp:extent cx="5577840" cy="1646791"/>
            <wp:docPr id="2" name="Picture 2" descr="Σχήμα 2: Αντιστοίχιση κάθε ερευνητικού ερωτήματος στα προκαθορισμένα μεγέθη εκτίμησης και στα καταγεγραμμένα αποτελέσματα." title="Σχήμα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Αντιστοίχιση κάθε ερευνητικού ερωτήματος στα προκαθορισμένα μεγέθη εκτίμησης και στα καταγεγραμμένα αποτελέσματα.</w:t>
      </w:r>
    </w:p>
    <w:p>
      <w:pPr>
        <w:pStyle w:val="Heading1"/>
      </w:pPr>
      <w:r>
        <w:t>Κεφάλαιο 4 — Αρχιτεκτονική και Υλοποίηση του Συστήματος</w:t>
      </w:r>
    </w:p>
    <w:p>
      <w:pPr>
        <w:pStyle w:val="Heading2"/>
      </w:pPr>
      <w:r>
        <w:t>4.1 Στόχος της υλοποίησης</w:t>
      </w:r>
    </w:p>
    <w:p>
      <w:pPr>
        <w:spacing w:after="120" w:line="360" w:lineRule="auto"/>
        <w:ind w:firstLine="397"/>
        <w:jc w:val="both"/>
      </w:pPr>
      <w:r>
        <w:rPr>
          <w:rFonts w:ascii="Times New Roman" w:hAnsi="Times New Roman" w:eastAsia="Times New Roman"/>
          <w:sz w:val="22"/>
        </w:rPr>
        <w:t>Η υλοποίηση δημιουργήθηκε για να καλύπτει ολόκληρη τη βασική ροή της εργασίας: ορισμό πειράματος, εκπαίδευση των πρακτόρων, αξιολόγηση μετά από μεταβολές, αποθήκευση αποτελεσμάτων και παρουσίασή τους σε desktop εφαρμογή. Η επιστημονική λογική βρίσκεται σε ανεξάρτητα Python modules, ώστε η εκτέλεση και η ανάλυση να μην εξαρτώνται από το γραφικό περιβάλλον.</w:t>
      </w:r>
    </w:p>
    <w:p>
      <w:pPr>
        <w:pStyle w:val="Heading2"/>
      </w:pPr>
      <w:r>
        <w:t>4.2 Βασικά μέρη του συστήματος</w:t>
      </w:r>
    </w:p>
    <w:p>
      <w:pPr>
        <w:spacing w:after="120" w:line="360" w:lineRule="auto"/>
        <w:ind w:firstLine="397"/>
        <w:jc w:val="both"/>
      </w:pPr>
      <w:r>
        <w:rPr>
          <w:rFonts w:ascii="Times New Roman" w:hAnsi="Times New Roman" w:eastAsia="Times New Roman"/>
          <w:sz w:val="22"/>
        </w:rPr>
        <w:t>Ο κώδικας χωρίζεται σε τέσσερα βασικά επίπεδα. Το πρώτο υλοποιεί το GridWorld και τις μεταβολές του περιβάλλοντος. Το δεύτερο περιλαμβάνει τις πέντε μεθόδους RL και την κοινή διεπαφή εκπαίδευσης και αξιολόγησης. Το τρίτο οργανώνει την εκτέλεση των πειραμάτων, τα checkpoints και την αποθήκευση των αποτελεσμάτων. Το τέταρτο είναι η εφαρμογή PySide6 που επιτρέπει στον χρήστη να επιθεωρεί την πορεία και τα αποθηκευμένα αποτελέσματα.</w:t>
      </w:r>
    </w:p>
    <w:p>
      <w:pPr>
        <w:spacing w:after="120" w:line="360" w:lineRule="auto"/>
        <w:ind w:firstLine="397"/>
        <w:jc w:val="both"/>
      </w:pPr>
      <w:r>
        <w:rPr>
          <w:rFonts w:ascii="Times New Roman" w:hAnsi="Times New Roman" w:eastAsia="Times New Roman"/>
          <w:sz w:val="22"/>
        </w:rPr>
        <w:t>Ο διαχωρισμός αυτός έχει πρακτικό όφελος: το ίδιο επιστημονικό backend χρησιμοποιείται είτε η μελέτη εκτελείται χωρίς γραφικό περιβάλλον είτε μέσω της εφαρμογής.</w:t>
      </w:r>
    </w:p>
    <w:p>
      <w:pPr>
        <w:spacing w:after="120" w:line="360" w:lineRule="auto"/>
        <w:ind w:firstLine="397"/>
        <w:jc w:val="both"/>
      </w:pPr>
      <w:r>
        <w:rPr>
          <w:rFonts w:ascii="Times New Roman" w:hAnsi="Times New Roman" w:eastAsia="Times New Roman"/>
          <w:sz w:val="22"/>
        </w:rPr>
        <w:t>Το επίπεδο του περιβάλλοντος περιλαμβάνει τη λογική του GridWorld, τον έλεγχο έγκυρων κινήσεων, τις ανταμοιβές και τις τέσσερις μορφές μεταβολής. Οι αλγόριθμοι δεν χρειάζεται να γνωρίζουν πώς σχεδιάζεται το πλέγμα στην οθόνη· λαμβάνουν μόνο την παρατήρηση, επιλέγουν ενέργεια και ενημερώνονται με βάση την εμπειρία που προβλέπει η κάθε μέθοδος. Με αυτόν τον τρόπο το περιβάλλον μπορεί να ελεγχθεί ανεξάρτητα από το UI.</w:t>
      </w:r>
    </w:p>
    <w:p>
      <w:pPr>
        <w:spacing w:after="120" w:line="360" w:lineRule="auto"/>
        <w:ind w:firstLine="397"/>
        <w:jc w:val="both"/>
      </w:pPr>
      <w:r>
        <w:rPr>
          <w:rFonts w:ascii="Times New Roman" w:hAnsi="Times New Roman" w:eastAsia="Times New Roman"/>
          <w:sz w:val="22"/>
        </w:rPr>
        <w:t>Στο επίπεδο των μεθόδων, κάθε αλγόριθμος διατηρεί τη δική του εσωτερική κατάσταση. Για τις tabular μεθόδους αυτή περιλαμβάνει κυρίως τους πίνακες τιμών, για τη DQN το νευρωνικό μοντέλο και τη μνήμη replay, για την PPO τα δίκτυα πολιτικής και αξίας και για τη Dyna-Q+ τις τιμές μαζί με το μαθημένο μοντέλο του περιβάλλοντος. Παρότι οι εσωτερικές δομές διαφέρουν, η εξωτερική ροή εκπαίδευσης και αξιολόγησης παραμένει κοινή.</w:t>
      </w:r>
    </w:p>
    <w:p>
      <w:pPr>
        <w:spacing w:after="120" w:line="360" w:lineRule="auto"/>
        <w:ind w:firstLine="397"/>
        <w:jc w:val="both"/>
      </w:pPr>
      <w:r>
        <w:rPr>
          <w:rFonts w:ascii="Times New Roman" w:hAnsi="Times New Roman" w:eastAsia="Times New Roman"/>
          <w:sz w:val="22"/>
        </w:rPr>
        <w:t>Η κοινή αυτή οργάνωση ήταν απαραίτητη για να μη δημιουργηθεί διαφορετικό πείραμα για κάθε μέθοδο. Οι διαφορές που χρειάζονται οι αλγόριθμοι παραμένουν μέσα στην υλοποίησή τους, ενώ το περιβάλλον, οι φάσεις, οι διαταραχές και η συλλογή αποτελεσμάτων χρησιμοποιούν την ίδια πειραματική λογική. Αυτό απλοποιεί τόσο την εκτέλεση όσο και τον έλεγχο των αποτελεσμάτων.</w:t>
      </w:r>
    </w:p>
    <w:p>
      <w:pPr>
        <w:pStyle w:val="Heading2"/>
      </w:pPr>
      <w:r>
        <w:t>4.3 Ροή ενός πειράματος</w:t>
      </w:r>
    </w:p>
    <w:p>
      <w:pPr>
        <w:keepLines/>
        <w:spacing w:after="120" w:line="360" w:lineRule="auto"/>
        <w:ind w:firstLine="397"/>
        <w:jc w:val="both"/>
      </w:pPr>
      <w:r>
        <w:rPr>
          <w:rFonts w:ascii="Times New Roman" w:hAnsi="Times New Roman" w:eastAsia="Times New Roman"/>
          <w:sz w:val="22"/>
        </w:rPr>
        <w:t>Η ροή ξεκινά από μία καθορισμένη πειραματική ρύθμιση. Δημιουργούνται οι απαιτούμενες εκτελέσεις για κάθε μέθοδο, διάταξη και ανεξάρτητη επανάληψη. Πρώτα ολοκληρώνεται η αρχική εκπαίδευση και αποθηκεύεται checkpoint. Έπειτα εκτελούνται οι αντίστοιχες περιπτώσεις της δεύτερης φάσης και τα αποτελέσματα ελέγχονται πριν χρησιμοποιηθούν στην τελική ανάλυση.</w:t>
      </w:r>
    </w:p>
    <w:p>
      <w:pPr>
        <w:spacing w:after="120" w:line="360" w:lineRule="auto"/>
        <w:ind w:firstLine="397"/>
        <w:jc w:val="both"/>
      </w:pPr>
      <w:r>
        <w:rPr>
          <w:rFonts w:ascii="Times New Roman" w:hAnsi="Times New Roman" w:eastAsia="Times New Roman"/>
          <w:sz w:val="22"/>
        </w:rPr>
        <w:t>Η χρήση checkpoints είναι σημαντική επειδή οι συγκρίσεις μετά τη μεταβολή ξεκινούν από το ίδιο εκπαιδευμένο state. Για DQN και PPO αποθηκεύονται όσα στοιχεία απαιτούνται για πραγματική συνέχεια της εκπαίδευσης και όχι μόνο τα τελικά βάρη του δικτύου. Αντίστοιχα, η Dyna-Q+ διατηρεί το μαθημένο μοντέλο και την κατάσταση planning.</w:t>
      </w:r>
    </w:p>
    <w:p>
      <w:pPr>
        <w:pStyle w:val="Heading2"/>
      </w:pPr>
      <w:r>
        <w:t>4.4 Desktop εφαρμογή</w:t>
      </w:r>
    </w:p>
    <w:p>
      <w:pPr>
        <w:spacing w:after="120" w:line="360" w:lineRule="auto"/>
        <w:ind w:firstLine="397"/>
        <w:jc w:val="both"/>
      </w:pPr>
      <w:r>
        <w:rPr>
          <w:rFonts w:ascii="Times New Roman" w:hAnsi="Times New Roman" w:eastAsia="Times New Roman"/>
          <w:sz w:val="22"/>
        </w:rPr>
        <w:t xml:space="preserve">Η εφαρμογή οργανώνεται στις κύριες ενότητες </w:t>
      </w:r>
      <w:r>
        <w:rPr>
          <w:rFonts w:ascii="Times New Roman" w:hAnsi="Times New Roman" w:eastAsia="Times New Roman"/>
          <w:b/>
          <w:sz w:val="22"/>
        </w:rPr>
        <w:t>Experiment</w:t>
      </w:r>
      <w:r>
        <w:rPr>
          <w:rFonts w:ascii="Times New Roman" w:hAnsi="Times New Roman" w:eastAsia="Times New Roman"/>
          <w:sz w:val="22"/>
        </w:rPr>
        <w:t xml:space="preserve">, </w:t>
      </w:r>
      <w:r>
        <w:rPr>
          <w:rFonts w:ascii="Times New Roman" w:hAnsi="Times New Roman" w:eastAsia="Times New Roman"/>
          <w:b/>
          <w:sz w:val="22"/>
        </w:rPr>
        <w:t>Run</w:t>
      </w:r>
      <w:r>
        <w:rPr>
          <w:rFonts w:ascii="Times New Roman" w:hAnsi="Times New Roman" w:eastAsia="Times New Roman"/>
          <w:sz w:val="22"/>
        </w:rPr>
        <w:t xml:space="preserve">, </w:t>
      </w:r>
      <w:r>
        <w:rPr>
          <w:rFonts w:ascii="Times New Roman" w:hAnsi="Times New Roman" w:eastAsia="Times New Roman"/>
          <w:b/>
          <w:sz w:val="22"/>
        </w:rPr>
        <w:t>Results</w:t>
      </w:r>
      <w:r>
        <w:rPr>
          <w:rFonts w:ascii="Times New Roman" w:hAnsi="Times New Roman" w:eastAsia="Times New Roman"/>
          <w:sz w:val="22"/>
        </w:rPr>
        <w:t xml:space="preserve"> και </w:t>
      </w:r>
      <w:r>
        <w:rPr>
          <w:rFonts w:ascii="Times New Roman" w:hAnsi="Times New Roman" w:eastAsia="Times New Roman"/>
          <w:b/>
          <w:sz w:val="22"/>
        </w:rPr>
        <w:t>Evidence</w:t>
      </w:r>
      <w:r>
        <w:rPr>
          <w:rFonts w:ascii="Times New Roman" w:hAnsi="Times New Roman" w:eastAsia="Times New Roman"/>
          <w:sz w:val="22"/>
        </w:rPr>
        <w:t>. Στην πρώτη παρουσιάζεται η πειραματική ρύθμιση. Στη δεύτερη ο χρήστης μπορεί να παρακολουθεί την κατάσταση της εκτέλεσης και να βλέπει το GridWorld. Η ενότητα Results παρουσιάζει τα ήδη υπολογισμένα αποτελέσματα για τα τρία ερευνητικά ερωτήματα, ενώ η ενότητα Evidence εμφανίζει τα αποθηκευμένα τεκμήρια και την κατάσταση επικύρωσής τους.</w:t>
      </w:r>
    </w:p>
    <w:p>
      <w:pPr>
        <w:keepNext/>
        <w:spacing w:before="120" w:after="60"/>
        <w:jc w:val="center"/>
      </w:pPr>
      <w:r>
        <w:drawing>
          <wp:inline xmlns:a="http://schemas.openxmlformats.org/drawingml/2006/main" xmlns:pic="http://schemas.openxmlformats.org/drawingml/2006/picture">
            <wp:extent cx="5440680" cy="3400425"/>
            <wp:docPr id="26" name="Picture 26" descr="Desktop εφαρμογή PySide6 στη Φάση A με προβολή του GridWorld και της τρέχουσας κατάστασης εκτέλεσης. DEVELOPMENT capture μόνο για επεξήγηση της υλοποίησης."/>
            <wp:cNvGraphicFramePr>
              <a:graphicFrameLocks noChangeAspect="1"/>
            </wp:cNvGraphicFramePr>
            <a:graphic>
              <a:graphicData uri="http://schemas.openxmlformats.org/drawingml/2006/picture">
                <pic:pic>
                  <pic:nvPicPr>
                    <pic:cNvPr id="0" name="03-run-phase-a-1440x900.png"/>
                    <pic:cNvPicPr/>
                  </pic:nvPicPr>
                  <pic:blipFill>
                    <a:blip r:embed="rId35"/>
                    <a:stretch>
                      <a:fillRect/>
                    </a:stretch>
                  </pic:blipFill>
                  <pic:spPr>
                    <a:xfrm>
                      <a:off x="0" y="0"/>
                      <a:ext cx="5440680" cy="3400425"/>
                    </a:xfrm>
                    <a:prstGeom prst="rect"/>
                  </pic:spPr>
                </pic:pic>
              </a:graphicData>
            </a:graphic>
          </wp:inline>
        </w:drawing>
      </w:r>
    </w:p>
    <w:p>
      <w:pPr>
        <w:pStyle w:val="Caption"/>
        <w:keepLines/>
        <w:spacing w:before="0" w:after="160"/>
        <w:jc w:val="center"/>
      </w:pPr>
      <w:r>
        <w:rPr>
          <w:rFonts w:ascii="Times New Roman" w:hAnsi="Times New Roman" w:eastAsia="Times New Roman"/>
          <w:sz w:val="19"/>
        </w:rPr>
        <w:t>Στιγμιότυπο εφαρμογής 1 — Ενδεικτική προβολή της Φάσης A και του GridWorld κατά την ονομαστική μάθηση. Η εικόνα είναι deterministic DEVELOPMENT capture και δεν αποτελεί πηγή ποσοτικών αποτελεσμάτων.</w:t>
      </w:r>
    </w:p>
    <w:p>
      <w:pPr>
        <w:spacing w:after="120" w:line="360" w:lineRule="auto"/>
        <w:ind w:firstLine="397"/>
        <w:jc w:val="both"/>
      </w:pPr>
      <w:r>
        <w:rPr>
          <w:rFonts w:ascii="Times New Roman" w:hAnsi="Times New Roman" w:eastAsia="Times New Roman"/>
          <w:sz w:val="22"/>
        </w:rPr>
        <w:t>Το γραφικό περιβάλλον δεν επανυπολογίζει τις επιστημονικές μετρικές. Προβάλλει τα αποτελέσματα που έχουν ήδη παραχθεί από την κοινή διαδικασία ανάλυσης, ώστε η εμφάνιση του UI να μην μπορεί να αλλάξει το επιστημονικό αποτέλεσμα.</w:t>
      </w:r>
    </w:p>
    <w:p>
      <w:pPr>
        <w:spacing w:after="120" w:line="360" w:lineRule="auto"/>
        <w:ind w:firstLine="397"/>
        <w:jc w:val="both"/>
      </w:pPr>
      <w:r>
        <w:rPr>
          <w:rFonts w:ascii="Times New Roman" w:hAnsi="Times New Roman" w:eastAsia="Times New Roman"/>
          <w:sz w:val="22"/>
        </w:rPr>
        <w:t>Η ενότητα Run της εφαρμογής είναι η πιο άμεση σύνδεση ανάμεσα στον χρήστη και στο πείραμα. Στην πρώτη φάση εμφανίζεται ένα βασικό GridWorld και η μέθοδος που εκτελείται. Στη δεύτερη φάση μπορούν να παρουσιαστούν παράλληλα οι αντίστοιχες Frozen και Adaptive περιπτώσεις, ώστε να γίνεται κατανοητή η διαφορά ανάμεσα στη σταθερή χρήση της ήδη εκπαιδευμένης πολιτικής και στη συνέχιση της μάθησης. Η οπτικοποίηση είναι επεξηγηματική: δεν χρησιμοποιείται για την παραγωγή των αριθμητικών αποτελεσμάτων.</w:t>
      </w:r>
    </w:p>
    <w:p>
      <w:pPr>
        <w:keepNext/>
        <w:spacing w:before="120" w:after="60"/>
        <w:jc w:val="center"/>
      </w:pPr>
      <w:r>
        <w:drawing>
          <wp:inline xmlns:a="http://schemas.openxmlformats.org/drawingml/2006/main" xmlns:pic="http://schemas.openxmlformats.org/drawingml/2006/picture">
            <wp:extent cx="5440680" cy="3400425"/>
            <wp:docPr id="27" name="Picture 27" descr="Desktop εφαρμογή PySide6 στη Φάση B με παράλληλη απεικόνιση Frozen και Adaptive GridWorld. DEVELOPMENT capture μόνο για επεξήγηση της υλοποίησης."/>
            <wp:cNvGraphicFramePr>
              <a:graphicFrameLocks noChangeAspect="1"/>
            </wp:cNvGraphicFramePr>
            <a:graphic>
              <a:graphicData uri="http://schemas.openxmlformats.org/drawingml/2006/picture">
                <pic:pic>
                  <pic:nvPicPr>
                    <pic:cNvPr id="0" name="04-run-phase-b-frozen-adaptive-1440x900.png"/>
                    <pic:cNvPicPr/>
                  </pic:nvPicPr>
                  <pic:blipFill>
                    <a:blip r:embed="rId36"/>
                    <a:stretch>
                      <a:fillRect/>
                    </a:stretch>
                  </pic:blipFill>
                  <pic:spPr>
                    <a:xfrm>
                      <a:off x="0" y="0"/>
                      <a:ext cx="5440680" cy="3400425"/>
                    </a:xfrm>
                    <a:prstGeom prst="rect"/>
                  </pic:spPr>
                </pic:pic>
              </a:graphicData>
            </a:graphic>
          </wp:inline>
        </w:drawing>
      </w:r>
    </w:p>
    <w:p>
      <w:pPr>
        <w:pStyle w:val="Caption"/>
        <w:keepLines/>
        <w:spacing w:before="0" w:after="160"/>
        <w:jc w:val="center"/>
      </w:pPr>
      <w:r>
        <w:rPr>
          <w:rFonts w:ascii="Times New Roman" w:hAnsi="Times New Roman" w:eastAsia="Times New Roman"/>
          <w:sz w:val="19"/>
        </w:rPr>
        <w:t>Στιγμιότυπο εφαρμογής 2 — Ενδεικτική προβολή της Φάσης B με παράλληλη παρουσίαση Frozen και Adaptive κλάδων στο GridWorld. Η εικόνα εξηγεί τη λειτουργία της εφαρμογής και δεν χρησιμοποιείται ως επιστημονικό τεκμήριο.</w:t>
      </w:r>
    </w:p>
    <w:p>
      <w:pPr>
        <w:spacing w:after="120" w:line="360" w:lineRule="auto"/>
        <w:ind w:firstLine="397"/>
        <w:jc w:val="both"/>
      </w:pPr>
      <w:r>
        <w:rPr>
          <w:rFonts w:ascii="Times New Roman" w:hAnsi="Times New Roman" w:eastAsia="Times New Roman"/>
          <w:sz w:val="22"/>
        </w:rPr>
        <w:t>Η εφαρμογή επιλέχθηκε ως desktop περιβάλλον PySide6 ώστε ολόκληρη η αλυσίδα να παραμένει στο ίδιο Python project. Δεν απαιτείται ξεχωριστός web server ούτε διαφορετική υλοποίηση των επιστημονικών λειτουργιών για το γραφικό περιβάλλον. Ο χρήστης βλέπει μία οργανωμένη διεπαφή, ενώ οι πραγματικές λειτουργίες εκτέλεσης, αποθήκευσης και ανάγνωσης αποτελεσμάτων παραμένουν στον κοινό πυρήνα.</w:t>
      </w:r>
    </w:p>
    <w:p>
      <w:pPr>
        <w:spacing w:after="120" w:line="360" w:lineRule="auto"/>
        <w:ind w:firstLine="397"/>
        <w:jc w:val="both"/>
      </w:pPr>
      <w:r>
        <w:rPr>
          <w:rFonts w:ascii="Times New Roman" w:hAnsi="Times New Roman" w:eastAsia="Times New Roman"/>
          <w:sz w:val="22"/>
        </w:rPr>
        <w:t>Στην ενότητα Experiment παρουσιάζονται οι μέθοδοι και η βασική δομή της μελέτης πριν από την εκτέλεση. Η ενότητα Run δίνει έμφαση στην τρέχουσα κατάσταση και στο GridWorld. Η ενότητα Results οργανώνει την παρουσίαση ανά RQ1, RQ2 και RQ3 αντί να εμφανίζει έναν ενιαίο πίνακα κατάταξης. Τέλος, η Evidence λειτουργεί ως τεχνικό σημείο επιθεώρησης των αποθηκευμένων εξόδων. Αυτή η διάκριση επιτρέπει το κύριο workflow να παραμένει κατανοητό χωρίς να αποκρύπτεται ότι τα αποτελέσματα προέρχονται από αποθηκευμένη πειραματική διαδικασία.</w:t>
      </w:r>
    </w:p>
    <w:p>
      <w:pPr>
        <w:spacing w:after="120" w:line="360" w:lineRule="auto"/>
        <w:ind w:firstLine="397"/>
        <w:jc w:val="both"/>
      </w:pPr>
      <w:r>
        <w:rPr>
          <w:rFonts w:ascii="Times New Roman" w:hAnsi="Times New Roman" w:eastAsia="Times New Roman"/>
          <w:sz w:val="22"/>
        </w:rPr>
        <w:t>Ιδιαίτερη προσοχή δόθηκε στο να μην μπορεί η οπτικοποίηση να επηρεάσει την εκτέλεση. Η ενημέρωση της οθόνης είναι δευτερεύουσα σε σχέση με το πείραμα: ακόμη και αν ένα οπτικό frame καθυστερήσει ή παραλειφθεί, οι ενέργειες, οι ανταμοιβές και η αποθήκευση της επιστημονικής εκτέλεσης δεν αλλάζουν. Αυτό είναι σημαντικό επειδή η εφαρμογή πρέπει να λειτουργεί ως εργαλείο παρακολούθησης και παρουσίασης και όχι ως δεύτερη, διαφορετική υλοποίηση του πειράματος.</w:t>
      </w:r>
    </w:p>
    <w:p>
      <w:pPr>
        <w:pStyle w:val="Heading2"/>
      </w:pPr>
      <w:r>
        <w:t>4.5 Αποθήκευση και αναπαραγωγιμότητα</w:t>
      </w:r>
    </w:p>
    <w:p>
      <w:pPr>
        <w:spacing w:after="120" w:line="360" w:lineRule="auto"/>
        <w:ind w:firstLine="397"/>
        <w:jc w:val="both"/>
      </w:pPr>
      <w:r>
        <w:rPr>
          <w:rFonts w:ascii="Times New Roman" w:hAnsi="Times New Roman" w:eastAsia="Times New Roman"/>
          <w:sz w:val="22"/>
        </w:rPr>
        <w:t>Κάθε τελική εκτέλεση αποθηκεύει τη ρύθμιση που χρησιμοποιήθηκε, τις πηγές τυχαιότητας, την έκδοση του κώδικα και τα παραγόμενα αρχεία. Τα αρχεία ελέγχονται πριν χαρακτηριστούν τελικά. Η ίδια αλυσίδα χρησιμοποιήθηκε για να παραχθούν τα figures και οι πίνακες της διπλωματικής, επομένως οι αριθμητικές τιμές του κειμένου προέρχονται από τα παγωμένα αποτελέσματα και όχι από χειροκίνητη μεταγραφή.</w:t>
      </w:r>
    </w:p>
    <w:p>
      <w:pPr>
        <w:spacing w:after="120" w:line="360" w:lineRule="auto"/>
        <w:ind w:firstLine="397"/>
        <w:jc w:val="both"/>
      </w:pPr>
      <w:r>
        <w:rPr>
          <w:rFonts w:ascii="Times New Roman" w:hAnsi="Times New Roman" w:eastAsia="Times New Roman"/>
          <w:sz w:val="22"/>
        </w:rPr>
        <w:t>Οι λεπτομέρειες των manifests, των hashes, των εσωτερικών σταδίων και της διαχείρισης αποτυχίας παραμένουν διαθέσιμες στο repository και στο Παράρτημα Γ, αλλά δεν είναι απαραίτητες για την κατανόηση της βασικής λειτουργίας του συστήματος.</w:t>
      </w:r>
    </w:p>
    <w:p>
      <w:pPr>
        <w:pStyle w:val="Heading2"/>
      </w:pPr>
      <w:r>
        <w:t>4.6 Σύνοψη υλοποίησης</w:t>
      </w:r>
    </w:p>
    <w:p>
      <w:pPr>
        <w:spacing w:after="120" w:line="360" w:lineRule="auto"/>
        <w:ind w:firstLine="397"/>
        <w:jc w:val="both"/>
      </w:pPr>
      <w:r>
        <w:rPr>
          <w:rFonts w:ascii="Times New Roman" w:hAnsi="Times New Roman" w:eastAsia="Times New Roman"/>
          <w:sz w:val="22"/>
        </w:rPr>
        <w:t>Η τελική εφαρμογή και το backend αποτελούν ένα ενιαίο σύστημα για ελεγχόμενα πειράματα RL. Το backend διατηρεί την επιστημονική διαδικασία ανεξάρτητη από το UI, ενώ το UI κάνει τη ροή εκτέλεσης και τα αποτελέσματα ευκολότερα επιθεωρήσιμα. Η αρχιτεκτονική αυτή είναι πιο σύνθετη από μια απλή επίδειξη αλγορίθμων, αλλά η πολυπλοκότητα παραμένει εσωτερική και δεν απαιτείται να μεταφερθεί αναλυτικά στο κύριο κείμενο της διπλωματικής.</w:t>
      </w:r>
    </w:p>
    <w:p>
      <w:pPr>
        <w:pStyle w:val="Heading1"/>
      </w:pPr>
      <w:r>
        <w:t>Κεφάλαιο 5 — Πειραματικά Αποτελέσματα</w:t>
      </w:r>
    </w:p>
    <w:p>
      <w:pPr>
        <w:pStyle w:val="Heading2"/>
      </w:pPr>
      <w:r>
        <w:t>5.1 Τρόπος παρουσίασης</w:t>
      </w:r>
    </w:p>
    <w:p>
      <w:pPr>
        <w:spacing w:after="120" w:line="360" w:lineRule="auto"/>
        <w:ind w:firstLine="397"/>
        <w:jc w:val="both"/>
      </w:pPr>
      <w:r>
        <w:rPr>
          <w:rFonts w:ascii="Times New Roman" w:hAnsi="Times New Roman" w:eastAsia="Times New Roman"/>
          <w:sz w:val="22"/>
        </w:rPr>
        <w:t>Τα αποτελέσματα συνοψίζονται σε δώδεκα ανεξάρτητες επαναλήψεις. Στο κύριο κείμενο παρουσιάζονται οι βασικές μέσες τιμές και τα διαστήματα 95% που χρειάζονται για να απαντηθούν τα τρία ερευνητικά ερωτήματα. Οι πλήρεις ζευγαρωμένες συγκρίσεις, οι κατανομές ανά επανάληψη, τα επιπλέον διαγνωστικά και η ανάλυση ευαισθησίας βρίσκονται στο Παράρτημα Β.</w:t>
      </w:r>
    </w:p>
    <w:p>
      <w:pPr>
        <w:spacing w:after="120" w:line="360" w:lineRule="auto"/>
        <w:ind w:firstLine="397"/>
        <w:jc w:val="both"/>
      </w:pPr>
      <w:r>
        <w:rPr>
          <w:rFonts w:ascii="Times New Roman" w:hAnsi="Times New Roman" w:eastAsia="Times New Roman"/>
          <w:sz w:val="22"/>
        </w:rPr>
        <w:t>Η τελική ανάλυση χρησιμοποιεί μόνο την επικυρωμένη τελική εκτέλεση. Η προηγούμενη αποτυχημένη εκτέλεση διατηρείται ως ιστορικό τεκμήριο αλλά δεν συμμετέχει σε κανένα από τα αποτελέσματα που ακολουθούν.</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t>5.2 RQ1 — Ονομαστική μάθηση</w:t>
      </w:r>
    </w:p>
    <w:p>
      <w:pPr>
        <w:pStyle w:val="Heading3"/>
      </w:pPr>
      <w:r>
        <w:t>5.2.1 Τελική επίδοση</w:t>
      </w:r>
    </w:p>
    <w:p>
      <w:pPr>
        <w:spacing w:after="120" w:line="360" w:lineRule="auto"/>
        <w:ind w:firstLine="397"/>
        <w:jc w:val="both"/>
      </w:pPr>
      <w:r>
        <w:rPr>
          <w:rFonts w:ascii="Times New Roman" w:hAnsi="Times New Roman" w:eastAsia="Times New Roman"/>
          <w:sz w:val="22"/>
        </w:rPr>
        <w:t>Στο τέλος της αρχικής εκπαίδευσης, οι Q-Learning, SARSA και Dyna-Q+ είχαν την ίδια μέση τελική επίδοση, -0,100. Η DQN και η PPO είχαν χαμηλότερη μέση τελική επίδοση, -1,862, και μεγαλύτερη μεταβλητότητα μεταξύ των ανεξάρτητων επαναλήψεων. Για DQN το διάστημα 95% ήταν [-2,988, -0,737] και για PPO [-3,156, -0,569].</w:t>
      </w:r>
    </w:p>
    <w:p>
      <w:pPr>
        <w:spacing w:after="120" w:line="360" w:lineRule="auto"/>
        <w:ind w:firstLine="397"/>
        <w:jc w:val="both"/>
      </w:pPr>
      <w:r>
        <w:rPr>
          <w:rFonts w:ascii="Times New Roman" w:hAnsi="Times New Roman" w:eastAsia="Times New Roman"/>
          <w:sz w:val="22"/>
        </w:rPr>
        <w:t>Η εικόνα αυτή δείχνει ότι, μέσα στο συγκεκριμένο GridWorld και budget, οι τρεις tabular/planning μέθοδοι έφτασαν με μεγαλύτερη συνέπεια στο καλύτερο τελικό επίπεδο που παρατηρήθηκε.</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t>5.2.2 Πορεία της μάθησης</w:t>
      </w:r>
    </w:p>
    <w:p>
      <w:pPr>
        <w:spacing w:after="120" w:line="360" w:lineRule="auto"/>
        <w:ind w:firstLine="397"/>
        <w:jc w:val="both"/>
      </w:pPr>
      <w:r>
        <w:rPr>
          <w:rFonts w:ascii="Times New Roman" w:hAnsi="Times New Roman" w:eastAsia="Times New Roman"/>
          <w:sz w:val="22"/>
        </w:rPr>
        <w:t>Η τελική τιμή δεν δείχνει πόσο γρήγορα έμαθε κάθε μέθοδος. Στη μέση επίδοση κατά μήκος της εκπαίδευσης, η Dyna-Q+ είχε -0,485 [−0,512, −0,458], η SARSA -1,611 [−1,792, −1,430] και η Q-Learning -1,628 [−1,831, −1,425]. Η DQN είχε -2,862 [−3,811, −1,914] και η PPO -2,904 [−3,965, −1,844].</w:t>
      </w:r>
    </w:p>
    <w:p>
      <w:pPr>
        <w:spacing w:after="120" w:line="360" w:lineRule="auto"/>
        <w:ind w:firstLine="397"/>
        <w:jc w:val="both"/>
      </w:pPr>
      <w:r>
        <w:rPr>
          <w:rFonts w:ascii="Times New Roman" w:hAnsi="Times New Roman" w:eastAsia="Times New Roman"/>
          <w:sz w:val="22"/>
        </w:rPr>
        <w:t>Άρα η Dyna-Q+ αξιοποίησε γρηγορότερα το διαθέσιμο πλήθος πραγματικών αλληλεπιδράσεων, παρότι στο τέλος κατέληξε στο ίδιο επίπεδο με Q-Learning και SARSA.</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spacing w:after="120" w:line="360" w:lineRule="auto"/>
        <w:ind w:firstLine="397"/>
        <w:jc w:val="both"/>
      </w:pPr>
      <w:r>
        <w:rPr>
          <w:rFonts w:ascii="Times New Roman" w:hAnsi="Times New Roman" w:eastAsia="Times New Roman"/>
          <w:sz w:val="22"/>
        </w:rPr>
        <w:t>Η ανάγνωση του RQ1 χρειάζεται δύο διαφορετικές οπτικές. Η τελική επίδοση απαντά στο πού κατέληξε κάθε μέθοδος μετά το διαθέσιμο training budget. Η μέση επίδοση κατά μήκος της εκπαίδευσης δείχνει πόσο αποτελεσματικά χρησιμοποιήθηκε αυτό το budget. Για αυτό είναι δυνατό δύο μέθοδοι να έχουν παρόμοια τελική συμπεριφορά αλλά διαφορετική πορεία μέχρι να φτάσουν εκεί.</w:t>
      </w:r>
    </w:p>
    <w:p>
      <w:pPr>
        <w:spacing w:after="120" w:line="360" w:lineRule="auto"/>
        <w:ind w:firstLine="397"/>
        <w:jc w:val="both"/>
      </w:pPr>
      <w:r>
        <w:rPr>
          <w:rFonts w:ascii="Times New Roman" w:hAnsi="Times New Roman" w:eastAsia="Times New Roman"/>
          <w:sz w:val="22"/>
        </w:rPr>
        <w:t>Στο συγκεκριμένο GridWorld οι Q-Learning, SARSA και Dyna-Q+ καταλήγουν στην ίδια μέση τελική τιμή. Η διαφορά εμφανίζεται περισσότερο στην πορεία μάθησης, όπου η Dyna-Q+ έχει υψηλότερη time-average επίδοση. Η παρατήρηση αυτή είναι χρήσιμη επειδή αποφεύγει ένα υπερβολικά απλό συμπέρασμα του τύπου «ίδιο τέλος σημαίνει ίδια μάθηση». Για έναν πραγματικό περιορισμένο προϋπολογισμό αλληλεπιδράσεων, το πόσο γρήγορα αποκτάται μια καλή πολιτική μπορεί να έχει πρακτική σημασία.</w:t>
      </w:r>
    </w:p>
    <w:p>
      <w:pPr>
        <w:spacing w:after="120" w:line="360" w:lineRule="auto"/>
        <w:ind w:firstLine="397"/>
        <w:jc w:val="both"/>
      </w:pPr>
      <w:r>
        <w:rPr>
          <w:rFonts w:ascii="Times New Roman" w:hAnsi="Times New Roman" w:eastAsia="Times New Roman"/>
          <w:sz w:val="22"/>
        </w:rPr>
        <w:t>Αντίστοιχα, οι χαμηλότερες μέσες τιμές των DQN και PPO στο συγκεκριμένο setup δεν χρησιμοποιούνται για γενικό συμπέρασμα σχετικά με deep ή policy-gradient μεθόδους. Το task είναι μικρό, η παρατήρηση διακριτή και οι τελικές ρυθμίσεις έχουν επιλεγεί για τη συγκεκριμένη συγκριτική μελέτη. Τα αποτελέσματα περιγράφουν τι συνέβη εδώ και αποτελούν βάση για τη συζήτηση του επόμενου κεφαλαίου.</w:t>
      </w:r>
    </w:p>
    <w:p>
      <w:pPr>
        <w:pStyle w:val="Heading2"/>
      </w:pPr>
      <w:r>
        <w:t>5.3 RQ2 — Επίδραση της online προσαρμογής</w:t>
      </w:r>
    </w:p>
    <w:p>
      <w:pPr>
        <w:spacing w:after="120" w:line="360" w:lineRule="auto"/>
        <w:ind w:firstLine="397"/>
        <w:jc w:val="both"/>
      </w:pPr>
      <w:r>
        <w:rPr>
          <w:rFonts w:ascii="Times New Roman" w:hAnsi="Times New Roman" w:eastAsia="Times New Roman"/>
          <w:sz w:val="22"/>
        </w:rPr>
        <w:t>Θετική τιμή στον παρακάτω πίνακα σημαίνει ότι η συνέχιση της μάθησης περιόρισε την απώλεια που προκάλεσε η διαταραχή. Αρνητική τιμή σημαίνει ότι, στη συγκεκριμένη συνθήκη, η συνέχιση της μάθησης δεν βοήθησε και συνδέθηκε με μεγαλύτερη σχετική απώλεια.</w:t>
      </w:r>
    </w:p>
    <w:p>
      <w:pPr>
        <w:pStyle w:val="Heading3"/>
      </w:pPr>
      <w:r>
        <w:t>5.3.1 Συνολική εικόνα ανά συνθήκη</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Κυκλική ανααντιστοίχιση</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Εναλλαγή δεξιάς–κάτω</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Αποτυχία ενέργειας 15%</w:t>
            </w:r>
          </w:p>
        </w:tc>
        <w:tc>
          <w:tcPr>
            <w:tcW w:type="dxa" w:w="1465"/>
            <w:tcMar>
              <w:top w:w="80" w:type="dxa"/>
              <w:start w:w="80" w:type="dxa"/>
              <w:bottom w:w="80" w:type="dxa"/>
              <w:end w:w="80" w:type="dxa"/>
            </w:tcMar>
            <w:vAlign w:val="center"/>
          </w:tcPr>
          <w:p>
            <w:r>
              <w:rPr>
                <w:rFonts w:ascii="Times New Roman" w:hAnsi="Times New Roman" w:eastAsia="Times New Roman"/>
                <w:sz w:val="17"/>
              </w:rPr>
              <w:t>-0,194</w:t>
            </w:r>
          </w:p>
        </w:tc>
        <w:tc>
          <w:tcPr>
            <w:tcW w:type="dxa" w:w="1465"/>
            <w:tcMar>
              <w:top w:w="80" w:type="dxa"/>
              <w:start w:w="80" w:type="dxa"/>
              <w:bottom w:w="80" w:type="dxa"/>
              <w:end w:w="80" w:type="dxa"/>
            </w:tcMar>
            <w:vAlign w:val="center"/>
          </w:tcPr>
          <w:p>
            <w:r>
              <w:rPr>
                <w:rFonts w:ascii="Times New Roman" w:hAnsi="Times New Roman" w:eastAsia="Times New Roman"/>
                <w:sz w:val="17"/>
              </w:rPr>
              <w:t>0,117</w:t>
            </w:r>
          </w:p>
        </w:tc>
        <w:tc>
          <w:tcPr>
            <w:tcW w:type="dxa" w:w="1465"/>
            <w:tcMar>
              <w:top w:w="80" w:type="dxa"/>
              <w:start w:w="80" w:type="dxa"/>
              <w:bottom w:w="80" w:type="dxa"/>
              <w:end w:w="80" w:type="dxa"/>
            </w:tcMar>
            <w:vAlign w:val="center"/>
          </w:tcPr>
          <w:p>
            <w:r>
              <w:rPr>
                <w:rFonts w:ascii="Times New Roman" w:hAnsi="Times New Roman" w:eastAsia="Times New Roman"/>
                <w:sz w:val="17"/>
              </w:rPr>
              <w:t>-1,108</w:t>
            </w:r>
          </w:p>
        </w:tc>
        <w:tc>
          <w:tcPr>
            <w:tcW w:type="dxa" w:w="1465"/>
            <w:tcMar>
              <w:top w:w="80" w:type="dxa"/>
              <w:start w:w="80" w:type="dxa"/>
              <w:bottom w:w="80" w:type="dxa"/>
              <w:end w:w="80" w:type="dxa"/>
            </w:tcMar>
            <w:vAlign w:val="center"/>
          </w:tcPr>
          <w:p>
            <w:r>
              <w:rPr>
                <w:rFonts w:ascii="Times New Roman" w:hAnsi="Times New Roman" w:eastAsia="Times New Roman"/>
                <w:sz w:val="17"/>
              </w:rPr>
              <w:t>-0,175</w:t>
            </w:r>
          </w:p>
        </w:tc>
        <w:tc>
          <w:tcPr>
            <w:tcW w:type="dxa" w:w="1465"/>
            <w:tcMar>
              <w:top w:w="80" w:type="dxa"/>
              <w:start w:w="80" w:type="dxa"/>
              <w:bottom w:w="80" w:type="dxa"/>
              <w:end w:w="80" w:type="dxa"/>
            </w:tcMar>
            <w:vAlign w:val="center"/>
          </w:tcPr>
          <w:p>
            <w:r>
              <w:rPr>
                <w:rFonts w:ascii="Times New Roman" w:hAnsi="Times New Roman" w:eastAsia="Times New Roman"/>
                <w:sz w:val="17"/>
              </w:rPr>
              <w:t>-0,485</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Αλλοίωση παρατήρησης 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Μέσες τιμές οφέλους προσαρμογής και σημειακά διαστήματα 95% ανά συνθήκη.</w:t>
      </w:r>
    </w:p>
    <w:p>
      <w:pPr>
        <w:spacing w:after="120" w:line="360" w:lineRule="auto"/>
        <w:ind w:firstLine="397"/>
        <w:jc w:val="both"/>
      </w:pPr>
      <w:r>
        <w:rPr>
          <w:rFonts w:ascii="Times New Roman" w:hAnsi="Times New Roman" w:eastAsia="Times New Roman"/>
          <w:sz w:val="22"/>
        </w:rPr>
        <w:t>Στις δύο μόνιμες ανααντιστοιχίσεις ενεργειών, το μεγαλύτερο όφελος εμφανίστηκε στις Q-Learning και SARSA, με θετική εικόνα και για τη Dyna-Q+. Η DQN είχε μικρότερο όφελος και η PPO τιμές κοντά στο μηδέν. Στην αποτυχία ενέργειας 15% δεν προέκυψε καθαρό συνολικό όφελος από τη συνέχιση της μάθησης. Στην αλλοίωση παρατήρησης 5%, οι Q-Learning και SARSA είχαν αρνητικές τιμές, γεγονός που δείχνει ότι η online ενημέρωση μπορεί να είναι επιβαρυντική όταν το σήμα παρατήρησης περιέχει θόρυβο.</w:t>
      </w:r>
    </w:p>
    <w:p>
      <w:pPr>
        <w:spacing w:after="120" w:line="360" w:lineRule="auto"/>
        <w:ind w:firstLine="397"/>
        <w:jc w:val="both"/>
      </w:pPr>
      <w:r>
        <w:rPr>
          <w:rFonts w:ascii="Times New Roman" w:hAnsi="Times New Roman" w:eastAsia="Times New Roman"/>
          <w:sz w:val="22"/>
        </w:rPr>
        <w:t>Για τη συνθήκη αποτυχίας ενέργειας ο πίνακας εμφανίζει τις επαληθευμένες μέσες τιμές. Τα αντίστοιχα σημειακά διαστήματα 95% περιλαμβάνουν το μηδέν για όλες τις μεθόδους, επομένως δεν προκύπτει καθαρό συνολικό όφελος της συνέχισης της μάθησης στη συγκεκριμένη συνθήκη. Η διατύπωση αυτή είναι σκόπιμα πιο περιορισμένη από τις περιπτώσεις των μόνιμων remaps, όπου το μοτίβο είναι σαφέστερο.</w:t>
      </w:r>
    </w:p>
    <w:p>
      <w:pPr>
        <w:spacing w:after="120" w:line="360" w:lineRule="auto"/>
        <w:ind w:firstLine="397"/>
        <w:jc w:val="both"/>
      </w:pPr>
      <w:r>
        <w:rPr>
          <w:rFonts w:ascii="Times New Roman" w:hAnsi="Times New Roman" w:eastAsia="Times New Roman"/>
          <w:sz w:val="22"/>
        </w:rPr>
        <w:t>Η διαφορά ανάμεσα στις συνθήκες είναι ίσως το σημαντικότερο εύρημα του RQ2. Στις μόνιμες ανααντιστοιχίσεις υπάρχει νέα σταθερή σχέση ανάμεσα στην επιλεγμένη και στην εκτελούμενη ενέργεια, άρα η νέα εμπειρία μπορεί να χρησιμοποιηθεί για να μαθευτεί το καινούριο mapping. Στην αλλοίωση παρατήρησης, αντίθετα, οι λανθασμένες παρατηρήσεις είναι περιστασιακές. Η συνεχής ενημέρωση πάνω σε τέτοιο θόρυβο μπορεί να μετακινεί τις εκτιμήσεις χωρίς να υπάρχει ένα νέο σταθερό πρόβλημα που πρέπει να μαθευτεί.</w:t>
      </w:r>
    </w:p>
    <w:p>
      <w:pPr>
        <w:spacing w:after="120" w:line="360" w:lineRule="auto"/>
        <w:ind w:firstLine="397"/>
        <w:jc w:val="both"/>
      </w:pPr>
      <w:r>
        <w:rPr>
          <w:rFonts w:ascii="Times New Roman" w:hAnsi="Times New Roman" w:eastAsia="Times New Roman"/>
          <w:sz w:val="22"/>
        </w:rPr>
        <w:t>Το βασικό συμπέρασμα του RQ2 είναι ότι η προσαρμογή εξαρτάται από το είδος της μεταβολής. Η δυνατότητα συνέχισης της μάθησης δεν αποτελεί από μόνη της εγγύηση καλύτερης συμπεριφοράς.</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t>5.4 RQ3 — Ανάκαμψη μετά από μόνιμη αλλαγή</w:t>
      </w:r>
    </w:p>
    <w:p>
      <w:pPr>
        <w:spacing w:after="120" w:line="360" w:lineRule="auto"/>
        <w:ind w:firstLine="397"/>
        <w:jc w:val="both"/>
      </w:pPr>
      <w:r>
        <w:rPr>
          <w:rFonts w:ascii="Times New Roman" w:hAnsi="Times New Roman" w:eastAsia="Times New Roman"/>
          <w:sz w:val="22"/>
        </w:rPr>
        <w:t>Η ανάκαμψη εξετάζεται μόνο στις δύο μόνιμες ανααντιστοιχίσεις ενεργειών. Ο παρακάτω πίνακας δείχνει πόσες από τις 12 ανεξάρτητες επαναλήψεις ικανοποίησαν το βασικό κριτήριο σταθερής ανάκαμψης.</w:t>
      </w:r>
    </w:p>
    <w:p>
      <w:pPr>
        <w:pStyle w:val="Heading3"/>
      </w:pPr>
      <w:r>
        <w:t>5.4.1 Ανάκαμψη στις δύο μόνιμες αλλαγές</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2/12</w:t>
            </w:r>
          </w:p>
        </w:tc>
        <w:tc>
          <w:tcPr>
            <w:tcW w:type="dxa" w:w="2929"/>
            <w:tcMar>
              <w:top w:w="80" w:type="dxa"/>
              <w:start w:w="80" w:type="dxa"/>
              <w:bottom w:w="80" w:type="dxa"/>
              <w:end w:w="80" w:type="dxa"/>
            </w:tcMar>
            <w:vAlign w:val="center"/>
          </w:tcPr>
          <w:p>
            <w:r>
              <w:rPr>
                <w:rFonts w:ascii="Times New Roman" w:hAnsi="Times New Roman" w:eastAsia="Times New Roman"/>
                <w:sz w:val="17"/>
              </w:rPr>
              <w:t>8/12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8/12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1/12</w:t>
            </w:r>
          </w:p>
        </w:tc>
        <w:tc>
          <w:tcPr>
            <w:tcW w:type="dxa" w:w="2929"/>
            <w:tcMar>
              <w:top w:w="80" w:type="dxa"/>
              <w:start w:w="80" w:type="dxa"/>
              <w:bottom w:w="80" w:type="dxa"/>
              <w:end w:w="80" w:type="dxa"/>
            </w:tcMar>
            <w:vAlign w:val="center"/>
          </w:tcPr>
          <w:p>
            <w:r>
              <w:rPr>
                <w:rFonts w:ascii="Times New Roman" w:hAnsi="Times New Roman" w:eastAsia="Times New Roman"/>
                <w:sz w:val="17"/>
              </w:rPr>
              <w:t>4/12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c>
          <w:tcPr>
            <w:tcW w:type="dxa" w:w="2929"/>
            <w:tcMar>
              <w:top w:w="80" w:type="dxa"/>
              <w:start w:w="80" w:type="dxa"/>
              <w:bottom w:w="80" w:type="dxa"/>
              <w:end w:w="80" w:type="dxa"/>
            </w:tcMar>
            <w:vAlign w:val="center"/>
          </w:tcPr>
          <w:p>
            <w:r>
              <w:rPr>
                <w:rFonts w:ascii="Times New Roman" w:hAnsi="Times New Roman" w:eastAsia="Times New Roman"/>
                <w:sz w:val="17"/>
              </w:rPr>
              <w:t>12/12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Σύνοψη για την ενότητα «5.4.1 Ανάκαμψη στις δύο μόνιμες αλλαγές».</w:t>
      </w:r>
    </w:p>
    <w:p>
      <w:pPr>
        <w:spacing w:after="120" w:line="360" w:lineRule="auto"/>
        <w:ind w:firstLine="397"/>
        <w:jc w:val="both"/>
      </w:pPr>
      <w:r>
        <w:rPr>
          <w:rFonts w:ascii="Times New Roman" w:hAnsi="Times New Roman" w:eastAsia="Times New Roman"/>
          <w:sz w:val="22"/>
        </w:rPr>
        <w:t>Στην κυκλική ανααντιστοίχιση, οι Q-Learning, SARSA και Dyna-Q+ ανακτήθηκαν και στις 12 επαναλήψεις. Οι αντίστοιχοι μέσοι περιορισμένοι χρόνοι μέχρι τις 256 αλληλεπιδράσεις ήταν 98,7 για Q-Learning, 136,0 για SARSA και 176,0 για Dyna-Q+, έναντι 226,7 για DQN και 245,3 για PPO.</w:t>
      </w:r>
    </w:p>
    <w:p>
      <w:pPr>
        <w:spacing w:after="120" w:line="360" w:lineRule="auto"/>
        <w:ind w:firstLine="397"/>
        <w:jc w:val="both"/>
      </w:pPr>
      <w:r>
        <w:rPr>
          <w:rFonts w:ascii="Times New Roman" w:hAnsi="Times New Roman" w:eastAsia="Times New Roman"/>
          <w:sz w:val="22"/>
        </w:rPr>
        <w:t>Στην εναλλαγή δεξιάς–κάτω, Q-Learning και SARSA ανακτήθηκαν ξανά σε 12/12 επαναλήψεις, DQN και Dyna-Q+ σε 8/12 και PPO σε 4/12. Οι αντίστοιχοι περιορισμένοι χρόνοι ήταν 106,7 για Q-Learning, 98,7 για SARSA, 130,7 για DQN, 133,3 για Dyna-Q+ και 189,3 για PPO.</w:t>
      </w:r>
    </w:p>
    <w:p>
      <w:pPr>
        <w:spacing w:after="120" w:line="360" w:lineRule="auto"/>
        <w:ind w:firstLine="397"/>
        <w:jc w:val="both"/>
      </w:pPr>
      <w:r>
        <w:rPr>
          <w:rFonts w:ascii="Times New Roman" w:hAnsi="Times New Roman" w:eastAsia="Times New Roman"/>
          <w:sz w:val="22"/>
        </w:rPr>
        <w:t>Οι αριθμοί αυτοί δείχνουν ότι η Q-Learning και η SARSA είχαν την πιο συνεπή ανάκαμψη στις δύο μόνιμες αλλαγές. Η Dyna-Q+ ήταν επίσης σταθερή στην κυκλική αλλαγή αλλά όχι σε όλες τις επαναλήψεις της δεύτερης αλλαγής. Οι DQN και PPO παρουσίασαν συχνότερα μη ανάκαμψη μέσα στον διαθέσιμο ορίζοντα.</w:t>
      </w:r>
    </w:p>
    <w:p>
      <w:pPr>
        <w:spacing w:after="120" w:line="360" w:lineRule="auto"/>
        <w:ind w:firstLine="397"/>
        <w:jc w:val="both"/>
      </w:pPr>
      <w:r>
        <w:rPr>
          <w:rFonts w:ascii="Times New Roman" w:hAnsi="Times New Roman" w:eastAsia="Times New Roman"/>
          <w:sz w:val="22"/>
        </w:rPr>
        <w:t>Οι αναλυτικοί conditional χρόνοι, οι περιπτώσεις μη ανάκαμψης, οι ζευγαρωμένες συγκρίσεις και η προδηλωμένη ανάλυση ευαισθησίας στις ανοχές 0,05 και 0,20 παρατίθενται στο Παράρτημα Β.</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spacing w:after="120" w:line="360" w:lineRule="auto"/>
        <w:ind w:firstLine="397"/>
        <w:jc w:val="both"/>
      </w:pPr>
      <w:r>
        <w:rPr>
          <w:rFonts w:ascii="Times New Roman" w:hAnsi="Times New Roman" w:eastAsia="Times New Roman"/>
          <w:sz w:val="22"/>
        </w:rPr>
        <w:t>Η αναλογία ανάκαμψης και ο χρόνος ανάκαμψης πρέπει να διαβάζονται μαζί. Μια μέθοδος που ανακάμπτει γρήγορα σε λίγες μόνο επαναλήψεις δεν είναι κατ’ ανάγκη πιο αξιόπιστη από μια μέθοδο που ανακάμπτει λίγο αργότερα αλλά το κάνει σχεδόν πάντα. Για αυτό το κύριο κείμενο δίνει πρώτα τον αριθμό recovered roots και χρησιμοποιεί τον περιορισμένο χρόνο μέχρι τον κοινό ορίζοντα ώστε οι περιπτώσεις μη ανάκαμψης να μην εξαφανίζονται από τη σύνοψη.</w:t>
      </w:r>
    </w:p>
    <w:p>
      <w:pPr>
        <w:spacing w:after="120" w:line="360" w:lineRule="auto"/>
        <w:ind w:firstLine="397"/>
        <w:jc w:val="both"/>
      </w:pPr>
      <w:r>
        <w:rPr>
          <w:rFonts w:ascii="Times New Roman" w:hAnsi="Times New Roman" w:eastAsia="Times New Roman"/>
          <w:sz w:val="22"/>
        </w:rPr>
        <w:t>Η Q-Learning και η SARSA ξεχωρίζουν κυρίως λόγω της συνέπειας: πέτυχαν το βασικό κριτήριο ανάκαμψης και στις δώδεκα επαναλήψεις και για τα δύο remaps. Η Dyna-Q+ είχε επίσης πλήρη ανάκαμψη στην κυκλική αλλαγή, αλλά όχι στο swap. Για DQN και PPO η συχνότερη μη ανάκαμψη δείχνει ότι το ζήτημα δεν είναι μόνο πόσο γρήγορα μπορεί να προσαρμοστεί μια επιτυχημένη εκτέλεση, αλλά και πόσο συχνά επιτυγχάνεται τελικά η σταθερή επιστροφή κοντά στη nominal πορεία.</w:t>
      </w:r>
    </w:p>
    <w:p>
      <w:pPr>
        <w:pStyle w:val="Heading2"/>
      </w:pPr>
      <w:r>
        <w:t>5.5 Συνολική εικόνα</w:t>
      </w:r>
    </w:p>
    <w:p>
      <w:pPr>
        <w:spacing w:after="120" w:line="360" w:lineRule="auto"/>
        <w:ind w:firstLine="397"/>
        <w:jc w:val="both"/>
      </w:pPr>
      <w:r>
        <w:rPr>
          <w:rFonts w:ascii="Times New Roman" w:hAnsi="Times New Roman" w:eastAsia="Times New Roman"/>
          <w:sz w:val="22"/>
        </w:rPr>
        <w:t>Τα τρία ερευνητικά ερωτήματα δεν οδηγούν σε έναν μοναδικό νικητή. Η Dyna-Q+ είχε την καλύτερη πορεία ονομαστικής μάθησης μέσα στο διαθέσιμο budget, ενώ Q-Learning και SARSA εμφάνισαν την πιο συνεπή ανάκαμψη στις δύο μόνιμες αλλαγές. Παράλληλα, η online προσαρμογή ήταν ιδιαίτερα χρήσιμη στις μόνιμες ανααντιστοιχίσεις για τις tabular μεθόδους, αλλά όχι σε κάθε μορφή αβεβαιότητας.</w:t>
      </w:r>
    </w:p>
    <w:p>
      <w:pPr>
        <w:spacing w:after="120" w:line="360" w:lineRule="auto"/>
        <w:ind w:firstLine="397"/>
        <w:jc w:val="both"/>
      </w:pPr>
      <w:r>
        <w:rPr>
          <w:rFonts w:ascii="Times New Roman" w:hAnsi="Times New Roman" w:eastAsia="Times New Roman"/>
          <w:sz w:val="22"/>
        </w:rPr>
        <w:t>Η απλούστερη παρουσίαση του κύριου κειμένου δεν αφαιρεί τα αναλυτικά αποτελέσματα. Οι πλήρεις πίνακες, οι direct contrasts, οι root-level κατανομές, οι sensitivity diagnostics και τα επιπλέον figures παραμένουν στο Παράρτημα Β και στο αποθηκευμένο evidence της εργασίας.</w:t>
      </w:r>
    </w:p>
    <w:p>
      <w:pPr>
        <w:pStyle w:val="Heading1"/>
      </w:pPr>
      <w:r>
        <w:t>Κεφάλαιο 6 — Συζήτηση</w:t>
      </w:r>
    </w:p>
    <w:p>
      <w:pPr>
        <w:pStyle w:val="Heading2"/>
      </w:pPr>
      <w:r>
        <w:t>6.1 Τι δείχνει συνολικά η μελέτη</w:t>
      </w:r>
    </w:p>
    <w:p>
      <w:pPr>
        <w:spacing w:after="120" w:line="360" w:lineRule="auto"/>
        <w:ind w:firstLine="397"/>
        <w:jc w:val="both"/>
      </w:pPr>
      <w:r>
        <w:rPr>
          <w:rFonts w:ascii="Times New Roman" w:hAnsi="Times New Roman" w:eastAsia="Times New Roman"/>
          <w:sz w:val="22"/>
        </w:rPr>
        <w:t>Το βασικό αποτέλεσμα είναι ότι η ανθεκτικότητα δεν είναι μία ενιαία ιδιότητα. Η καλή επίδοση πριν από μια αλλαγή, το όφελος της συνέχισης της μάθησης και η ταχύτητα ανάκαμψης περιγράφουν διαφορετικές πλευρές της συμπεριφοράς ενός πράκτορα. Για αυτό οι μέθοδοι δεν κατατάσσονται σωστά με έναν μόνο συνολικό αριθμό.</w:t>
      </w:r>
    </w:p>
    <w:p>
      <w:pPr>
        <w:pStyle w:val="Heading2"/>
      </w:pPr>
      <w:r>
        <w:t>6.2 Ονομαστική μάθηση</w:t>
      </w:r>
    </w:p>
    <w:p>
      <w:pPr>
        <w:spacing w:after="120" w:line="360" w:lineRule="auto"/>
        <w:ind w:firstLine="397"/>
        <w:jc w:val="both"/>
      </w:pPr>
      <w:r>
        <w:rPr>
          <w:rFonts w:ascii="Times New Roman" w:hAnsi="Times New Roman" w:eastAsia="Times New Roman"/>
          <w:sz w:val="22"/>
        </w:rPr>
        <w:t>Οι Q-Learning, SARSA και Dyna-Q+ έφτασαν στο ίδιο τελικό επίπεδο στο συγκεκριμένο GridWorld, όμως η Dyna-Q+ έφτασε σε υψηλή επίδοση νωρίτερα. Αυτό είναι συμβατό με τη βασική ιδέα της Dyna, όπου η πραγματική εμπειρία αξιοποιείται και για πρόσθετες planning ενημερώσεις [1].</w:t>
      </w:r>
    </w:p>
    <w:p>
      <w:pPr>
        <w:spacing w:after="120" w:line="360" w:lineRule="auto"/>
        <w:ind w:firstLine="397"/>
        <w:jc w:val="both"/>
      </w:pPr>
      <w:r>
        <w:rPr>
          <w:rFonts w:ascii="Times New Roman" w:hAnsi="Times New Roman" w:eastAsia="Times New Roman"/>
          <w:sz w:val="22"/>
        </w:rPr>
        <w:t>Οι DQN και PPO είχαν χαμηλότερη επίδοση και μεγαλύτερη διακύμανση. Το αποτέλεσμα δεν σημαίνει ότι οι deep RL μέθοδοι είναι γενικά χειρότερες. Το περιβάλλον είναι μικρό και διακριτό, ενώ οι deep μέθοδοι έχουν μεγαλύτερη παραμετρική και υπολογιστική πολυπλοκότητα και είναι γνωστό ότι επηρεάζονται έντονα από ρυθμίσεις υλοποίησης και τυχαιότητα [6], [13].</w:t>
      </w:r>
    </w:p>
    <w:p>
      <w:pPr>
        <w:pStyle w:val="Heading2"/>
      </w:pPr>
      <w:r>
        <w:t>6.3 Η προσαρμογή εξαρτάται από τη διαταραχή</w:t>
      </w:r>
    </w:p>
    <w:p>
      <w:pPr>
        <w:spacing w:after="120" w:line="360" w:lineRule="auto"/>
        <w:ind w:firstLine="397"/>
        <w:jc w:val="both"/>
      </w:pPr>
      <w:r>
        <w:rPr>
          <w:rFonts w:ascii="Times New Roman" w:hAnsi="Times New Roman" w:eastAsia="Times New Roman"/>
          <w:sz w:val="22"/>
        </w:rPr>
        <w:t>Στις μόνιμες ανααντιστοιχίσεις ενεργειών, η συνέχιση της μάθησης βοήθησε ιδιαίτερα Q-Learning και SARSA και επίσης Dyna-Q+. Αυτό είναι λογικό, επειδή οι νέες εμπειρίες μπορούν σταδιακά να αντικαταστήσουν τις παλιές εκτιμήσεις για τη σχέση ανάμεσα σε ενέργειες και συνέπειες.</w:t>
      </w:r>
    </w:p>
    <w:p>
      <w:pPr>
        <w:spacing w:after="120" w:line="360" w:lineRule="auto"/>
        <w:ind w:firstLine="397"/>
        <w:jc w:val="both"/>
      </w:pPr>
      <w:r>
        <w:rPr>
          <w:rFonts w:ascii="Times New Roman" w:hAnsi="Times New Roman" w:eastAsia="Times New Roman"/>
          <w:sz w:val="22"/>
        </w:rPr>
        <w:t>Η ίδια λογική δεν ισχύει σε κάθε μορφή αβεβαιότητας. Στην τυχαία αποτυχία ενεργειών δεν εμφανίστηκε σαφές συνολικό όφελος, ενώ στην αλλοίωση παρατήρησης η online ενημέρωση ήταν επιβαρυντική για Q-Learning και SARSA. Όταν η είσοδος του πράκτορα είναι περιστασιακά λανθασμένη, η νέα εμπειρία μπορεί να μεταφέρει αυτό το σφάλμα στη διαδικασία μάθησης. Η ερμηνεία αυτή είναι συμβατή με το γενικό πρόβλημα stability–plasticity σε μη στάσιμα περιβάλλοντα, αλλά δεν αποτελεί ξεχωριστή αιτιακή απόδειξη του συγκεκριμένου πειράματος [2], [3].</w:t>
      </w:r>
    </w:p>
    <w:p>
      <w:pPr>
        <w:pStyle w:val="Heading2"/>
      </w:pPr>
      <w:r>
        <w:t>6.4 Ανάκαμψη μετά από μόνιμη αλλαγή</w:t>
      </w:r>
    </w:p>
    <w:p>
      <w:pPr>
        <w:spacing w:after="120" w:line="360" w:lineRule="auto"/>
        <w:ind w:firstLine="397"/>
        <w:jc w:val="both"/>
      </w:pPr>
      <w:r>
        <w:rPr>
          <w:rFonts w:ascii="Times New Roman" w:hAnsi="Times New Roman" w:eastAsia="Times New Roman"/>
          <w:sz w:val="22"/>
        </w:rPr>
        <w:t>Η Q-Learning και η SARSA ήταν οι μόνες μέθοδοι που ανακτήθηκαν σε όλες τις ανεξάρτητες επαναλήψεις και των δύο μόνιμων αλλαγών. Η Dyna-Q+ είχε πλήρη ανάκαμψη στην κυκλική αλλαγή αλλά όχι στη δεύτερη, ενώ DQN και PPO είχαν περισσότερες περιπτώσεις στις οποίες το κριτήριο ανάκαμψης δεν επιτεύχθηκε μέσα στο διαθέσιμο χρονικό όριο.</w:t>
      </w:r>
    </w:p>
    <w:p>
      <w:pPr>
        <w:spacing w:after="120" w:line="360" w:lineRule="auto"/>
        <w:ind w:firstLine="397"/>
        <w:jc w:val="both"/>
      </w:pPr>
      <w:r>
        <w:rPr>
          <w:rFonts w:ascii="Times New Roman" w:hAnsi="Times New Roman" w:eastAsia="Times New Roman"/>
          <w:sz w:val="22"/>
        </w:rPr>
        <w:t>Το αποτέλεσμα αυτό δείχνει γιατί η συνολική βελτίωση της επίδοσης μετά από μια αλλαγή δεν είναι ακριβώς το ίδιο με τη σταθερή ανάκαμψη. Μια μέθοδος μπορεί να βελτιώνεται αισθητά αλλά να μην επιστρέφει αρκετά κοντά στην κανονική της πορεία σε όλες τις επαναλήψεις.</w:t>
      </w:r>
    </w:p>
    <w:p>
      <w:pPr>
        <w:spacing w:after="120" w:line="360" w:lineRule="auto"/>
        <w:ind w:firstLine="397"/>
        <w:jc w:val="both"/>
      </w:pPr>
      <w:r>
        <w:rPr>
          <w:rFonts w:ascii="Times New Roman" w:hAnsi="Times New Roman" w:eastAsia="Times New Roman"/>
          <w:sz w:val="22"/>
        </w:rPr>
        <w:t>Η διαφορά ανάμεσα στις tabular και στις deep μεθόδους πρέπει να ερμηνευθεί σε συνάρτηση με το ίδιο το testbed. Σε ένα 7×7 διακριτό πλέγμα, οι tabular μέθοδοι μπορούν να αποθηκεύσουν άμεσα τιμές για το μικρό σύνολο καταστάσεων και ενεργειών. Η χρήση νευρωνικού δικτύου δεν προσφέρει εδώ το ίδιο πλεονέκτημα αναπαράστασης που θα είχε σε εικόνες ή σε πολύ μεγάλους χώρους καταστάσεων. Συνεπώς, η ισχυρή συμπεριφορά των Q-Learning και SARSA δεν μετατρέπεται σε ισχυρισμό ότι οι απλές μέθοδοι είναι γενικά καταλληλότερες για σύνθετα προβλήματα.</w:t>
      </w:r>
    </w:p>
    <w:p>
      <w:pPr>
        <w:spacing w:after="120" w:line="360" w:lineRule="auto"/>
        <w:ind w:firstLine="397"/>
        <w:jc w:val="both"/>
      </w:pPr>
      <w:r>
        <w:rPr>
          <w:rFonts w:ascii="Times New Roman" w:hAnsi="Times New Roman" w:eastAsia="Times New Roman"/>
          <w:sz w:val="22"/>
        </w:rPr>
        <w:t>Η Dyna-Q+ παρουσιάζει ένα ενδιαφέρον ενδιάμεσο μοτίβο. Το planning βοηθά στην ταχύτερη αξιοποίηση της nominal εμπειρίας, αλλά μετά από αλλαγή μέρος του μαθημένου μοντέλου μπορεί να αναπαριστά προσωρινά την παλιά δυναμική. Η επανεξερεύνηση της Dyna-Q+ βοηθά να ανακαλυφθεί η αλλαγή, όμως απαιτεί νέες πραγματικές επισκέψεις στα επηρεασμένα ζεύγη κατάστασης και ενέργειας. Αυτό προσφέρει μία λογική εξήγηση για το ότι η μέθοδος είναι ισχυρή στην nominal learning efficiency χωρίς να είναι πάντοτε η ταχύτερη στην ανάκαμψη.</w:t>
      </w:r>
    </w:p>
    <w:p>
      <w:pPr>
        <w:spacing w:after="120" w:line="360" w:lineRule="auto"/>
        <w:ind w:firstLine="397"/>
        <w:jc w:val="both"/>
      </w:pPr>
      <w:r>
        <w:rPr>
          <w:rFonts w:ascii="Times New Roman" w:hAnsi="Times New Roman" w:eastAsia="Times New Roman"/>
          <w:sz w:val="22"/>
        </w:rPr>
        <w:t>Για τις DQN και PPO δεν είναι ασφαλές να αποδοθεί η χαμηλότερη επίδοση σε έναν μόνο μηχανισμό. Οι νευρωνικές μέθοδοι συνδυάζουν stochastic optimization, αρχιτεκτονικές επιλογές και διαφορετικό τρόπο χρήσης της εμπειρίας. Η παρούσα εργασία κρατά τις τελικές ρυθμίσεις σταθερές και παρατηρεί τη συμπεριφορά τους· δεν πραγματοποιεί πρόσθετα post-hoc πειράματα για να απομονώσει ποια εσωτερική επιλογή προκάλεσε κάθε αποτέλεσμα.</w:t>
      </w:r>
    </w:p>
    <w:p>
      <w:pPr>
        <w:spacing w:after="120" w:line="360" w:lineRule="auto"/>
        <w:ind w:firstLine="397"/>
        <w:jc w:val="both"/>
      </w:pPr>
      <w:r>
        <w:rPr>
          <w:rFonts w:ascii="Times New Roman" w:hAnsi="Times New Roman" w:eastAsia="Times New Roman"/>
          <w:sz w:val="22"/>
        </w:rPr>
        <w:t>Από εφαρμοστική άποψη, τα αποτελέσματα δείχνουν επίσης γιατί η ανθεκτικότητα πρέπει να εξετάζεται ανά τύπο μεταβολής. Ένα σύστημα που προσαρμόζεται καλά σε μόνιμη αλλαγή δυναμικής μπορεί να συμπεριφέρεται διαφορετικά όταν το πρόβλημα είναι θόρυβος στην παρατήρηση. Η συνεχής μάθηση αυξάνει την πλαστικότητα, αλλά ταυτόχρονα σημαίνει ότι ο πράκτορας συνεχίζει να επηρεάζεται από τα νέα δεδομένα. Αν τα νέα δεδομένα περιγράφουν σταθερή αλλαγή αυτό μπορεί να είναι χρήσιμο· αν περιλαμβάνουν περιστασιακά λάθη μπορεί να είναι επιβαρυντικό.</w:t>
      </w:r>
    </w:p>
    <w:p>
      <w:pPr>
        <w:pStyle w:val="Heading2"/>
      </w:pPr>
      <w:r>
        <w:t>6.5 Περιορισμοί</w:t>
      </w:r>
    </w:p>
    <w:p>
      <w:pPr>
        <w:spacing w:after="120" w:line="360" w:lineRule="auto"/>
        <w:ind w:firstLine="397"/>
        <w:jc w:val="both"/>
      </w:pPr>
      <w:r>
        <w:rPr>
          <w:rFonts w:ascii="Times New Roman" w:hAnsi="Times New Roman" w:eastAsia="Times New Roman"/>
          <w:sz w:val="22"/>
        </w:rPr>
        <w:t>Η μελέτη έχει σκόπιμα περιορισμένο πεδίο. Χρησιμοποιεί ένα μικρό GridWorld, δύο τελικές διατάξεις, δώδεκα ανεξάρτητες επαναλήψεις και ένα συγκεκριμένο σύνολο ρυθμίσεων. Επομένως τα αποτελέσματα δεν μεταφέρονται αυτομάτως σε continuous control, robotics ή πολύ μεγαλύτερα περιβάλλοντα.</w:t>
      </w:r>
    </w:p>
    <w:p>
      <w:pPr>
        <w:spacing w:after="120" w:line="360" w:lineRule="auto"/>
        <w:ind w:firstLine="397"/>
        <w:jc w:val="both"/>
      </w:pPr>
      <w:r>
        <w:rPr>
          <w:rFonts w:ascii="Times New Roman" w:hAnsi="Times New Roman" w:eastAsia="Times New Roman"/>
          <w:sz w:val="22"/>
        </w:rPr>
        <w:t>Επίσης, οι μέθοδοι δεν περιλαμβάνουν ειδικό μηχανισμό ανίχνευσης αλλαγής ή ρητή πληροφορία για το νέο καθεστώς. Σύγχρονες προσεγγίσεις που χρησιμοποιούν context ή πιο εξειδικευμένη διαχείριση μνήμης και μοντέλου μπορούν να αντιμετωπίζουν διαφορετικά το ίδιο πρόβλημα [7], [8].</w:t>
      </w:r>
    </w:p>
    <w:p>
      <w:pPr>
        <w:spacing w:after="120" w:line="360" w:lineRule="auto"/>
        <w:ind w:firstLine="397"/>
        <w:jc w:val="both"/>
      </w:pPr>
      <w:r>
        <w:rPr>
          <w:rFonts w:ascii="Times New Roman" w:hAnsi="Times New Roman" w:eastAsia="Times New Roman"/>
          <w:sz w:val="22"/>
        </w:rPr>
        <w:t>Τέλος, τα διαστήματα 95% βοηθούν να φανεί η μεταβλητότητα ανάμεσα στις ανεξάρτητες επαναλήψεις, αλλά η εργασία δεν επιχειρεί να μετατρέψει τις πολλές συγκρίσεις σε οικογένεια ελέγχων στατιστικής υπεροχής. Οι αναλυτικές συγκρίσεις χρησιμοποιούνται για τεκμηρίωση και όχι για καθολική κατάταξη.</w:t>
      </w:r>
    </w:p>
    <w:p>
      <w:pPr>
        <w:spacing w:after="120" w:line="360" w:lineRule="auto"/>
        <w:ind w:firstLine="397"/>
        <w:jc w:val="both"/>
      </w:pPr>
      <w:r>
        <w:rPr>
          <w:rFonts w:ascii="Times New Roman" w:hAnsi="Times New Roman" w:eastAsia="Times New Roman"/>
          <w:sz w:val="22"/>
        </w:rPr>
        <w:t>Ένας ακόμη περιορισμός αφορά το μέγεθος του πειράματος. Οι δώδεκα ανεξάρτητες επαναλήψεις είναι σαφώς ισχυρότερη βάση από μία ή δύο τυχαίες εκτελέσεις, αλλά δεν εξαφανίζουν την αβεβαιότητα. Για αυτό τα διαστήματα χρησιμοποιούνται ως βοήθημα για το πόσο σταθερή είναι η εκτίμηση και όχι ως αφορμή για να μετατραπεί κάθε μικρή αριθμητική διαφορά σε συμπέρασμα υπεροχής.</w:t>
      </w:r>
    </w:p>
    <w:p>
      <w:pPr>
        <w:spacing w:after="120" w:line="360" w:lineRule="auto"/>
        <w:ind w:firstLine="397"/>
        <w:jc w:val="both"/>
      </w:pPr>
      <w:r>
        <w:rPr>
          <w:rFonts w:ascii="Times New Roman" w:hAnsi="Times New Roman" w:eastAsia="Times New Roman"/>
          <w:sz w:val="22"/>
        </w:rPr>
        <w:t>Οι δύο τελικές διατάξεις προσφέρουν έλεγχο απέναντι σε μία μοναδική γεωμετρία GridWorld, αλλά εξακολουθούν να ανήκουν στο ίδιο μικρό task. Μελλοντική εργασία θα μπορούσε να εξετάσει μεγαλύτερα ή διαφορετικά περιβάλλοντα και να ελέγξει αν τα ίδια μοτίβα διατηρούνται. Αντίστοιχα, διαφορετικό interaction budget μπορεί να αλλάξει ιδιαίτερα την εικόνα των deep μεθόδων, οι οποίες ενδέχεται να χρειάζονται περισσότερη εμπειρία για να αξιοποιήσουν τη μεγαλύτερη παραμετρική τους ικανότητα.</w:t>
      </w:r>
    </w:p>
    <w:p>
      <w:pPr>
        <w:spacing w:after="120" w:line="360" w:lineRule="auto"/>
        <w:ind w:firstLine="397"/>
        <w:jc w:val="both"/>
      </w:pPr>
      <w:r>
        <w:rPr>
          <w:rFonts w:ascii="Times New Roman" w:hAnsi="Times New Roman" w:eastAsia="Times New Roman"/>
          <w:sz w:val="22"/>
        </w:rPr>
        <w:t>Τέλος, η εργασία εξετάζει προσαρμογή χωρίς ρητή ανακοίνωση της αλλαγής και χωρίς ειδικό change detector. Αυτό είναι σκόπιμο για να συγκριθούν οι πέντε επιλεγμένες μέθοδοι σε κοινό πλαίσιο, αλλά δεν σημαίνει ότι αυτή είναι η μόνη δυνατή σχεδίαση ανθεκτικού πράκτορα. Σε πραγματικές εφαρμογές μπορούν να χρησιμοποιηθούν μηχανισμοί ανίχνευσης αλλαγής, context, ειδική διαχείριση replay ή άλλες continual-learning τεχνικές.</w:t>
      </w:r>
    </w:p>
    <w:p>
      <w:pPr>
        <w:pStyle w:val="Heading2"/>
      </w:pPr>
      <w:r>
        <w:t>6.6 Πρακτική αποτίμηση</w:t>
      </w:r>
    </w:p>
    <w:p>
      <w:pPr>
        <w:spacing w:after="120" w:line="360" w:lineRule="auto"/>
        <w:ind w:firstLine="397"/>
        <w:jc w:val="both"/>
      </w:pPr>
      <w:r>
        <w:rPr>
          <w:rFonts w:ascii="Times New Roman" w:hAnsi="Times New Roman" w:eastAsia="Times New Roman"/>
          <w:sz w:val="22"/>
        </w:rPr>
        <w:t>Για το συγκεκριμένο ελεγχόμενο πρόβλημα, οι απλούστερες tabular μέθοδοι αποδείχθηκαν ιδιαίτερα ανταγωνιστικές. Η Dyna-Q+ είχε πλεονέκτημα στην ταχύτητα της αρχικής μάθησης, ενώ Q-Learning και SARSA ήταν πιο συνεπείς στην ανάκαμψη μετά από μόνιμη αλλαγή. Η επιλογή μεθόδου επομένως πρέπει να συνδέεται με το είδος του περιβάλλοντος και της μεταβολής που αναμένεται, όχι μόνο με την πολυπλοκότητα του αλγορίθμου.</w:t>
      </w:r>
    </w:p>
    <w:p>
      <w:pPr>
        <w:pStyle w:val="Heading1"/>
      </w:pPr>
      <w:r>
        <w:t>Κεφάλαιο 7 — Συμπεράσματα και Μελλοντική Εργασία</w:t>
      </w:r>
    </w:p>
    <w:p>
      <w:pPr>
        <w:pStyle w:val="Heading2"/>
      </w:pPr>
      <w:r>
        <w:t>7.1 Συνοπτική αποτίμηση</w:t>
      </w:r>
    </w:p>
    <w:p>
      <w:pPr>
        <w:spacing w:after="120" w:line="360" w:lineRule="auto"/>
        <w:ind w:firstLine="397"/>
        <w:jc w:val="both"/>
      </w:pPr>
      <w:r>
        <w:rPr>
          <w:rFonts w:ascii="Times New Roman" w:hAnsi="Times New Roman" w:eastAsia="Times New Roman"/>
          <w:sz w:val="22"/>
        </w:rPr>
        <w:t>Η εργασία συνέκρινε Q-Learning, SARSA, DQN, PPO και Dyna-Q+ σε ελεγχόμενο GridWorld πριν και μετά από διαφορετικές μεταβολές του περιβάλλοντος. Η σύγκριση βασίστηκε σε κοινές πραγματικές αλληλεπιδράσεις, δύο διατάξεις και δώδεκα ανεξάρτητες επαναλήψεις, ώστε τα συμπεράσματα να μη στηρίζονται σε μία μόνο εκτέλεση.</w:t>
      </w:r>
    </w:p>
    <w:p>
      <w:pPr>
        <w:pStyle w:val="Heading2"/>
      </w:pPr>
      <w:r>
        <w:t>7.2 Απάντηση στα ερευνητικά ερωτήματα</w:t>
      </w:r>
    </w:p>
    <w:p>
      <w:pPr>
        <w:spacing w:after="120" w:line="360" w:lineRule="auto"/>
        <w:ind w:firstLine="397"/>
        <w:jc w:val="both"/>
      </w:pPr>
      <w:r>
        <w:rPr>
          <w:rFonts w:ascii="Times New Roman" w:hAnsi="Times New Roman" w:eastAsia="Times New Roman"/>
          <w:sz w:val="22"/>
        </w:rPr>
        <w:t xml:space="preserve">Στο </w:t>
      </w:r>
      <w:r>
        <w:rPr>
          <w:rFonts w:ascii="Times New Roman" w:hAnsi="Times New Roman" w:eastAsia="Times New Roman"/>
          <w:b/>
          <w:sz w:val="22"/>
        </w:rPr>
        <w:t>RQ1</w:t>
      </w:r>
      <w:r>
        <w:rPr>
          <w:rFonts w:ascii="Times New Roman" w:hAnsi="Times New Roman" w:eastAsia="Times New Roman"/>
          <w:sz w:val="22"/>
        </w:rPr>
        <w:t>, Q-Learning, SARSA και Dyna-Q+ έφτασαν στο ίδιο τελικό ονομαστικό επίπεδο, αλλά η Dyna-Q+ αξιοποίησε γρηγορότερα το διαθέσιμο budget. Οι DQN και PPO είχαν χαμηλότερη και πιο μεταβλητή επίδοση στο συγκεκριμένο μικρό περιβάλλον.</w:t>
      </w:r>
    </w:p>
    <w:p>
      <w:pPr>
        <w:spacing w:after="120" w:line="360" w:lineRule="auto"/>
        <w:ind w:firstLine="397"/>
        <w:jc w:val="both"/>
      </w:pPr>
      <w:r>
        <w:rPr>
          <w:rFonts w:ascii="Times New Roman" w:hAnsi="Times New Roman" w:eastAsia="Times New Roman"/>
          <w:sz w:val="22"/>
        </w:rPr>
        <w:t xml:space="preserve">Στο </w:t>
      </w:r>
      <w:r>
        <w:rPr>
          <w:rFonts w:ascii="Times New Roman" w:hAnsi="Times New Roman" w:eastAsia="Times New Roman"/>
          <w:b/>
          <w:sz w:val="22"/>
        </w:rPr>
        <w:t>RQ2</w:t>
      </w:r>
      <w:r>
        <w:rPr>
          <w:rFonts w:ascii="Times New Roman" w:hAnsi="Times New Roman" w:eastAsia="Times New Roman"/>
          <w:sz w:val="22"/>
        </w:rPr>
        <w:t>, η συνέχιση της μάθησης βοήθησε έντονα στις μόνιμες ανααντιστοιχίσεις ενεργειών, κυρίως για Q-Learning και SARSA και επίσης για Dyna-Q+. Δεν υπήρξε όμως καθολικό όφελος: στην αποτυχία ενέργειας η εικόνα ήταν ουδέτερη, ενώ στην αλλοίωση παρατήρησης η online ενημέρωση επιδείνωσε το σχετικό αποτέλεσμα των Q-Learning και SARSA.</w:t>
      </w:r>
    </w:p>
    <w:p>
      <w:pPr>
        <w:spacing w:after="120" w:line="360" w:lineRule="auto"/>
        <w:ind w:firstLine="397"/>
        <w:jc w:val="both"/>
      </w:pPr>
      <w:r>
        <w:rPr>
          <w:rFonts w:ascii="Times New Roman" w:hAnsi="Times New Roman" w:eastAsia="Times New Roman"/>
          <w:sz w:val="22"/>
        </w:rPr>
        <w:t xml:space="preserve">Στο </w:t>
      </w:r>
      <w:r>
        <w:rPr>
          <w:rFonts w:ascii="Times New Roman" w:hAnsi="Times New Roman" w:eastAsia="Times New Roman"/>
          <w:b/>
          <w:sz w:val="22"/>
        </w:rPr>
        <w:t>RQ3</w:t>
      </w:r>
      <w:r>
        <w:rPr>
          <w:rFonts w:ascii="Times New Roman" w:hAnsi="Times New Roman" w:eastAsia="Times New Roman"/>
          <w:sz w:val="22"/>
        </w:rPr>
        <w:t>, Q-Learning και SARSA εμφάνισαν την πιο συνεπή ανάκαμψη, με 12/12 ανακτήσεις και στις δύο μόνιμες αλλαγές. Η Dyna-Q+ είχε 12/12 και 8/12, η DQN 2/12 και 8/12 και η PPO 1/12 και 4/12.</w:t>
      </w:r>
    </w:p>
    <w:p>
      <w:pPr>
        <w:pStyle w:val="Heading2"/>
      </w:pPr>
      <w:r>
        <w:t>7.3 Κύριο συμπέρασμα</w:t>
      </w:r>
    </w:p>
    <w:p>
      <w:pPr>
        <w:spacing w:after="120" w:line="360" w:lineRule="auto"/>
        <w:ind w:firstLine="397"/>
        <w:jc w:val="both"/>
      </w:pPr>
      <w:r>
        <w:rPr>
          <w:rFonts w:ascii="Times New Roman" w:hAnsi="Times New Roman" w:eastAsia="Times New Roman"/>
          <w:sz w:val="22"/>
        </w:rPr>
        <w:t>Το κύριο συμπέρασμα είναι ότι η ανθεκτικότητα ενός RL agent δεν περιγράφεται επαρκώς από μία μόνο μέτρηση. Η αρχική μάθηση, η επίδραση της διαταραχής, το όφελος της συνεχιζόμενης προσαρμογής και η ανάκαμψη μπορούν να δώσουν διαφορετική εικόνα για την ίδια μέθοδο.</w:t>
      </w:r>
    </w:p>
    <w:p>
      <w:pPr>
        <w:spacing w:after="120" w:line="360" w:lineRule="auto"/>
        <w:ind w:firstLine="397"/>
        <w:jc w:val="both"/>
      </w:pPr>
      <w:r>
        <w:rPr>
          <w:rFonts w:ascii="Times New Roman" w:hAnsi="Times New Roman" w:eastAsia="Times New Roman"/>
          <w:sz w:val="22"/>
        </w:rPr>
        <w:t>Για το συγκεκριμένο GridWorld, η Dyna-Q+ ήταν ιδιαίτερα αποτελεσματική στην αρχική μάθηση, ενώ Q-Learning και SARSA ήταν οι πιο συνεπείς στις μόνιμες αλλαγές. Η απλούστερη αλγοριθμική δομή τους αποδείχθηκε επαρκής για το μικρό διακριτό περιβάλλον, χωρίς αυτό να αποτελεί γενικό συμπέρασμα για πιο σύνθετες εφαρμογές.</w:t>
      </w:r>
    </w:p>
    <w:p>
      <w:pPr>
        <w:spacing w:after="120" w:line="360" w:lineRule="auto"/>
        <w:ind w:firstLine="397"/>
        <w:jc w:val="both"/>
      </w:pPr>
      <w:r>
        <w:rPr>
          <w:rFonts w:ascii="Times New Roman" w:hAnsi="Times New Roman" w:eastAsia="Times New Roman"/>
          <w:sz w:val="22"/>
        </w:rPr>
        <w:t>Από πλευράς υλοποίησης, η εργασία έδειξε ότι η πειραματική αυστηρότητα και η κατανοητή παρουσίαση δεν χρειάζεται να είναι το ίδιο πράγμα. Ο επιστημονικός πυρήνας μπορεί να διατηρεί όλες τις πληροφορίες που απαιτούνται για έλεγχο και αναπαραγωγή, ενώ η εφαρμογή και η τελική διπλωματική παρουσιάζουν στον χρήστη μόνο ό,τι χρειάζεται για να καταλάβει τη ροή και τα αποτελέσματα. Η διάκριση αυτή είναι χρήσιμη και για μελλοντική επέκταση του συστήματος, επειδή νέες μέθοδοι ή περιβάλλοντα μπορούν να προστεθούν χωρίς να αλλάξει η βασική λογική παρουσίασης.</w:t>
      </w:r>
    </w:p>
    <w:p>
      <w:pPr>
        <w:spacing w:after="120" w:line="360" w:lineRule="auto"/>
        <w:ind w:firstLine="397"/>
        <w:jc w:val="both"/>
      </w:pPr>
      <w:r>
        <w:rPr>
          <w:rFonts w:ascii="Times New Roman" w:hAnsi="Times New Roman" w:eastAsia="Times New Roman"/>
          <w:sz w:val="22"/>
        </w:rPr>
        <w:t>Τα συμπεράσματα της παρούσας μελέτης είναι επομένως συγκεκριμένα αλλά χρήσιμα: σε αυτό το ελεγχόμενο task δεν υπάρχει ένας αλγόριθμος που να κυριαρχεί σε όλες τις πλευρές. Η αποτελεσματική μάθηση πριν από τη μεταβολή, το όφελος της online προσαρμογής και η σταθερή ανάκαμψη πρέπει να εξετάζονται ως ξεχωριστά χαρακτηριστικά.</w:t>
      </w:r>
    </w:p>
    <w:p>
      <w:pPr>
        <w:pStyle w:val="Heading2"/>
      </w:pPr>
      <w:r>
        <w:t>7.4 Μελλοντικές επεκτάσεις</w:t>
      </w:r>
    </w:p>
    <w:p>
      <w:pPr>
        <w:spacing w:after="120" w:line="360" w:lineRule="auto"/>
        <w:ind w:firstLine="397"/>
        <w:jc w:val="both"/>
      </w:pPr>
      <w:r>
        <w:rPr>
          <w:rFonts w:ascii="Times New Roman" w:hAnsi="Times New Roman" w:eastAsia="Times New Roman"/>
          <w:sz w:val="22"/>
        </w:rPr>
        <w:t>Μια επόμενη μελέτη θα μπορούσε να χρησιμοποιήσει μεγαλύτερα ή συνεχόμενα περιβάλλοντα, περισσότερες ανεξάρτητες επαναλήψεις και διαφορετικά interaction budgets. Θα μπορούσε επίσης να εξετάσει μηχανισμούς ανίχνευσης αλλαγής, ρητή πληροφορία context, ειδικές στρατηγικές replay ή πιο προσαρμοστικά model-based συστήματα.</w:t>
      </w:r>
    </w:p>
    <w:p>
      <w:pPr>
        <w:spacing w:after="120" w:line="360" w:lineRule="auto"/>
        <w:ind w:firstLine="397"/>
        <w:jc w:val="both"/>
      </w:pPr>
      <w:r>
        <w:rPr>
          <w:rFonts w:ascii="Times New Roman" w:hAnsi="Times New Roman" w:eastAsia="Times New Roman"/>
          <w:sz w:val="22"/>
        </w:rPr>
        <w:t>Σε επίπεδο εφαρμογής, χρήσιμη επέκταση είναι η περαιτέρω βελτίωση της παρουσίασης της ολοκληρωμένης τελικής μελέτης και η προσθήκη λίγων αυθεντικών screenshots για την περιγραφή της υλοποίησης, χωρίς αυτά να χρησιμοποιούνται ως επιστημονικά αποτελέσματα.</w:t>
      </w:r>
    </w:p>
    <w:p>
      <w:pPr>
        <w:pStyle w:val="Heading2"/>
      </w:pPr>
      <w:r>
        <w:t>7.5 Τελικό όριο</w:t>
      </w:r>
    </w:p>
    <w:p>
      <w:pPr>
        <w:spacing w:after="120" w:line="360" w:lineRule="auto"/>
        <w:ind w:firstLine="397"/>
        <w:jc w:val="both"/>
      </w:pPr>
      <w:r>
        <w:rPr>
          <w:rFonts w:ascii="Times New Roman" w:hAnsi="Times New Roman" w:eastAsia="Times New Roman"/>
          <w:sz w:val="22"/>
        </w:rPr>
        <w:t>Τα συμπεράσματα αφορούν το συγκεκριμένο ελεγχόμενο περιβάλλον και δεν αποτελούν γενική κατάταξη των αλγορίθμων. Η αξία της εργασίας βρίσκεται στο ότι η σύγκριση έγινε με κοινές συνθήκες, επαναλαμβανόμενες εκτελέσεις και πλήρως αποθηκευμένα αποτελέσματα, ενώ το τελικό κείμενο διατηρεί την απαραίτητη τεκμηρίωση χωρίς να μεταφέρει όλη την εσωτερική ερευνητική υποδομή στο κύριο σώμα.</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ανεξάρτητες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Β.0 Συμπληρωματικά αποτελέσματα ανάκαμψης</w:t>
      </w:r>
    </w:p>
    <w:p>
      <w:pPr>
        <w:spacing w:after="120" w:line="360" w:lineRule="auto"/>
        <w:ind w:firstLine="397"/>
        <w:jc w:val="both"/>
      </w:pPr>
      <w:r>
        <w:rPr>
          <w:rFonts w:ascii="Times New Roman" w:hAnsi="Times New Roman" w:eastAsia="Times New Roman"/>
          <w:sz w:val="22"/>
        </w:rPr>
        <w:t>Η ενότητα αυτή μεταφέρει από το κύριο κείμενο δύο εξειδικευμένα διαγνωστικά: τον χρόνο ανάκαμψης υπό συνθήκη επιτυχούς ανάκαμψης και την προκαθορισμένη ανάλυση ευαισθησίας. Χρησιμοποιούνται για πληρότητα και δεν αλλάζουν τα βασικά συμπεράσματα του Κεφαλαίου 5.</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rPr>
          <w:rFonts w:ascii="Consolas" w:hAnsi="Consolas" w:eastAsia="Consolas"/>
          <w:sz w:val="19"/>
        </w:rPr>
        <w:t>ada0d1aec7511098fd12610ae9e5abe7aea875cd</w:t>
      </w:r>
    </w:p>
    <w:p>
      <w:pPr>
        <w:spacing w:after="120" w:line="360" w:lineRule="auto"/>
        <w:ind w:firstLine="397"/>
        <w:jc w:val="both"/>
      </w:pPr>
      <w:r>
        <w:rPr>
          <w:rFonts w:ascii="Times New Roman" w:hAnsi="Times New Roman" w:eastAsia="Times New Roman"/>
          <w:sz w:val="22"/>
        </w:rPr>
        <w:t>Το formal citation layer περιλαμβάνει 123 citation-ready sources. Η πλήρης research corpus περιλαμβάνει 599 canonical sources και 19 research materials,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της εργασίας.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