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δυναμικές μεταβολές</w:t>
        <w:br/>
        <w:t xml:space="preserve">    2.8 Αβεβαιότητα ενεργειών, παρατηρήσεων και κρυφή μεταβολή</w:t>
        <w:br/>
        <w:t xml:space="preserve">    2.9 Ανθεκτικότητα, προσαρμογή και ανάκαμψη</w:t>
        <w:br/>
        <w:t xml:space="preserve">    2.10 Συνεχής προσαρμογή, replay και οργάνωση μοντέλου</w:t>
        <w:br/>
        <w:t xml:space="preserve">    2.11 Εμπειρικός σχεδιασμός και δίκαιη σύγκριση RL</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περιβάλλον δοκιμών</w:t>
        <w:br/>
        <w:t xml:space="preserve">    3.3 Τελικές μέθοδοι και όρια δίκαιης σύγκρισης</w:t>
        <w:br/>
        <w:t xml:space="preserve">    3.4 Φάση A: ανεξάρτητη ονομαστική μάθηση και σημεία ελέγχου</w:t>
        <w:br/>
        <w:t xml:space="preserve">    3.5 Φάση B: αντιστοιχισμένος σχεδιασμός FN/FD/AN/AD</w:t>
        <w:br/>
        <w:t xml:space="preserve">    3.6 Μηχανισμοί αβεβαιότητας και συνθήκες διαταραχής</w:t>
        <w:br/>
        <w:t xml:space="preserve">    3.7 RQ1: μεγέθη εκτίμησης ονομαστικής μάθησης</w:t>
        <w:br/>
        <w:t xml:space="preserve">    3.8 RQ2: ανθεκτικότητα και μέγεθος εκτίμησης οφέλους προσαρμογής</w:t>
        <w:br/>
        <w:t xml:space="preserve">    3.9 RQ3: ανάκαμψη, παθητικά χρονικά παράθυρα και δεξιά λογοκρισία</w:t>
        <w:br/>
        <w:t xml:space="preserve">    3.10 Ανεξάρτητες επαναλήψεις, διατάξεις, προϋπολογισμοί και πειραματικός πίνακας</w:t>
        <w:br/>
        <w:t xml:space="preserve">    3.11 Στατιστική ανάλυση και άμεσες συγκρίσεις</w:t>
        <w:br/>
        <w:t xml:space="preserve">    3.12 Αναπαραγωγιμότητα, ιχνηλασιμότητα και διαχωρισμός της επιστημονικής ανάλυσης</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Η Study ως μονάδα εκτέλεσης και ιχνηλασιμότητας</w:t>
        <w:br/>
        <w:t xml:space="preserve">    4.4 Ντετερμινιστικός σχεδιασμός και φραγμοί σταδίων</w:t>
        <w:br/>
        <w:t xml:space="preserve">    4.5 Checkpoints και ακριβής συνέχεια της μάθησης</w:t>
        <w:br/>
        <w:t xml:space="preserve">    4.6 Απομόνωση γεννητριών τυχαιότητας και αναπαραγωγιμότητα</w:t>
        <w:br/>
        <w:t xml:space="preserve">    4.7 Πακέτα εκτέλεσης, manifests και ακεραιότητα</w:t>
        <w:br/>
        <w:t xml:space="preserve">    4.8 Επικύρωση Evidence-v2 και στρώμα ανάλυσης</w:t>
        <w:br/>
        <w:t xml:space="preserve">    4.9 Χειρισμός αποτυχίας και διαδρομή ανάκαμψης του T-610</w:t>
        <w:br/>
        <w:t xml:space="preserve">    4.10 Desktop εφαρμογή PySide6</w:t>
        <w:br/>
        <w:t xml:space="preserve">        4.10.1 Experiment</w:t>
        <w:br/>
        <w:t xml:space="preserve">        4.10.2 Run</w:t>
        <w:br/>
        <w:t xml:space="preserve">        4.10.3 Results</w:t>
        <w:br/>
        <w:t xml:space="preserve">        4.10.4 Evidence</w:t>
        <w:br/>
        <w:t xml:space="preserve">    4.11 Ζωντανή οπτικοποίηση και επιστημονική παθητικότητα</w:t>
        <w:br/>
        <w:t xml:space="preserve">    4.12 Εποπτεία εκτέλεσης και ασφαλής επανεκκίνηση</w:t>
        <w:br/>
        <w:t xml:space="preserve">    4.13 Προστασία του τελικού αποθεματικού και εξουσιοδότηση</w:t>
        <w:br/>
        <w:t xml:space="preserve">    4.14 Παραγωγή αποτελεσμάτων και υλικού της διπλωματικής</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διαθέσιμου προϋπολογισμού</w:t>
        <w:br/>
        <w:t xml:space="preserve">    5.3 RQ2 — Ανθεκτικότητα και όφελος προσαρμογής</w:t>
        <w:br/>
        <w:t xml:space="preserve">        5.3.1 Συνολική εικόνα ανά συνθήκη</w:t>
        <w:br/>
        <w:t xml:space="preserve">        5.3.2 Μόνιμη κυκλική ανααντιστοίχιση ενεργειών</w:t>
        <w:br/>
        <w:t xml:space="preserve">        5.3.3 Μόνιμη εναλλαγή δεξιάς–κάτω ενέργειας</w:t>
        <w:br/>
        <w:t xml:space="preserve">        5.3.4 Αποτυχία ενέργειας 15%</w:t>
        <w:br/>
        <w:t xml:space="preserve">        5.3.5 Αλλοίωση παρατήρησης 5%</w:t>
        <w:br/>
        <w:t xml:space="preserve">        5.3.6 Σύνοψη RQ2</w:t>
        <w:br/>
        <w:t xml:space="preserve">    5.4 RQ3 — Ανάκαμψη μετά από μόνιμη ανααντιστοίχιση ενεργειών</w:t>
        <w:br/>
        <w:t xml:space="preserve">        5.4.1 Κυκλική ανααντιστοίχιση</w:t>
        <w:br/>
        <w:t xml:space="preserve">        5.4.2 Εναλλαγή δεξιάς–κάτω ενέργειας</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αποδοτικότητα δείγματος δεν είναι το ίδιο</w:t>
        <w:br/>
        <w:t xml:space="preserve">    6.3 RQ2: η αποτελεσματικότητα της προσαρμογής εξαρτάται από τη συνθήκη</w:t>
        <w:br/>
        <w:t xml:space="preserve">    6.4 Dyna-Q+: γρήγορη ονομαστική μάθηση δεν συνεπάγεται ταχύτερη ανάκαμψη</w:t>
        <w:br/>
        <w:t xml:space="preserve">    6.5 RQ3: συχνότητα, χρόνος και λογοκρισία της ανάκαμψης</w:t>
        <w:br/>
        <w:t xml:space="preserve">    6.6 Ευαισθησία στον λειτουργικό ορισμό της ανάκαμψης</w:t>
        <w:br/>
        <w:t xml:space="preserve">    6.7 Σχέση με συνεχή ενισχυτική μάθηση και κρυφή μεταβολή</w:t>
        <w:br/>
        <w:t xml:space="preserve">    6.8 Απειλές προς την εσωτερική εγκυρότητα</w:t>
        <w:br/>
        <w:t xml:space="preserve">        6.8.1 Δίκαιη σύγκριση και ρύθμιση υπερπαραμέτρων</w:t>
        <w:br/>
        <w:t xml:space="preserve">        6.8.2 Ισοδυναμία σημείων ελέγχου</w:t>
        <w:br/>
        <w:t xml:space="preserve">        6.8.3 Διαρροή πληροφορίας</w:t>
        <w:br/>
        <w:t xml:space="preserve">    6.9 Εγκυρότητα εννοιολογικής κατασκευής</w:t>
        <w:br/>
        <w:t xml:space="preserve">    6.10 Εγκυρότητα στατιστικών συμπερασμάτων</w:t>
        <w:br/>
        <w:t xml:space="preserve">    6.11 Εξωτερική εγκυρότητα</w:t>
        <w:br/>
        <w:t xml:space="preserve">    6.12 Εγκυρότητα αναπαραγωγιμότητας</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Διαφορετικοί προϋπολογισμοί και χρονικές κλίμακες μάθησης</w:t>
        <w:br/>
        <w:t xml:space="preserve">        7.7.3 Ρητή ανίχνευση αλλαγής και εκτίμηση πλαισίου</w:t>
        <w:br/>
        <w:t xml:space="preserve">        7.7.4 Εξειδικευμένοι μηχανισμοί συνεχούς μάθησης</w:t>
        <w:br/>
        <w:t xml:space="preserve">        7.7.5 Αρθρωτή προσαρμογή με μοντέλο</w:t>
        <w:br/>
        <w:t xml:space="preserve">        7.7.6 Διαχείριση replay σε μη στάσιμα περιβάλλοντα</w:t>
        <w:br/>
        <w:t xml:space="preserve">        7.7.7 Πλουσιότερη μελέτη ανάκαμψης</w:t>
        <w:br/>
        <w:t xml:space="preserve">        7.7.8 Περισσότερες ανεξάρτητες επαναλήψεις και ιεραρχική ανάλυση</w:t>
        <w:br/>
        <w:t xml:space="preserve">        7.7.9 Ασφάλεια και προσαρμογή υπό περιορισμούς</w:t>
        <w:br/>
        <w:t xml:space="preserve">    7.8 Τελικό συμπέρασμα</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Ροή του πειραματικού πρωτοκόλλου· τα ακριβή checkpoints προηγούνται των αντιστοιχισμένων κλάδων FN/FD/AN/AD.</w:t>
        <w:br/>
        <w:t xml:space="preserve">Σχήμα 2 — Αντιστοίχιση κάθε ερευνητικού ερωτήματος στα προκαθορισμένα μεγέθη εκτίμησης και στα καταγεγραμμένα αποτελέσματα.</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[18].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[21].</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[22].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[23], [24].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[22].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[23].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[18]. Η SARSA, αντίθετα, χρησιμοποιεί την αξία της επόμενης ενέργειας που πράγματι επιλέγεται από την behavior policy.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[18].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rPr>
          <w:rFonts w:ascii="Times New Roman" w:hAnsi="Times New Roman" w:eastAsia="Times New Roman"/>
          <w:sz w:val="22"/>
        </w:rP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[14].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[15].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[7].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[20].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[21].</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[20], [21].</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[20].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[30].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[15].</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[26].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[27], ενώ η bounded-robustness προσέγγιση των Jarne Ornia et al. μοντελοποιεί άγνωστο observation kernel και θέτει ρητό trade-off μεταξύ nominal utility και robustness [28].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[22].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w:t>
      </w:r>
      <w:r>
        <w:rPr>
          <w:rFonts w:ascii="Times New Roman" w:hAnsi="Times New Roman" w:eastAsia="Times New Roman"/>
          <w:sz w:val="22"/>
        </w:rPr>
        <w:t xml:space="preserve"> αν και πότε η Adaptive disturbed τροχιά επιστρέφει σταθερά σε προκαθορισμένη γειτονιά της αντιστοιχισμένης Adaptive nominal αναφοράς.</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[15].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[23]. Η εργασία για cooperative resilience των Chacon-Chamorro et al. χρησιμοποιεί reference και performance curves για να διαχωρίσει failure και recovery profiles [24].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[25].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και τονίζει ότι safety κατά την εξερεύνηση μπορεί να διαφέρει από την τελική policy utility [29].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rPr>
          <w:rFonts w:ascii="Times New Roman" w:hAnsi="Times New Roman" w:eastAsia="Times New Roman"/>
          <w:sz w:val="22"/>
        </w:rP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[14].</w:t>
      </w:r>
    </w:p>
    <w:p>
      <w:pPr>
        <w:spacing w:after="120" w:line="360" w:lineRule="auto"/>
        <w:ind w:firstLine="397"/>
        <w:jc w:val="both"/>
      </w:pPr>
      <w:r>
        <w:rPr>
          <w:rFonts w:ascii="Times New Roman" w:hAnsi="Times New Roman" w:eastAsia="Times New Roman"/>
          <w:sz w:val="22"/>
        </w:rPr>
        <w:t>Η survey του continual RL οργανώνει πολλές από αυτές τις προσεγγίσεις ανάλογα με το αν διατηρούν ή μεταφέρουν πολιτικές, εμπειρία, δυναμική ή πληροφορία ανταμοιβής και υπογραμμίζει ότι η σωστή αξιολόγηση εξαρτάται από το σενάριο και από το αν τα task boundaries είναι γνωστά [14].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[7].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[8].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[11].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[30].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[16].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[17].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rPr>
          <w:rFonts w:ascii="Times New Roman" w:hAnsi="Times New Roman" w:eastAsia="Times New Roman"/>
          <w:sz w:val="22"/>
        </w:rP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[15], [14].</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απόδοση επιστρέφει σταθερά κοντά στην αντιστοιχισμένη ονομαστική Adaptive τροχιά.</w:t>
      </w:r>
    </w:p>
    <w:p>
      <w:pPr>
        <w:spacing w:after="120" w:line="360" w:lineRule="auto"/>
        <w:ind w:firstLine="397"/>
        <w:jc w:val="both"/>
      </w:pPr>
      <w:r>
        <w:rPr>
          <w:rFonts w:ascii="Times New Roman" w:hAnsi="Times New Roman" w:eastAsia="Times New Roman"/>
          <w:sz w:val="22"/>
        </w:rPr>
        <w:t>Σε αντίθεση με detection–adaptation συστήματα που ενεργοποιούν ρητά διαφορετικό μηχανισμό μετά από change alarm [15],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[14].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[26], observation robustness [27], [28], zero-shot generalisation [22], continual-learning retention [20], [30] και temporal resilience [23]–[25].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[22], [26], [28].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rPr>
          <w:rFonts w:ascii="Times New Roman" w:hAnsi="Times New Roman" w:eastAsia="Times New Roman"/>
          <w:sz w:val="22"/>
        </w:rPr>
        <w:t xml:space="preserve">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[15], [14], [8]. Το ερώτημα είναι πιο συγκεκριμένο: </w:t>
      </w:r>
      <w:r>
        <w:rPr>
          <w:rFonts w:ascii="Times New Roman" w:hAnsi="Times New Roman" w:eastAsia="Times New Roman"/>
          <w:b/>
          <w:sz w:val="22"/>
        </w:rPr>
        <w:t>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Εξετάστηκαν candidate counts 12, 16, 20 και 24 και επιλέχθηκε το μικρότερο n που ικανοποιούσε το προδηλωμένο Student-t 95% half-width &lt;0,20 τόσο για Phase-A AUC όσο και για Phase-B adaptation benefit. Το κριτήριο ικανοποιήθηκε στα 12 roots, όπου το μέγιστο observed sizing half-width ήταν 0,1428.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keepNext/>
        <w:jc w:val="center"/>
      </w:pPr>
      <w:r>
        <w:drawing>
          <wp:inline xmlns:a="http://schemas.openxmlformats.org/drawingml/2006/main" xmlns:pic="http://schemas.openxmlformats.org/drawingml/2006/picture">
            <wp:extent cx="5577840" cy="1564993"/>
            <wp:docPr id="1" name="Picture 1" descr="Σχήμα 1: Ροή του πειραματικού πρωτοκόλλου· τα ακριβή checkpoints προηγούνται των αντιστοιχισμένων κλάδων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Ροή του πειραματικού πρωτοκόλλου· τα ακριβή checkpoints προηγούνται των αντιστοιχισμένων κλάδων FN/FD/AN/AD.</w:t>
      </w:r>
    </w:p>
    <w:p>
      <w:pPr>
        <w:keepNext/>
        <w:jc w:val="center"/>
      </w:pPr>
      <w:r>
        <w:drawing>
          <wp:inline xmlns:a="http://schemas.openxmlformats.org/drawingml/2006/main" xmlns:pic="http://schemas.openxmlformats.org/drawingml/2006/picture">
            <wp:extent cx="5577840" cy="1646791"/>
            <wp:docPr id="2" name="Picture 2" descr="Σχήμα 2: Αντιστοίχιση κάθε ερευνητικού ερωτήματος στα προκαθορισμένα μεγέθη εκτίμησης και στα καταγεγραμμένα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Αντιστοίχιση κάθε ερευνητικού ερωτήματος στα προκαθορισμένα μεγέθη εκτίμησης και στα καταγεγραμμένα αποτελέσματα.</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συνθήκη».</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rPr>
          <w:rFonts w:ascii="Times New Roman" w:hAnsi="Times New Roman" w:eastAsia="Times New Roman"/>
          <w:sz w:val="22"/>
        </w:rPr>
        <w:t>Η παρατήρηση είναι συμβατή με τη βασική αρχή της Dyna ότι η πραγματική εμπειρία αξιοποιείται τόσο για άμεση value learning όσο και για model-based planning updates [1].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[21], [23].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rPr>
          <w:rFonts w:ascii="Times New Roman" w:hAnsi="Times New Roman" w:eastAsia="Times New Roman"/>
          <w:sz w:val="22"/>
        </w:rP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[30].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[24], ενώ το NovGrid διαχωρίζει επίσης immediate resilience, adaptive efficiency και asymptotic performance [23]. Επιπλέον, το temporal-granularity analysis των Cadet et al. δείχνει ότι whole-horizon aggregation μπορεί να κρύψει recovery information [25].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[22]. Το NovGrid αντίστοιχα χρησιμοποιεί controllable novelty σε μικρό GridWorld για να απομονώνει post-change behavior [23].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[26], ενώ η bounded observation robustness των Jarne Ornia et al. βελτιστοποιεί explicit lexicographic robustness objective με nominal-utility tolerance [28].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και επισημαίνει ότι μία policy μπορεί να έχει καλή utility χωρίς να ικανοποιεί safety requirement [29].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rPr>
          <w:rFonts w:ascii="Times New Roman" w:hAnsi="Times New Roman" w:eastAsia="Times New Roman"/>
          <w:sz w:val="22"/>
        </w:rPr>
        <w:t>Η παρούσα μελέτη χρησιμοποιεί 32-interaction windows και fixed horizon 256. Μελλοντική εργασία μπορεί να εξετάσει διαφορετικές προκαθορισμένες temporal resolutions, longer horizons ή event-time models που χειρίζονται censoring πιο άμεσα.</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[22], ενώ το continual RL καλύπτει πλουσιότερες περιπτώσεις retention και μεταβολής χωρίς καθαρά task boundaries [20].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[30].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[29].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keepLines w:val="0"/>
      </w:pPr>
      <w:r>
        <w:t>[18] Christopher J. C. H. Watkins and Peter Dayan, “Q-learning,” Machine Learning, vol. 8, pp. 279–292, 1992.</w:t>
      </w:r>
    </w:p>
    <w:p>
      <w:pPr>
        <w:keepLines w:val="0"/>
      </w:pPr>
      <w:r>
        <w:t>[19] Richard S. Sutton, “Integrated Modeling and Control Based on Reinforcement Learning and Dynamic Programming,” in Advances in Neural Information Processing Systems 3, pp. 471–478, 1990.</w:t>
      </w:r>
    </w:p>
    <w:p>
      <w:pPr>
        <w:keepLines w:val="0"/>
      </w:pPr>
      <w:r>
        <w:t>[20] Khimya Khetarpal, Matthew Riemer, Irina Rish, and Doina Precup, “Towards Continual Reinforcement Learning: A Review and Perspectives,” Journal of Artificial Intelligence Research, vol. 75, pp. 1401–1476, 2022, doi: 10.1613/JAIR.1.13673.</w:t>
      </w:r>
    </w:p>
    <w:p>
      <w:pPr>
        <w:keepLines w:val="0"/>
      </w:pPr>
      <w:r>
        <w:t>[21] Sindhu Padakandla, “A Survey of Reinforcement Learning Algorithms for Dynamically Varying Environments,” ACM Computing Surveys, vol. 54, no. 6, 2021, doi: 10.1145/3459991.</w:t>
      </w:r>
    </w:p>
    <w:p>
      <w:pPr>
        <w:keepLines w:val="0"/>
      </w:pPr>
      <w:r>
        <w:t>[22] Robert Kirk, Amy Zhang, Edward Grefenstette, and Tim Rocktäschel, “A Survey of Zero-shot Generalisation in Deep Reinforcement Learning,” Journal of Artificial Intelligence Research, vol. 76, pp. 201–264, 2023.</w:t>
      </w:r>
    </w:p>
    <w:p>
      <w:pPr>
        <w:keepLines w:val="0"/>
      </w:pPr>
      <w:r>
        <w:t>[23] Jonathan Balloch, Zhiyu Lin, Mustafa Hussain, Aarun Srinivas, Robert Wright, Xiangyu Peng, Julia Kim, and Mark Riedl, “NovGrid: A Flexible Grid World for Evaluating Agent Response to Novelty,” arXiv:2203.12117, 2022.</w:t>
      </w:r>
    </w:p>
    <w:p>
      <w:pPr>
        <w:keepLines w:val="0"/>
      </w:pPr>
      <w:r>
        <w:t>[24] Manuela Chacon-Chamorro et al., “Cooperative Resilience in Artificial Intelligence Multiagent Systems,” arXiv:2409.13187, 2024.</w:t>
      </w:r>
    </w:p>
    <w:p>
      <w:pPr>
        <w:keepLines w:val="0"/>
      </w:pPr>
      <w:r>
        <w:t>[25] Xavier Cadet, Simona Boboila, Edward Koh, Peter Chin, and Alina Oprea, “Quantitative Resilience Modeling for Autonomous Cyber Defense,” Reinforcement Learning Journal, vol. 6, pp. 894–908, 2025.</w:t>
      </w:r>
    </w:p>
    <w:p>
      <w:pPr>
        <w:keepLines w:val="0"/>
      </w:pPr>
      <w:r>
        <w:t>[26] Chen Tessler, Yonathan Efroni, and Shie Mannor, “Action Robust Reinforcement Learning and Applications in Continuous Control,” in Proceedings of the 36th International Conference on Machine Learning, PMLR, vol. 97, 2019.</w:t>
      </w:r>
    </w:p>
    <w:p>
      <w:pPr>
        <w:keepLines w:val="0"/>
      </w:pPr>
      <w:r>
        <w:t>[27] Yuhui Wang, Hao He, and Xiaoyang Tan, “Robust Reinforcement Learning in POMDPs with Incomplete and Noisy Observations,” arXiv:1902.05795, 2019.</w:t>
      </w:r>
    </w:p>
    <w:p>
      <w:pPr>
        <w:keepLines w:val="0"/>
      </w:pPr>
      <w:r>
        <w:t>[28]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[29] Shangding Gu, Long Yang, Yali Du, Guang Chen, Florian Walter, Jun Wang, and Alois Knoll, “A Review of Safe Reinforcement Learning: Methods, Theories and Applications,” arXiv:2205.10330, 2022.</w:t>
      </w:r>
    </w:p>
    <w:p>
      <w:pPr>
        <w:keepLines w:val="0"/>
      </w:pPr>
      <w:r>
        <w:t>[30] Zichen Liu, Guoji Fu, Chao Du, Wee Sun Lee, and Min Lin, “Continual Reinforcement Learning by Planning with Online World Models,” in Proceedings of the 42nd International Conference on Machine Learning, PMLR, vol. 267, pp. 38397–38423, 2025.</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