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CEA9" w14:textId="415A379D" w:rsidR="00A95648" w:rsidRDefault="00A95648" w:rsidP="007A74B8">
      <w:pPr>
        <w:spacing w:line="276" w:lineRule="auto"/>
      </w:pPr>
      <w:r>
        <w:t xml:space="preserve">Environmental cues are often reliable signals of motivationally significant outcomes allowing one to predict </w:t>
      </w:r>
      <w:r w:rsidR="000F1BBA">
        <w:t>outcomes</w:t>
      </w:r>
      <w:r>
        <w:t xml:space="preserve"> and to perform appropriate behaviours based on this information. Neural activity in the orbitofrontal cortex (OFC) may form part of the representation of expected outcomes following predictive actions or cues </w:t>
      </w:r>
      <w:r>
        <w:fldChar w:fldCharType="begin" w:fldLock="1"/>
      </w:r>
      <w:r w:rsidR="004A6A74">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fldChar w:fldCharType="separate"/>
      </w:r>
      <w:r w:rsidR="004A6A74" w:rsidRPr="004A6A74">
        <w:rPr>
          <w:noProof/>
        </w:rPr>
        <w:t>(Lucantonio et al., 2015; Rudebeck &amp; Murray, 2014; Schoenbaum &amp; Esber, 2010; Mark E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14:paraId="0417257B" w14:textId="6AEA5B9D" w:rsidR="00A95648" w:rsidRDefault="00A95648" w:rsidP="007A74B8">
      <w:pPr>
        <w:spacing w:line="276" w:lineRule="auto"/>
      </w:pPr>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4A6A74">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004A6A74" w:rsidRPr="004A6A74">
        <w:rPr>
          <w:noProof/>
        </w:rPr>
        <w:t>(Rudebeck &amp; Murray, 2014; Mark E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rsidR="00E43CB5">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2011b; West, DesJardin, Gale, &amp; Malkova, 2011)", "plainTextFormattedCitation" : "(Gallagher, McMahan, &amp; Schoenbaum, 1999; Pickens et al., 2003; Pickens, Saddoris, Gallagher, &amp; Holland, 2005; Rudebeck &amp; Murray, 2011b; West, DesJardin, Gale, &amp; Malkova, 2011)", "previouslyFormattedCitation" : "(Gallagher, McMahan, &amp; Schoenbaum, 1999; Pickens et al., 2003; Pickens, Saddoris, Gallagher, &amp; Holland, 2005; Rudebeck &amp; Murray, 2011b; West, DesJardin, Gale, &amp; Malkova, 2011)" }, "properties" : { "noteIndex" : 0 }, "schema" : "https://github.com/citation-style-language/schema/raw/master/csl-citation.json" }</w:instrText>
      </w:r>
      <w:r>
        <w:fldChar w:fldCharType="separate"/>
      </w:r>
      <w:r w:rsidR="00520BB2" w:rsidRPr="00520BB2">
        <w:rPr>
          <w:noProof/>
        </w:rPr>
        <w:t>(Gallagher, McMahan, &amp; Schoenbaum, 1999; Pickens et al., 2003; Pickens, Saddoris, Gallagher, &amp; Holland, 2005; Rudebeck &amp; Murray, 2011b;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w:t>
      </w:r>
      <w:r w:rsidR="00BD6659">
        <w:t>expected</w:t>
      </w:r>
      <w:r>
        <w:t xml:space="preserve">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p>
    <w:p w14:paraId="07058B5F" w14:textId="7CB1DD62"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DF5208">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 A. McDannald, Lucantonio, Burke, Niv, &amp; Schoenbaum, 2011)", "plainTextFormattedCitation" : "(Gallagher et al., 1999; M. A. McDannald, Lucantonio, Burke, Niv, &amp; Schoenbaum, 2011)", "previouslyFormattedCitation" : "(Gallagher et al., 1999; M. A. McDannald, Lucantonio, Burke, Niv, &amp; Schoenbaum, 2011)" }, "properties" : { "noteIndex" : 0 }, "schema" : "https://github.com/citation-style-language/schema/raw/master/csl-citation.json" }</w:instrText>
      </w:r>
      <w:r w:rsidR="001A7774">
        <w:fldChar w:fldCharType="separate"/>
      </w:r>
      <w:r w:rsidR="00221CDD" w:rsidRPr="00221CDD">
        <w:rPr>
          <w:noProof/>
        </w:rPr>
        <w:t>(Gallagher et al., 1999; M. A.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w:t>
      </w:r>
      <w:proofErr w:type="spellStart"/>
      <w:r>
        <w:t>Killcross</w:t>
      </w:r>
      <w:proofErr w:type="spellEnd"/>
      <w:r>
        <w:t xml:space="preserve">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14:paraId="7AC06B03" w14:textId="023F9F0B" w:rsidR="00A95648" w:rsidRDefault="00A95648" w:rsidP="007A74B8">
      <w:pPr>
        <w:spacing w:line="276" w:lineRule="auto"/>
      </w:pPr>
      <w:r>
        <w:t xml:space="preserve">While the findings of Panayi &amp; </w:t>
      </w:r>
      <w:proofErr w:type="spellStart"/>
      <w:r>
        <w:t>Killcross</w:t>
      </w:r>
      <w:proofErr w:type="spellEnd"/>
      <w:r>
        <w:t xml:space="preserve">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8A0476">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"(E A Murray, O\u2019Doherty, &amp; Schoenbaum, 2007)", "plainTextFormattedCitation" : "(E A Murray, O\u2019Doherty, &amp; Schoenbaum, 2007)", "previouslyFormattedCitation" : "(E A Murray, O\u2019Doherty, &amp; Schoenbaum, 2007)" }, "properties" : { "noteIndex" : 0 }, "schema" : "https://github.com/citation-style-language/schema/raw/master/csl-citation.json" }</w:instrText>
      </w:r>
      <w:r w:rsidR="00833574">
        <w:fldChar w:fldCharType="separate"/>
      </w:r>
      <w:r w:rsidR="00A05CCB" w:rsidRPr="00A05CCB">
        <w:rPr>
          <w:noProof/>
        </w:rPr>
        <w:t>(E A Murray, O’Doherty, &amp; Schoenbaum, 2007)</w:t>
      </w:r>
      <w:r w:rsidR="00833574">
        <w:fldChar w:fldCharType="end"/>
      </w:r>
      <w:r>
        <w:t xml:space="preserve">. However,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14:paraId="42D65870" w14:textId="77777777"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14:paraId="340B8E64" w14:textId="087F6610" w:rsidR="00A95648" w:rsidRDefault="00A95648" w:rsidP="007A74B8">
      <w:pPr>
        <w:spacing w:line="276" w:lineRule="auto"/>
      </w:pPr>
      <w:r>
        <w:t>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w:t>
      </w:r>
      <w:r w:rsidR="002B61B3">
        <w:t>ion and subsequent learning of conditioned inhibition</w:t>
      </w:r>
      <w:r>
        <w:t xml:space="preserve">.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0167650F" w:rsidR="00CA6DB3" w:rsidRDefault="00CA6DB3" w:rsidP="007A74B8">
      <w:pPr>
        <w:spacing w:after="240" w:line="276" w:lineRule="auto"/>
        <w:ind w:firstLine="720"/>
        <w:rPr>
          <w:rFonts w:cs="Times New Roman"/>
          <w:szCs w:val="24"/>
        </w:rPr>
      </w:pPr>
      <w:proofErr w:type="gramStart"/>
      <w:r w:rsidRPr="00CA6DB3">
        <w:rPr>
          <w:rFonts w:cs="Times New Roman"/>
          <w:i/>
          <w:szCs w:val="24"/>
        </w:rPr>
        <w:t>Animals.</w:t>
      </w:r>
      <w:proofErr w:type="gramEnd"/>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777777" w:rsidR="00CA6DB3" w:rsidRDefault="00CA6DB3" w:rsidP="007A74B8">
      <w:pPr>
        <w:spacing w:line="276" w:lineRule="auto"/>
        <w:ind w:firstLine="720"/>
        <w:rPr>
          <w:rFonts w:cs="Times New Roman"/>
          <w:szCs w:val="24"/>
        </w:rPr>
      </w:pPr>
      <w:proofErr w:type="gramStart"/>
      <w:r w:rsidRPr="00CA6DB3">
        <w:rPr>
          <w:rFonts w:cs="Times New Roman"/>
          <w:i/>
          <w:szCs w:val="24"/>
        </w:rPr>
        <w:t>Apparatus.</w:t>
      </w:r>
      <w:proofErr w:type="gramEnd"/>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w:t>
      </w:r>
      <w:proofErr w:type="spellStart"/>
      <w:r w:rsidRPr="006A14B1">
        <w:rPr>
          <w:rFonts w:cs="Times New Roman"/>
          <w:szCs w:val="24"/>
        </w:rPr>
        <w:t>serv</w:t>
      </w:r>
      <w:proofErr w:type="spellEnd"/>
      <w:r w:rsidRPr="006A14B1">
        <w:rPr>
          <w:rFonts w:cs="Times New Roman"/>
          <w:szCs w:val="24"/>
        </w:rPr>
        <w:t>,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2FC6195A" w:rsidR="00DE0A88" w:rsidRPr="0057192E" w:rsidRDefault="00DE0A88" w:rsidP="0057192E">
      <w:pPr>
        <w:spacing w:line="276" w:lineRule="auto"/>
        <w:ind w:firstLine="720"/>
      </w:pPr>
      <w:r>
        <w:t xml:space="preserve">Locomotor activity was assessed in a set of 4 rat open field arenas (Med Associates Inc., St. Albans, VT, USA) individually housed in light and sound attenuating cabinets. A 3-W light attached on </w:t>
      </w:r>
      <w:r>
        <w:lastRenderedPageBreak/>
        <w:t>the top left corner of the sound attenuating cabinet provided general illumination in the chamber and was always on. A 28 V DC fan on the right hand wall of the sound attenuating cabinet was also left on throughout testing to mask outside noise. The floor of the open field arena was a smooth plastic and the four walls were clear Perspex with a clear Perspex roof containing ventilation holes. The internal dimensions of the chamber were 43.2 x 43.2 x 30.5 cm (length x width x height).Two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proofErr w:type="gramStart"/>
      <w:r>
        <w:rPr>
          <w:rFonts w:cs="Times New Roman"/>
          <w:i/>
          <w:szCs w:val="24"/>
        </w:rPr>
        <w:t>Surgery.</w:t>
      </w:r>
      <w:proofErr w:type="gramEnd"/>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w:t>
      </w:r>
      <w:proofErr w:type="spellStart"/>
      <w:r w:rsidRPr="006A14B1">
        <w:rPr>
          <w:rFonts w:cs="Times New Roman"/>
          <w:szCs w:val="24"/>
        </w:rPr>
        <w:t>cannulae</w:t>
      </w:r>
      <w:proofErr w:type="spellEnd"/>
      <w:r w:rsidRPr="006A14B1">
        <w:rPr>
          <w:rFonts w:cs="Times New Roman"/>
          <w:szCs w:val="24"/>
        </w:rPr>
        <w:t xml:space="preserv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w:t>
      </w:r>
      <w:proofErr w:type="spellStart"/>
      <w:r w:rsidRPr="006A14B1">
        <w:rPr>
          <w:rFonts w:cs="Times New Roman"/>
          <w:szCs w:val="24"/>
        </w:rPr>
        <w:t>cannulae</w:t>
      </w:r>
      <w:proofErr w:type="spellEnd"/>
      <w:r w:rsidRPr="006A14B1">
        <w:rPr>
          <w:rFonts w:cs="Times New Roman"/>
          <w:szCs w:val="24"/>
        </w:rPr>
        <w:t xml:space="preserve"> using a high-speed drill, and four holes were hand drilled on different bone plates to hold fixing screws. Bilateral stainless steel guide </w:t>
      </w:r>
      <w:proofErr w:type="spellStart"/>
      <w:r w:rsidRPr="006A14B1">
        <w:rPr>
          <w:rFonts w:cs="Times New Roman"/>
          <w:szCs w:val="24"/>
        </w:rPr>
        <w:t>cannulae</w:t>
      </w:r>
      <w:proofErr w:type="spellEnd"/>
      <w:r w:rsidRPr="006A14B1">
        <w:rPr>
          <w:rFonts w:cs="Times New Roman"/>
          <w:szCs w:val="24"/>
        </w:rPr>
        <w:t xml:space="preserve"> (26 gauge, length 5mm below pedestal; Plastics One, Roanoke, VA, USA) were lowered into the lateral OFC (AP: +3.5 mm; ML: ±2.2 mm; D-V: -4.0 mm from </w:t>
      </w:r>
      <w:proofErr w:type="spellStart"/>
      <w:r w:rsidRPr="006A14B1">
        <w:rPr>
          <w:rFonts w:cs="Times New Roman"/>
          <w:szCs w:val="24"/>
        </w:rPr>
        <w:t>bregma</w:t>
      </w:r>
      <w:proofErr w:type="spellEnd"/>
      <w:r w:rsidRPr="006A14B1">
        <w:rPr>
          <w:rFonts w:cs="Times New Roman"/>
          <w:szCs w:val="24"/>
        </w:rPr>
        <w:t xml:space="preserve">). </w:t>
      </w:r>
      <w:proofErr w:type="spellStart"/>
      <w:r w:rsidRPr="006A14B1">
        <w:rPr>
          <w:rFonts w:cs="Times New Roman"/>
          <w:szCs w:val="24"/>
        </w:rPr>
        <w:t>Cannulae</w:t>
      </w:r>
      <w:proofErr w:type="spellEnd"/>
      <w:r w:rsidRPr="006A14B1">
        <w:rPr>
          <w:rFonts w:cs="Times New Roman"/>
          <w:szCs w:val="24"/>
        </w:rPr>
        <w:t xml:space="preserve"> were held in place by dental cement and anchored to the skull with 4 fixing screws. Removable dummy </w:t>
      </w:r>
      <w:proofErr w:type="spellStart"/>
      <w:r w:rsidRPr="006A14B1">
        <w:rPr>
          <w:rFonts w:cs="Times New Roman"/>
          <w:szCs w:val="24"/>
        </w:rPr>
        <w:t>cannulae</w:t>
      </w:r>
      <w:proofErr w:type="spellEnd"/>
      <w:r w:rsidRPr="006A14B1">
        <w:rPr>
          <w:rFonts w:cs="Times New Roman"/>
          <w:szCs w:val="24"/>
        </w:rPr>
        <w:t xml:space="preserve"> were inserted into the guide </w:t>
      </w:r>
      <w:proofErr w:type="spellStart"/>
      <w:r w:rsidRPr="006A14B1">
        <w:rPr>
          <w:rFonts w:cs="Times New Roman"/>
          <w:szCs w:val="24"/>
        </w:rPr>
        <w:t>cannulae</w:t>
      </w:r>
      <w:proofErr w:type="spellEnd"/>
      <w:r w:rsidRPr="006A14B1">
        <w:rPr>
          <w:rFonts w:cs="Times New Roman"/>
          <w:szCs w:val="24"/>
        </w:rPr>
        <w:t xml:space="preserv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77777777" w:rsidR="0066677B" w:rsidRPr="00C24600" w:rsidRDefault="00C24600" w:rsidP="007A74B8">
      <w:pPr>
        <w:spacing w:line="276" w:lineRule="auto"/>
        <w:ind w:firstLine="720"/>
        <w:rPr>
          <w:rFonts w:cs="Times New Roman"/>
          <w:i/>
          <w:szCs w:val="24"/>
        </w:rPr>
      </w:pPr>
      <w:proofErr w:type="gramStart"/>
      <w:r>
        <w:rPr>
          <w:rFonts w:cs="Times New Roman"/>
          <w:i/>
          <w:szCs w:val="24"/>
        </w:rPr>
        <w:t>Drugs and infusions.</w:t>
      </w:r>
      <w:proofErr w:type="gramEnd"/>
      <w:r>
        <w:rPr>
          <w:rFonts w:cs="Times New Roman"/>
          <w:i/>
          <w:szCs w:val="24"/>
        </w:rPr>
        <w:t xml:space="preserve">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w:t>
      </w:r>
      <w:proofErr w:type="spellStart"/>
      <w:r w:rsidRPr="006A14B1">
        <w:rPr>
          <w:rFonts w:cs="Times New Roman"/>
          <w:szCs w:val="24"/>
        </w:rPr>
        <w:t>muscimol</w:t>
      </w:r>
      <w:proofErr w:type="spellEnd"/>
      <w:r w:rsidRPr="006A14B1">
        <w:rPr>
          <w:rFonts w:cs="Times New Roman"/>
          <w:szCs w:val="24"/>
        </w:rPr>
        <w:t xml:space="preserve"> (Sigma-Aldrich, Switzerland) was dissolved in 0.9% (w/v) non-pyrogenic saline to obtain a final concentration of 0.5 </w:t>
      </w:r>
      <w:proofErr w:type="spellStart"/>
      <w:r w:rsidRPr="006A14B1">
        <w:rPr>
          <w:rFonts w:cs="Times New Roman"/>
          <w:i/>
          <w:szCs w:val="24"/>
        </w:rPr>
        <w:t>μ</w:t>
      </w:r>
      <w:r w:rsidRPr="006A14B1">
        <w:rPr>
          <w:rFonts w:cs="Times New Roman"/>
          <w:szCs w:val="24"/>
        </w:rPr>
        <w:t>g</w:t>
      </w:r>
      <w:proofErr w:type="spellEnd"/>
      <w:r w:rsidRPr="006A14B1">
        <w:rPr>
          <w:rFonts w:cs="Times New Roman"/>
          <w:szCs w:val="24"/>
        </w:rPr>
        <w:t xml:space="preserve">/0.5 </w:t>
      </w:r>
      <w:proofErr w:type="spellStart"/>
      <w:r w:rsidRPr="006A14B1">
        <w:rPr>
          <w:rFonts w:cs="Times New Roman"/>
          <w:i/>
          <w:szCs w:val="24"/>
        </w:rPr>
        <w:t>μ</w:t>
      </w:r>
      <w:r w:rsidRPr="006A14B1">
        <w:rPr>
          <w:rFonts w:cs="Times New Roman"/>
          <w:szCs w:val="24"/>
        </w:rPr>
        <w:t>l</w:t>
      </w:r>
      <w:proofErr w:type="spellEnd"/>
      <w:r w:rsidRPr="006A14B1">
        <w:rPr>
          <w:rFonts w:cs="Times New Roman"/>
          <w:szCs w:val="24"/>
        </w:rPr>
        <w:t>. Non-pyrogenic saline 0.9% (w/v) was used as the saline control.</w:t>
      </w:r>
      <w:r>
        <w:rPr>
          <w:rFonts w:cs="Times New Roman"/>
          <w:i/>
          <w:szCs w:val="24"/>
        </w:rPr>
        <w:t xml:space="preserve"> </w:t>
      </w:r>
      <w:r w:rsidR="0066677B" w:rsidRPr="006A14B1">
        <w:rPr>
          <w:rFonts w:cs="Times New Roman"/>
          <w:szCs w:val="24"/>
        </w:rPr>
        <w:t xml:space="preserve">During infusions, </w:t>
      </w:r>
      <w:proofErr w:type="spellStart"/>
      <w:r w:rsidR="0066677B" w:rsidRPr="006A14B1">
        <w:rPr>
          <w:rFonts w:cs="Times New Roman"/>
          <w:szCs w:val="24"/>
        </w:rPr>
        <w:t>muscimol</w:t>
      </w:r>
      <w:proofErr w:type="spellEnd"/>
      <w:r w:rsidR="0066677B" w:rsidRPr="006A14B1">
        <w:rPr>
          <w:rFonts w:cs="Times New Roman"/>
          <w:szCs w:val="24"/>
        </w:rPr>
        <w:t xml:space="preserve"> or saline was infused bilaterally into the lateral OFC by inserting a 33 gauge internal cannula into the guide cannula which extended 1mm ventral to the guide tip. The internal cannula was connected to a 25 </w:t>
      </w:r>
      <w:proofErr w:type="spellStart"/>
      <w:r w:rsidR="0066677B" w:rsidRPr="006A14B1">
        <w:rPr>
          <w:rFonts w:cs="Times New Roman"/>
          <w:i/>
          <w:szCs w:val="24"/>
        </w:rPr>
        <w:t>μ</w:t>
      </w:r>
      <w:r w:rsidR="0066677B" w:rsidRPr="006A14B1">
        <w:rPr>
          <w:rFonts w:cs="Times New Roman"/>
          <w:szCs w:val="24"/>
        </w:rPr>
        <w:t>l</w:t>
      </w:r>
      <w:proofErr w:type="spellEnd"/>
      <w:r w:rsidR="0066677B" w:rsidRPr="006A14B1">
        <w:rPr>
          <w:rFonts w:cs="Times New Roman"/>
          <w:szCs w:val="24"/>
        </w:rPr>
        <w:t xml:space="preserve"> glass syringe (Hamilton Company, Reno, NV, USA) attached to a </w:t>
      </w:r>
      <w:proofErr w:type="spellStart"/>
      <w:r w:rsidR="0066677B" w:rsidRPr="006A14B1">
        <w:rPr>
          <w:rFonts w:cs="Times New Roman"/>
          <w:szCs w:val="24"/>
        </w:rPr>
        <w:t>microinfusion</w:t>
      </w:r>
      <w:proofErr w:type="spellEnd"/>
      <w:r w:rsidR="0066677B" w:rsidRPr="006A14B1">
        <w:rPr>
          <w:rFonts w:cs="Times New Roman"/>
          <w:szCs w:val="24"/>
        </w:rPr>
        <w:t xml:space="preserve"> pump (World Precision Instruments, Inc., Sarasota, FL, USA). A total volume of 0.5 </w:t>
      </w:r>
      <w:proofErr w:type="spellStart"/>
      <w:r w:rsidR="0066677B" w:rsidRPr="006A14B1">
        <w:rPr>
          <w:rFonts w:cs="Times New Roman"/>
          <w:i/>
          <w:szCs w:val="24"/>
        </w:rPr>
        <w:t>μ</w:t>
      </w:r>
      <w:r w:rsidR="0066677B" w:rsidRPr="006A14B1">
        <w:rPr>
          <w:rFonts w:cs="Times New Roman"/>
          <w:szCs w:val="24"/>
        </w:rPr>
        <w:t>l</w:t>
      </w:r>
      <w:proofErr w:type="spellEnd"/>
      <w:r w:rsidR="0066677B" w:rsidRPr="006A14B1">
        <w:rPr>
          <w:rFonts w:cs="Times New Roman"/>
          <w:szCs w:val="24"/>
        </w:rPr>
        <w:t xml:space="preserve"> was delivered to each side at a rate </w:t>
      </w:r>
      <w:proofErr w:type="gramStart"/>
      <w:r w:rsidR="0066677B" w:rsidRPr="006A14B1">
        <w:rPr>
          <w:rFonts w:cs="Times New Roman"/>
          <w:szCs w:val="24"/>
        </w:rPr>
        <w:t xml:space="preserve">of 0.25 </w:t>
      </w:r>
      <w:proofErr w:type="spellStart"/>
      <w:r w:rsidR="0066677B" w:rsidRPr="006A14B1">
        <w:rPr>
          <w:rFonts w:cs="Times New Roman"/>
          <w:i/>
          <w:szCs w:val="24"/>
        </w:rPr>
        <w:t>μ</w:t>
      </w:r>
      <w:r w:rsidR="0066677B" w:rsidRPr="006A14B1">
        <w:rPr>
          <w:rFonts w:cs="Times New Roman"/>
          <w:szCs w:val="24"/>
        </w:rPr>
        <w:t>l</w:t>
      </w:r>
      <w:proofErr w:type="spellEnd"/>
      <w:r w:rsidR="0066677B" w:rsidRPr="006A14B1">
        <w:rPr>
          <w:rFonts w:cs="Times New Roman"/>
          <w:szCs w:val="24"/>
        </w:rPr>
        <w:t>/min</w:t>
      </w:r>
      <w:proofErr w:type="gramEnd"/>
      <w:r w:rsidR="0066677B" w:rsidRPr="006A14B1">
        <w:rPr>
          <w:rFonts w:cs="Times New Roman"/>
          <w:szCs w:val="24"/>
        </w:rPr>
        <w:t xml:space="preserve">. The internal cannula remained in place for an additional 1 min after the infusion and then removed. During the infusion procedure animals were allowed to move freely in a bucket to minimize stress. Dummy </w:t>
      </w:r>
      <w:proofErr w:type="spellStart"/>
      <w:r w:rsidR="0066677B" w:rsidRPr="006A14B1">
        <w:rPr>
          <w:rFonts w:cs="Times New Roman"/>
          <w:szCs w:val="24"/>
        </w:rPr>
        <w:t>cannulae</w:t>
      </w:r>
      <w:proofErr w:type="spellEnd"/>
      <w:r w:rsidR="0066677B" w:rsidRPr="006A14B1">
        <w:rPr>
          <w:rFonts w:cs="Times New Roman"/>
          <w:szCs w:val="24"/>
        </w:rPr>
        <w:t xml:space="preserv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w:t>
      </w:r>
      <w:proofErr w:type="spellStart"/>
      <w:r w:rsidR="0066677B" w:rsidRPr="006A14B1">
        <w:rPr>
          <w:rFonts w:cs="Times New Roman"/>
          <w:szCs w:val="24"/>
        </w:rPr>
        <w:t>microinfusion</w:t>
      </w:r>
      <w:proofErr w:type="spellEnd"/>
      <w:r w:rsidR="0066677B" w:rsidRPr="006A14B1">
        <w:rPr>
          <w:rFonts w:cs="Times New Roman"/>
          <w:szCs w:val="24"/>
        </w:rPr>
        <w:t xml:space="preserve"> procedure and thereby minimize stress.</w:t>
      </w:r>
    </w:p>
    <w:p w14:paraId="27843669" w14:textId="77777777" w:rsidR="00405363" w:rsidRPr="006A14B1" w:rsidRDefault="00405363" w:rsidP="007A74B8">
      <w:pPr>
        <w:spacing w:line="276" w:lineRule="auto"/>
        <w:ind w:firstLine="720"/>
        <w:rPr>
          <w:rFonts w:cs="Times New Roman"/>
          <w:szCs w:val="24"/>
        </w:rPr>
      </w:pPr>
      <w:proofErr w:type="gramStart"/>
      <w:r>
        <w:rPr>
          <w:rFonts w:cs="Times New Roman"/>
          <w:i/>
          <w:szCs w:val="24"/>
        </w:rPr>
        <w:t>Histology.</w:t>
      </w:r>
      <w:proofErr w:type="gramEnd"/>
      <w:r>
        <w:rPr>
          <w:rFonts w:cs="Times New Roman"/>
          <w:i/>
          <w:szCs w:val="24"/>
        </w:rPr>
        <w:t xml:space="preserve"> </w:t>
      </w:r>
      <w:r w:rsidRPr="006A14B1">
        <w:rPr>
          <w:rFonts w:cs="Times New Roman"/>
          <w:szCs w:val="24"/>
        </w:rPr>
        <w:t xml:space="preserve">Following completion of behavioural testing, rats received a lethal dose of sodium pentobarbital. The brains were removed, frozen, and sectioned </w:t>
      </w:r>
      <w:proofErr w:type="spellStart"/>
      <w:r w:rsidRPr="006A14B1">
        <w:rPr>
          <w:rFonts w:cs="Times New Roman"/>
          <w:szCs w:val="24"/>
        </w:rPr>
        <w:t>coronally</w:t>
      </w:r>
      <w:proofErr w:type="spellEnd"/>
      <w:r w:rsidRPr="006A14B1">
        <w:rPr>
          <w:rFonts w:cs="Times New Roman"/>
          <w:szCs w:val="24"/>
        </w:rPr>
        <w:t xml:space="preserve"> at 40 </w:t>
      </w:r>
      <w:proofErr w:type="spellStart"/>
      <w:r w:rsidRPr="006A14B1">
        <w:rPr>
          <w:rFonts w:cs="Times New Roman"/>
          <w:i/>
          <w:szCs w:val="24"/>
        </w:rPr>
        <w:t>μ</w:t>
      </w:r>
      <w:r w:rsidRPr="006A14B1">
        <w:rPr>
          <w:rFonts w:cs="Times New Roman"/>
          <w:szCs w:val="24"/>
        </w:rPr>
        <w:t>m</w:t>
      </w:r>
      <w:proofErr w:type="spellEnd"/>
      <w:r w:rsidRPr="006A14B1">
        <w:rPr>
          <w:rFonts w:cs="Times New Roman"/>
          <w:szCs w:val="24"/>
        </w:rPr>
        <w:t xml:space="preserve"> through the lateral OFC with a cryostat. Every third section was collected on a slide and stained with </w:t>
      </w:r>
      <w:proofErr w:type="spellStart"/>
      <w:r w:rsidRPr="006A14B1">
        <w:rPr>
          <w:rFonts w:cs="Times New Roman"/>
          <w:szCs w:val="24"/>
        </w:rPr>
        <w:t>cresyl</w:t>
      </w:r>
      <w:proofErr w:type="spellEnd"/>
      <w:r w:rsidRPr="006A14B1">
        <w:rPr>
          <w:rFonts w:cs="Times New Roman"/>
          <w:szCs w:val="24"/>
        </w:rPr>
        <w:t xml:space="preserve">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proofErr w:type="spellStart"/>
      <w:r w:rsidRPr="006A14B1">
        <w:rPr>
          <w:rFonts w:cs="Times New Roman"/>
          <w:szCs w:val="24"/>
        </w:rPr>
        <w:t>cannulae</w:t>
      </w:r>
      <w:proofErr w:type="spellEnd"/>
      <w:r w:rsidRPr="006A14B1">
        <w:rPr>
          <w:rFonts w:cs="Times New Roman"/>
          <w:szCs w:val="24"/>
        </w:rPr>
        <w:t xml:space="preserv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proofErr w:type="gramStart"/>
      <w:r>
        <w:rPr>
          <w:rFonts w:cs="Times New Roman"/>
          <w:i/>
          <w:szCs w:val="24"/>
        </w:rPr>
        <w:lastRenderedPageBreak/>
        <w:t>Magazine training.</w:t>
      </w:r>
      <w:proofErr w:type="gramEnd"/>
      <w:r>
        <w:rPr>
          <w:rFonts w:cs="Times New Roman"/>
          <w:i/>
          <w:szCs w:val="24"/>
        </w:rPr>
        <w:t xml:space="preserve">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5006C34A" w:rsidR="00BF4280" w:rsidRDefault="008423AE" w:rsidP="00FE2A45">
      <w:pPr>
        <w:pStyle w:val="NormalWeb"/>
        <w:spacing w:line="276" w:lineRule="auto"/>
        <w:ind w:firstLine="720"/>
        <w:rPr>
          <w:rFonts w:asciiTheme="minorHAnsi" w:hAnsiTheme="minorHAnsi"/>
          <w:color w:val="000000"/>
          <w:sz w:val="22"/>
        </w:rPr>
      </w:pPr>
      <w:proofErr w:type="gramStart"/>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proofErr w:type="gramEnd"/>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uditory cue C was always an 84 dB, 2.6 kHz tone. On rewarded trials (denoted by the symbol ‘+’) a single reward pellet was delivered upon CS termination. On non-reinforced trials (denoted by the symbol ‘-’), no 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w:t>
      </w:r>
    </w:p>
    <w:p w14:paraId="51AB85E1" w14:textId="23A1CA77" w:rsidR="00CA1121" w:rsidRDefault="00BF4280" w:rsidP="007A74B8">
      <w:pPr>
        <w:pStyle w:val="NormalWeb"/>
        <w:spacing w:after="200" w:line="276" w:lineRule="auto"/>
        <w:ind w:firstLine="720"/>
        <w:rPr>
          <w:rFonts w:asciiTheme="minorHAnsi" w:hAnsiTheme="minorHAnsi"/>
          <w:color w:val="000000"/>
          <w:sz w:val="22"/>
        </w:rPr>
      </w:pPr>
      <w:proofErr w:type="gramStart"/>
      <w:r w:rsidRPr="00BF4280">
        <w:rPr>
          <w:rFonts w:asciiTheme="minorHAnsi" w:hAnsiTheme="minorHAnsi"/>
          <w:i/>
          <w:color w:val="000000"/>
          <w:sz w:val="22"/>
        </w:rPr>
        <w:t>General experimental design.</w:t>
      </w:r>
      <w:proofErr w:type="gramEnd"/>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FF0183">
        <w:rPr>
          <w:rFonts w:asciiTheme="minorHAnsi" w:hAnsiTheme="minorHAnsi"/>
          <w:i/>
          <w:color w:val="FF0000"/>
          <w:sz w:val="22"/>
        </w:rPr>
        <w:t>Figure 1A and 2A</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CA1121">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xml:space="preserve">. Experiment 2 was designed such that AX- was presented in separate sessions only after A+ was well trained instead of within the same session. This design has been used to probe the formation of conditioned inhibition in extinction procedures </w:t>
      </w:r>
      <w:r w:rsidR="00B52490">
        <w:rPr>
          <w:rFonts w:asciiTheme="minorHAnsi" w:hAnsiTheme="minorHAnsi"/>
          <w:color w:val="000000"/>
          <w:sz w:val="22"/>
        </w:rPr>
        <w:fldChar w:fldCharType="begin" w:fldLock="1"/>
      </w:r>
      <w:r w:rsidR="00B52490">
        <w:rPr>
          <w:rFonts w:asciiTheme="minorHAnsi" w:hAnsiTheme="minorHAnsi"/>
          <w:color w:val="000000"/>
          <w:sz w:val="22"/>
        </w:rPr>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52490">
        <w:rPr>
          <w:rFonts w:asciiTheme="minorHAnsi" w:hAnsiTheme="minorHAnsi"/>
          <w:color w:val="000000"/>
          <w:sz w:val="22"/>
        </w:rPr>
        <w:fldChar w:fldCharType="separate"/>
      </w:r>
      <w:r w:rsidR="00B52490" w:rsidRPr="007831C3">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A842F7">
        <w:rPr>
          <w:rFonts w:asciiTheme="minorHAnsi" w:hAnsiTheme="minorHAnsi"/>
          <w:color w:val="000000"/>
          <w:sz w:val="22"/>
        </w:rP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A842F7">
        <w:rPr>
          <w:rFonts w:asciiTheme="minorHAnsi" w:hAnsiTheme="minorHAnsi"/>
          <w:color w:val="000000"/>
          <w:sz w:val="22"/>
        </w:rPr>
        <w:fldChar w:fldCharType="separate"/>
      </w:r>
      <w:r w:rsidR="00A842F7" w:rsidRPr="000867DC">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00C34E46"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A1799E">
        <w:rPr>
          <w:rFonts w:asciiTheme="minorHAnsi" w:hAnsiTheme="minorHAnsi"/>
          <w:color w:val="000000"/>
          <w:sz w:val="22"/>
        </w:rP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"mendeley" : { "formattedCitation" : "(Rescorla, 1969)", "plainTextFormattedCitation" : "(Rescorla, 1969)", "previouslyFormattedCitation" : "(Rescorla, 1969)"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 the rate of acquisition to cue X will be lower than acquisition to a novel cue if X has accrued inhibitory properties.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 non-reinforced during AX- training (i.e. latent inhibition).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w:t>
      </w:r>
      <w:r w:rsidR="00A1799E">
        <w:rPr>
          <w:rFonts w:asciiTheme="minorHAnsi" w:hAnsiTheme="minorHAnsi"/>
          <w:color w:val="000000"/>
          <w:sz w:val="22"/>
        </w:rPr>
        <w:lastRenderedPageBreak/>
        <w:t xml:space="preserve">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is a conditioned inhibitor </w:t>
      </w:r>
      <w:r w:rsidR="00A1799E">
        <w:rPr>
          <w:rFonts w:asciiTheme="minorHAnsi" w:hAnsiTheme="minorHAnsi"/>
          <w:color w:val="000000"/>
          <w:sz w:val="22"/>
        </w:rPr>
        <w:fldChar w:fldCharType="begin" w:fldLock="1"/>
      </w:r>
      <w:r w:rsidR="00E33782">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A1799E">
        <w:rPr>
          <w:rFonts w:asciiTheme="minorHAnsi" w:hAnsiTheme="minorHAnsi"/>
          <w:color w:val="000000"/>
          <w:sz w:val="22"/>
        </w:rPr>
        <w:fldChar w:fldCharType="separate"/>
      </w:r>
      <w:r w:rsidR="00A1799E" w:rsidRPr="00A1799E">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77777777" w:rsidR="00A118A8" w:rsidRDefault="00A118A8" w:rsidP="00A118A8">
      <w:pPr>
        <w:spacing w:line="276" w:lineRule="auto"/>
        <w:ind w:firstLine="720"/>
        <w:rPr>
          <w:color w:val="000000"/>
        </w:rPr>
      </w:pPr>
      <w:r w:rsidRPr="008423AE">
        <w:rPr>
          <w:i/>
        </w:rPr>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w:t>
      </w:r>
      <w:proofErr w:type="spellStart"/>
      <w:r>
        <w:t>muscimol</w:t>
      </w:r>
      <w:proofErr w:type="spellEnd"/>
      <w:r>
        <w:t xml:space="preserve"> or saline targeting the OFC. </w:t>
      </w:r>
    </w:p>
    <w:p w14:paraId="088630D3" w14:textId="45CFFEE9"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 </w:t>
      </w:r>
    </w:p>
    <w:p w14:paraId="287C4995" w14:textId="77777777" w:rsidR="002B61B3" w:rsidRDefault="002B61B3" w:rsidP="002B61B3">
      <w:pPr>
        <w:spacing w:line="276" w:lineRule="auto"/>
        <w:ind w:firstLine="720"/>
      </w:pPr>
      <w:proofErr w:type="gramStart"/>
      <w:r w:rsidRPr="008423AE">
        <w:rPr>
          <w:i/>
        </w:rPr>
        <w:t>Experiment 1 summation probe test day 13.</w:t>
      </w:r>
      <w:proofErr w:type="gramEnd"/>
      <w:r>
        <w:t xml:space="preserve"> The summation probe test consisted of 27 trials (45 mins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516A77A8" w:rsidR="00C57B36" w:rsidRDefault="002B61B3" w:rsidP="00A924DC">
      <w:pPr>
        <w:spacing w:line="276" w:lineRule="auto"/>
        <w:ind w:firstLine="720"/>
      </w:pPr>
      <w:proofErr w:type="gramStart"/>
      <w:r w:rsidRPr="00732B6C">
        <w:rPr>
          <w:i/>
        </w:rPr>
        <w:t>Experiment 1 retardation test days 14-16.</w:t>
      </w:r>
      <w:proofErr w:type="gramEnd"/>
      <w:r>
        <w:t xml:space="preserve"> 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1B125434" w:rsidR="00A118A8" w:rsidRDefault="00A118A8" w:rsidP="00A118A8">
      <w:pPr>
        <w:spacing w:line="276" w:lineRule="auto"/>
        <w:ind w:firstLine="720"/>
      </w:pPr>
      <w:proofErr w:type="gramStart"/>
      <w:r w:rsidRPr="00732B6C">
        <w:rPr>
          <w:i/>
        </w:rPr>
        <w:t xml:space="preserve">Experiment </w:t>
      </w:r>
      <w:r w:rsidR="000A2651">
        <w:rPr>
          <w:i/>
        </w:rPr>
        <w:t>1</w:t>
      </w:r>
      <w:r>
        <w:rPr>
          <w:i/>
        </w:rPr>
        <w:t xml:space="preserve"> </w:t>
      </w:r>
      <w:r w:rsidRPr="00732B6C">
        <w:rPr>
          <w:i/>
        </w:rPr>
        <w:t>consumption test days 17-18.</w:t>
      </w:r>
      <w:proofErr w:type="gramEnd"/>
      <w:r>
        <w:t xml:space="preserve"> Following the retardation test, all animals were given a consumption test to assess whether </w:t>
      </w:r>
      <w:proofErr w:type="spellStart"/>
      <w:r>
        <w:t>muscimol</w:t>
      </w:r>
      <w:proofErr w:type="spellEnd"/>
      <w:r>
        <w:t xml:space="preserve">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w:t>
      </w:r>
      <w:proofErr w:type="spellStart"/>
      <w:r>
        <w:t>muscimol</w:t>
      </w:r>
      <w:proofErr w:type="spellEnd"/>
      <w:r>
        <w:t xml:space="preserve"> or saline before being entered for </w:t>
      </w:r>
      <w:proofErr w:type="gramStart"/>
      <w:r>
        <w:t>a consumption</w:t>
      </w:r>
      <w:proofErr w:type="gramEnd"/>
      <w:r>
        <w:t xml:space="preserve"> test identical to that on day 17.</w:t>
      </w:r>
    </w:p>
    <w:p w14:paraId="7DD33612" w14:textId="5867FD0E" w:rsidR="00A118A8" w:rsidRDefault="00A118A8" w:rsidP="000A2651">
      <w:pPr>
        <w:spacing w:line="276" w:lineRule="auto"/>
        <w:ind w:firstLine="720"/>
      </w:pPr>
      <w:proofErr w:type="gramStart"/>
      <w:r w:rsidRPr="00732B6C">
        <w:rPr>
          <w:i/>
        </w:rPr>
        <w:t xml:space="preserve">Experiment </w:t>
      </w:r>
      <w:r>
        <w:rPr>
          <w:i/>
        </w:rPr>
        <w:t xml:space="preserve">2 </w:t>
      </w:r>
      <w:r w:rsidR="000A2651">
        <w:rPr>
          <w:i/>
        </w:rPr>
        <w:t>acquisition days 1-9</w:t>
      </w:r>
      <w:r w:rsidRPr="00732B6C">
        <w:rPr>
          <w:i/>
        </w:rPr>
        <w:t>.</w:t>
      </w:r>
      <w:proofErr w:type="gramEnd"/>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 xml:space="preserve">returned to free feeding and surgery was performed. Immediately following post-operative recovery </w:t>
      </w:r>
      <w:r>
        <w:lastRenderedPageBreak/>
        <w:t>all animals were returned to food</w:t>
      </w:r>
      <w:r w:rsidR="000A2651">
        <w:t xml:space="preserve"> restriction 2 days prior to further </w:t>
      </w:r>
      <w:r>
        <w:t>acquisition.</w:t>
      </w:r>
      <w:r w:rsidR="000A2651">
        <w:t xml:space="preserve"> Post-operative acquisition on days 7-9 </w:t>
      </w:r>
      <w:r>
        <w:t>were identical to pre-surgical Stage 1 acquisition, except that only a single 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proofErr w:type="gramStart"/>
      <w:r w:rsidRPr="00732B6C">
        <w:rPr>
          <w:i/>
        </w:rPr>
        <w:t xml:space="preserve">Experiment </w:t>
      </w:r>
      <w:r>
        <w:rPr>
          <w:i/>
        </w:rPr>
        <w:t xml:space="preserve">2 </w:t>
      </w:r>
      <w:r w:rsidRPr="00732B6C">
        <w:rPr>
          <w:i/>
        </w:rPr>
        <w:t>feature negative training days 10-13.</w:t>
      </w:r>
      <w:proofErr w:type="gramEnd"/>
      <w:r>
        <w:t xml:space="preserve"> During the feature negative training, each session consisted of 36 trials such that there were 18 AX- and 18 C- trials. Infusions of saline or </w:t>
      </w:r>
      <w:proofErr w:type="spellStart"/>
      <w:r>
        <w:t>Muscimol</w:t>
      </w:r>
      <w:proofErr w:type="spellEnd"/>
      <w:r>
        <w:t xml:space="preserve">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proofErr w:type="gramStart"/>
      <w:r w:rsidRPr="00732B6C">
        <w:rPr>
          <w:i/>
        </w:rPr>
        <w:t xml:space="preserve">Experiment </w:t>
      </w:r>
      <w:r>
        <w:rPr>
          <w:i/>
        </w:rPr>
        <w:t>2</w:t>
      </w:r>
      <w:r w:rsidRPr="00732B6C">
        <w:rPr>
          <w:i/>
        </w:rPr>
        <w:t xml:space="preserve"> extinction test day 14.</w:t>
      </w:r>
      <w:proofErr w:type="gramEnd"/>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proofErr w:type="gramStart"/>
      <w:r w:rsidRPr="00A118A8">
        <w:rPr>
          <w:i/>
        </w:rPr>
        <w:t>Experiment 2 Locomotor activity.</w:t>
      </w:r>
      <w:proofErr w:type="gramEnd"/>
      <w:r w:rsidRPr="00A118A8">
        <w:rPr>
          <w:i/>
        </w:rPr>
        <w:t xml:space="preserve"> </w:t>
      </w:r>
      <w:r>
        <w:t xml:space="preserve">At the end of training, animals were locomotor screened following an additional drug infusion (either saline or </w:t>
      </w:r>
      <w:proofErr w:type="spellStart"/>
      <w:r>
        <w:t>Muscimol</w:t>
      </w:r>
      <w:proofErr w:type="spellEnd"/>
      <w:r>
        <w:t xml:space="preserve">) to evaluate whether drug infusions affected general activity levels between groups. </w:t>
      </w:r>
    </w:p>
    <w:p w14:paraId="46B5B0B9" w14:textId="77777777" w:rsidR="00CC597D" w:rsidRDefault="00CC597D" w:rsidP="00CC597D">
      <w:pPr>
        <w:spacing w:line="276" w:lineRule="auto"/>
        <w:ind w:firstLine="720"/>
      </w:pPr>
      <w:proofErr w:type="gramStart"/>
      <w:r>
        <w:t>Data analysis.</w:t>
      </w:r>
      <w:proofErr w:type="gramEnd"/>
      <w:r>
        <w:t xml:space="preserve"> CS responding was operationalized as the number of magazine entries during the 10s CS. </w:t>
      </w:r>
      <w:proofErr w:type="spellStart"/>
      <w:r>
        <w:t>PreCS</w:t>
      </w:r>
      <w:proofErr w:type="spellEnd"/>
      <w:r>
        <w:t xml:space="preserve">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w:t>
      </w:r>
      <w:proofErr w:type="gramStart"/>
      <w:r>
        <w:t>tests,</w:t>
      </w:r>
      <w:proofErr w:type="gramEnd"/>
      <w:r>
        <w:t xml:space="preserve"> planned linear and quadratic orthogonal trend contrasts and their interactions between groups were analysed to assess differences in rates of responding.</w:t>
      </w:r>
    </w:p>
    <w:p w14:paraId="2122D607" w14:textId="25A0FBED" w:rsidR="00F40072" w:rsidRDefault="00F40072" w:rsidP="00F40072">
      <w:pPr>
        <w:spacing w:line="276" w:lineRule="auto"/>
      </w:pPr>
      <w:r>
        <w:tab/>
        <w:t xml:space="preserve">For convenience, cue Z was analysed separately in all stages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798D5B48" w:rsidR="00287869" w:rsidRPr="00287869" w:rsidRDefault="00287869" w:rsidP="00287869">
      <w:pPr>
        <w:spacing w:line="276" w:lineRule="auto"/>
      </w:pPr>
      <w:proofErr w:type="spellStart"/>
      <w:r w:rsidRPr="00287869">
        <w:t>Cannulae</w:t>
      </w:r>
      <w:proofErr w:type="spellEnd"/>
      <w:r w:rsidRPr="00287869">
        <w:t xml:space="preserve"> placements are depicted in </w:t>
      </w:r>
      <w:r w:rsidRPr="008B0742">
        <w:rPr>
          <w:color w:val="FF0000"/>
        </w:rPr>
        <w:t xml:space="preserve">Figure </w:t>
      </w:r>
      <w:r w:rsidR="00203806">
        <w:rPr>
          <w:color w:val="FF0000"/>
        </w:rPr>
        <w:t>1B</w:t>
      </w:r>
      <w:r w:rsidRPr="008B0742">
        <w:rPr>
          <w:color w:val="FF0000"/>
        </w:rPr>
        <w:t xml:space="preserve">. </w:t>
      </w:r>
      <w:r w:rsidR="00203806">
        <w:t>Two</w:t>
      </w:r>
      <w:r w:rsidRPr="00287869">
        <w:t xml:space="preserve"> animals were excluded from further analysis due to misplaced </w:t>
      </w:r>
      <w:proofErr w:type="spellStart"/>
      <w:r w:rsidRPr="00287869">
        <w:t>cannulae</w:t>
      </w:r>
      <w:proofErr w:type="spellEnd"/>
      <w:r w:rsidRPr="00287869">
        <w:t xml:space="preserve">. During training </w:t>
      </w:r>
      <w:r w:rsidR="00203806">
        <w:t>a further two</w:t>
      </w:r>
      <w:r w:rsidRPr="00287869">
        <w:t xml:space="preserve"> animals from the saline group were excluded and were not trained further as they failed to acquire magazine training after several days. Final numbers for infusion groups in Experiment 1 were saline (n = 13) and </w:t>
      </w:r>
      <w:proofErr w:type="spellStart"/>
      <w:r w:rsidRPr="00287869">
        <w:t>muscimol</w:t>
      </w:r>
      <w:proofErr w:type="spellEnd"/>
      <w:r w:rsidRPr="00287869">
        <w:t xml:space="preserve"> (n = 15).</w:t>
      </w:r>
    </w:p>
    <w:p w14:paraId="6AD04502" w14:textId="77777777" w:rsidR="00287869" w:rsidRDefault="00287869" w:rsidP="003413FE">
      <w:pPr>
        <w:spacing w:line="276" w:lineRule="auto"/>
      </w:pPr>
      <w:r>
        <w:t>Baseline responding</w:t>
      </w:r>
    </w:p>
    <w:p w14:paraId="03EF6359" w14:textId="2BED6CB8"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w:t>
      </w:r>
      <w:proofErr w:type="spellStart"/>
      <w:r w:rsidR="005C2B5F">
        <w:t>PreCS</w:t>
      </w:r>
      <w:proofErr w:type="spellEnd"/>
      <w:r w:rsidR="005C2B5F">
        <w:t xml:space="preserve"> period</w:t>
      </w:r>
      <w:r w:rsidRPr="00FF0402">
        <w:t xml:space="preserve"> did not significantly differ between groups during any of the testing phases</w:t>
      </w:r>
      <w:r>
        <w:t>,</w:t>
      </w:r>
      <w:r w:rsidRPr="00FF0402">
        <w:t xml:space="preserve"> and justified the analysis of CS-</w:t>
      </w:r>
      <w:proofErr w:type="spellStart"/>
      <w:r w:rsidRPr="00FF0402">
        <w:t>PreCS</w:t>
      </w:r>
      <w:proofErr w:type="spellEnd"/>
      <w:r w:rsidRPr="00FF0402">
        <w:t xml:space="preserve"> difference scores as measures of discriminative responding to the cues in </w:t>
      </w:r>
      <w:r w:rsidR="005C2B5F">
        <w:t>subsequent</w:t>
      </w:r>
      <w:r w:rsidRPr="00FF0402">
        <w:t xml:space="preserve"> analyses.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w:t>
      </w:r>
      <w:r w:rsidRPr="00FF0402">
        <w:lastRenderedPageBreak/>
        <w:t xml:space="preserve">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t>Stage 1</w:t>
      </w:r>
      <w:r w:rsidR="008E3FB5">
        <w:rPr>
          <w:i/>
        </w:rPr>
        <w:t>:</w:t>
      </w:r>
      <w:r w:rsidRPr="00FF0402">
        <w:rPr>
          <w:i/>
        </w:rPr>
        <w:t xml:space="preserve"> Acquisition (Days 1-4)</w:t>
      </w:r>
    </w:p>
    <w:p w14:paraId="7F848811" w14:textId="52DB8B31" w:rsidR="008423AE" w:rsidRDefault="00F40072" w:rsidP="00FF0402">
      <w:pPr>
        <w:spacing w:line="276" w:lineRule="auto"/>
      </w:pPr>
      <w:r>
        <w:t>Prior to drug infusions, both groups acquired discriminative responding to cues A and B at similar rates.</w:t>
      </w:r>
      <w:r w:rsidR="00FF0402">
        <w:t xml:space="preserve"> This impression was confirmed by a mixed ANOVA with main factors of Group </w:t>
      </w:r>
      <w:r w:rsidR="00A949F5">
        <w:t xml:space="preserve">(saline, </w:t>
      </w:r>
      <w:proofErr w:type="spellStart"/>
      <w:r w:rsidR="00A949F5">
        <w:t>muscimol</w:t>
      </w:r>
      <w:proofErr w:type="spellEnd"/>
      <w:r w:rsidR="00A949F5">
        <w:t xml:space="preserve">), Cue (A, B) and Day (1-4). </w:t>
      </w:r>
      <w:r w:rsidR="00FF0402">
        <w:t xml:space="preserve">Acquisition of responding to cues A and B increased significantly (main effect of day </w:t>
      </w:r>
      <w:proofErr w:type="gramStart"/>
      <w:r w:rsidR="00FF0402">
        <w:t>F(</w:t>
      </w:r>
      <w:proofErr w:type="gramEnd"/>
      <w:r w:rsidR="00FF0402">
        <w:t>3, 78) = 20.41,</w:t>
      </w:r>
      <w:r w:rsidR="00AA0EEE" w:rsidRPr="00AA0EEE">
        <w:rPr>
          <w:i/>
        </w:rPr>
        <w:t xml:space="preserve"> p </w:t>
      </w:r>
      <w:r w:rsidR="00FF0402">
        <w:t>&lt; .001; significant linear trend across Day F(1, 26) = 37.33,</w:t>
      </w:r>
      <w:r w:rsidR="00AA0EEE" w:rsidRPr="00AA0EEE">
        <w:rPr>
          <w:i/>
        </w:rPr>
        <w:t xml:space="preserve"> p </w:t>
      </w:r>
      <w:r w:rsidR="00FF0402">
        <w:t>&lt; .001) and did not differ between groups (all other effects F &lt; 1.5,</w:t>
      </w:r>
      <w:r w:rsidR="00AA0EEE" w:rsidRPr="00AA0EEE">
        <w:rPr>
          <w:i/>
        </w:rPr>
        <w:t xml:space="preserve"> p </w:t>
      </w:r>
      <w:r w:rsidR="00FF0402">
        <w:t xml:space="preserve">&gt;.23). </w:t>
      </w:r>
    </w:p>
    <w:p w14:paraId="2F954CAD" w14:textId="6AB25BF9" w:rsidR="00781823" w:rsidRDefault="00781823" w:rsidP="00FF0402">
      <w:pPr>
        <w:spacing w:line="276" w:lineRule="auto"/>
      </w:pPr>
      <w:r>
        <w:t>Similarly, responding to control cue Z</w:t>
      </w:r>
      <w:r w:rsidR="00973D4B">
        <w:t xml:space="preserve"> (</w:t>
      </w:r>
      <w:r w:rsidR="00973D4B" w:rsidRPr="00781823">
        <w:rPr>
          <w:color w:val="FF0000"/>
        </w:rPr>
        <w:t xml:space="preserve">Figure </w:t>
      </w:r>
      <w:r w:rsidR="00973D4B">
        <w:rPr>
          <w:color w:val="FF0000"/>
        </w:rPr>
        <w:t>2, stage 1</w:t>
      </w:r>
      <w:r w:rsidR="00973D4B">
        <w:t>)</w:t>
      </w:r>
      <w:r>
        <w:t xml:space="preserve"> did not differ between groups, nor did it increase across Day (main effect of Group, Day and Group x Day interaction, all (all </w:t>
      </w:r>
      <w:r w:rsidRPr="00FD31F1">
        <w:rPr>
          <w:i/>
        </w:rPr>
        <w:t>F</w:t>
      </w:r>
      <w:r>
        <w:t xml:space="preserve"> &lt; 1.6,</w:t>
      </w:r>
      <w:r w:rsidRPr="00AA0EEE">
        <w:rPr>
          <w:i/>
        </w:rPr>
        <w:t xml:space="preserve"> p </w:t>
      </w:r>
      <w:r>
        <w:t xml:space="preserve">&gt; .21). However, </w:t>
      </w:r>
      <w:r w:rsidR="00CE37C4">
        <w:t xml:space="preserve">overall </w:t>
      </w:r>
      <w:r>
        <w:t xml:space="preserve">discriminative responding to cue Z was significantly above </w:t>
      </w:r>
      <w:proofErr w:type="spellStart"/>
      <w:r>
        <w:t>PreCS</w:t>
      </w:r>
      <w:proofErr w:type="spellEnd"/>
      <w:r>
        <w:t xml:space="preserve"> levels (test of model</w:t>
      </w:r>
      <w:r w:rsidR="00CE37C4">
        <w:t xml:space="preserve"> intercept</w:t>
      </w:r>
      <w:r>
        <w:t xml:space="preserve">, </w:t>
      </w:r>
      <w:proofErr w:type="gramStart"/>
      <w:r w:rsidRPr="00FD31F1">
        <w:rPr>
          <w:i/>
        </w:rPr>
        <w:t>F</w:t>
      </w:r>
      <w:r>
        <w:t>(</w:t>
      </w:r>
      <w:proofErr w:type="gramEnd"/>
      <w:r>
        <w:t>1, 26) = 24.17,</w:t>
      </w:r>
      <w:r w:rsidRPr="00AA0EEE">
        <w:rPr>
          <w:i/>
        </w:rPr>
        <w:t xml:space="preserve"> p </w:t>
      </w:r>
      <w:r>
        <w:t>&lt; .001). Therefore, at the end of stage 1, all animals had acquired discriminative responding to all cues, but responding was significantly lower to cue Z.</w:t>
      </w:r>
    </w:p>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020CF617" w14:textId="7239D0B1" w:rsidR="003477AB" w:rsidRDefault="00B702F1" w:rsidP="00B702F1">
      <w:pPr>
        <w:spacing w:line="276" w:lineRule="auto"/>
      </w:pPr>
      <w:r>
        <w:t xml:space="preserve">The saline group successfully acquired the feature negative A+/AX- discrimination by increasing responding to the rewarded cue (A+) and selectively inhibiting responding to the non-rewarded compound (AX-). </w:t>
      </w:r>
      <w:proofErr w:type="spellStart"/>
      <w:r w:rsidR="00980607">
        <w:t>Muscimol</w:t>
      </w:r>
      <w:proofErr w:type="spellEnd"/>
      <w:r w:rsidR="00980607">
        <w:t xml:space="preserve"> infusions into </w:t>
      </w:r>
      <w:r w:rsidR="005F3816">
        <w:t xml:space="preserve">OFC </w:t>
      </w:r>
      <w:r w:rsidR="00980607">
        <w:t>completely abolished the acquisition of this discrimination</w:t>
      </w:r>
      <w:r w:rsidR="00FF0402">
        <w:t xml:space="preserve"> (</w:t>
      </w:r>
      <w:r w:rsidR="00FF0402" w:rsidRPr="00A949F5">
        <w:rPr>
          <w:color w:val="FF0000"/>
        </w:rPr>
        <w:t>Figure 1</w:t>
      </w:r>
      <w:r w:rsidR="00F80159">
        <w:rPr>
          <w:color w:val="FF0000"/>
        </w:rPr>
        <w:t>C</w:t>
      </w:r>
      <w:r w:rsidR="00FF0402">
        <w:t>). This impression was confirmed by a Group x Cue (A+, AX-) x Day (6 days) mixed ANOVA. The analysis revealed a significant 3-way Group x Cue x Day interaction (</w:t>
      </w:r>
      <w:proofErr w:type="gramStart"/>
      <w:r w:rsidR="00FD31F1" w:rsidRPr="00FD31F1">
        <w:rPr>
          <w:i/>
        </w:rPr>
        <w:t>F</w:t>
      </w:r>
      <w:r w:rsidR="00FF0402">
        <w:t>(</w:t>
      </w:r>
      <w:proofErr w:type="gramEnd"/>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ollow up Cue x Day ANOVAs were conducted for each group</w:t>
      </w:r>
      <w:r w:rsidR="00FD31F1">
        <w:t xml:space="preserve"> separately</w:t>
      </w:r>
      <w:r w:rsidR="00FF0402">
        <w:t xml:space="preserve"> to explore this interaction. The </w:t>
      </w:r>
      <w:proofErr w:type="spellStart"/>
      <w:r w:rsidR="00FF0402">
        <w:t>muscimol</w:t>
      </w:r>
      <w:proofErr w:type="spellEnd"/>
      <w:r w:rsidR="00FF0402">
        <w:t xml:space="preserve"> group increased responding to the cues across days (main effect of Day, </w:t>
      </w:r>
      <w:proofErr w:type="gramStart"/>
      <w:r w:rsidR="00FD31F1" w:rsidRPr="00FD31F1">
        <w:rPr>
          <w:i/>
        </w:rPr>
        <w:t>F</w:t>
      </w:r>
      <w:r w:rsidR="00FF0402">
        <w:t>(</w:t>
      </w:r>
      <w:proofErr w:type="gramEnd"/>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xml:space="preserve">= .004) but did not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r w:rsidR="00FD31F1" w:rsidRPr="00FD31F1">
        <w:rPr>
          <w:i/>
        </w:rPr>
        <w:t>F</w:t>
      </w:r>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proofErr w:type="gramStart"/>
      <w:r w:rsidR="00FD31F1" w:rsidRPr="00FD31F1">
        <w:rPr>
          <w:i/>
        </w:rPr>
        <w:t>F</w:t>
      </w:r>
      <w:r w:rsidR="00FF0402">
        <w:t>(</w:t>
      </w:r>
      <w:proofErr w:type="gramEnd"/>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w:t>
      </w:r>
      <w:r w:rsidR="005F3816">
        <w:t xml:space="preserve">OFC </w:t>
      </w:r>
      <w:r w:rsidR="00AE6FE3">
        <w:t xml:space="preserve">infusions of </w:t>
      </w:r>
      <w:proofErr w:type="spellStart"/>
      <w:r w:rsidR="00AE6FE3">
        <w:t>muscimol</w:t>
      </w:r>
      <w:proofErr w:type="spellEnd"/>
      <w:r w:rsidR="00AE6FE3">
        <w:t>.</w:t>
      </w:r>
      <w:r w:rsidR="00B90DFC">
        <w:t xml:space="preserve"> While this suggests that </w:t>
      </w:r>
      <w:r w:rsidR="005F3816">
        <w:t xml:space="preserve">OFC </w:t>
      </w:r>
      <w:r w:rsidR="00B90DFC">
        <w:t xml:space="preserve">function is necessary for selective inhibitory control of behaviour, it is unclear whether learning about the conditioned </w:t>
      </w:r>
      <w:r w:rsidR="005862FF">
        <w:t>inhibitor X was also inhibited.</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464977EB" w14:textId="62F57463" w:rsidR="00FF0402" w:rsidRDefault="00801B9E" w:rsidP="003477AB">
      <w:pPr>
        <w:spacing w:line="276" w:lineRule="auto"/>
      </w:pPr>
      <w:r>
        <w:t>Overall levels of responding</w:t>
      </w:r>
      <w:r w:rsidR="004C2575">
        <w:t xml:space="preserve"> in stage 2</w:t>
      </w:r>
      <w:r>
        <w:t xml:space="preserve"> were</w:t>
      </w:r>
      <w:r w:rsidR="003477AB">
        <w:t xml:space="preserve"> suppressed following intra-</w:t>
      </w:r>
      <w:r w:rsidR="005F3816">
        <w:t xml:space="preserve">OFC </w:t>
      </w:r>
      <w:r w:rsidR="003477AB">
        <w:t xml:space="preserve">infusions of </w:t>
      </w:r>
      <w:proofErr w:type="spellStart"/>
      <w:r w:rsidR="003477AB">
        <w:t>muscimol</w:t>
      </w:r>
      <w:proofErr w:type="spellEnd"/>
      <w:r w:rsidR="003477AB">
        <w:t xml:space="preserve">. </w:t>
      </w:r>
      <w:r w:rsidR="004C2575">
        <w:t>In stage 3, t</w:t>
      </w:r>
      <w:r w:rsidR="003477AB">
        <w:t xml:space="preserve">his overall </w:t>
      </w:r>
      <w:r w:rsidR="000F7F7A">
        <w:t>suppression of</w:t>
      </w:r>
      <w:r w:rsidR="003477AB">
        <w:t xml:space="preserve"> responding persisted temporarily during re</w:t>
      </w:r>
      <w:r w:rsidR="00AB656A">
        <w:t>training</w:t>
      </w:r>
      <w:r w:rsidR="003477AB">
        <w:t xml:space="preserve"> to cue B </w:t>
      </w:r>
      <w:r w:rsidR="005805C6">
        <w:t xml:space="preserve">drug-free </w:t>
      </w:r>
      <w:r w:rsidR="003477AB">
        <w:t>(</w:t>
      </w:r>
      <w:r w:rsidRPr="005C6B21">
        <w:rPr>
          <w:color w:val="FF0000"/>
        </w:rPr>
        <w:t>Figure 1D</w:t>
      </w:r>
      <w:r w:rsidR="003477AB">
        <w:t>).</w:t>
      </w:r>
      <w:r w:rsidR="0036051A">
        <w:t xml:space="preserve"> This was confirmed by</w:t>
      </w:r>
      <w:r w:rsidR="00FF0402">
        <w:t xml:space="preserve"> a Group x Day (11, 12) mixed ANOVA which revealed that responding to cues increased across days (main effect of Day, </w:t>
      </w:r>
      <w:proofErr w:type="gramStart"/>
      <w:r w:rsidR="00FD31F1" w:rsidRPr="00FD31F1">
        <w:rPr>
          <w:i/>
        </w:rPr>
        <w:t>F</w:t>
      </w:r>
      <w:r w:rsidR="00FF0402">
        <w:t>(</w:t>
      </w:r>
      <w:proofErr w:type="gramEnd"/>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proofErr w:type="gramStart"/>
      <w:r w:rsidR="00FD31F1" w:rsidRPr="00FD31F1">
        <w:rPr>
          <w:i/>
        </w:rPr>
        <w:t>F</w:t>
      </w:r>
      <w:r w:rsidR="00FF0402">
        <w:t>(</w:t>
      </w:r>
      <w:proofErr w:type="gramEnd"/>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xml:space="preserve">= .05) revealed group differences in responding to cue B. Simple effects revealed that the </w:t>
      </w:r>
      <w:proofErr w:type="spellStart"/>
      <w:r w:rsidR="00FF0402">
        <w:t>muscimol</w:t>
      </w:r>
      <w:proofErr w:type="spellEnd"/>
      <w:r w:rsidR="00FF0402">
        <w:t xml:space="preserve"> group responded significantly lower than the saline group on day 11 (</w:t>
      </w:r>
      <w:r w:rsidR="00FD31F1" w:rsidRPr="00FD31F1">
        <w:rPr>
          <w:i/>
        </w:rPr>
        <w:t>F</w:t>
      </w:r>
      <w:r w:rsidR="00FF0402">
        <w:t>(1, 26) = 7.52,</w:t>
      </w:r>
      <w:r w:rsidR="00AA0EEE" w:rsidRPr="00AA0EEE">
        <w:rPr>
          <w:i/>
        </w:rPr>
        <w:t xml:space="preserve"> p </w:t>
      </w:r>
      <w:r w:rsidR="00FF0402">
        <w:t xml:space="preserve">= </w:t>
      </w:r>
      <w:r w:rsidR="00FF0402">
        <w:lastRenderedPageBreak/>
        <w:t>.01)  but not day 12 (</w:t>
      </w:r>
      <w:r w:rsidR="00FD31F1" w:rsidRPr="00FD31F1">
        <w:rPr>
          <w:i/>
        </w:rPr>
        <w:t>F</w:t>
      </w:r>
      <w:r w:rsidR="00FF0402">
        <w:t>(1, 26) = 1.86,</w:t>
      </w:r>
      <w:r w:rsidR="00AA0EEE" w:rsidRPr="00AA0EEE">
        <w:rPr>
          <w:i/>
        </w:rPr>
        <w:t xml:space="preserve"> p </w:t>
      </w:r>
      <w:r w:rsidR="00FF0402">
        <w:t xml:space="preserve">= .19). This suggests that the effect of </w:t>
      </w:r>
      <w:proofErr w:type="spellStart"/>
      <w:r w:rsidR="00FF0402">
        <w:t>muscimol</w:t>
      </w:r>
      <w:proofErr w:type="spellEnd"/>
      <w:r w:rsidR="00FF0402">
        <w:t xml:space="preserve"> infusion in stage 2 temporarily </w:t>
      </w:r>
      <w:r w:rsidR="0036051A">
        <w:t xml:space="preserve">and non-selectively </w:t>
      </w:r>
      <w:r w:rsidR="00FF0402">
        <w:t>lowered overall performance when trained drug free in stage 3.</w:t>
      </w:r>
      <w:r w:rsidR="0097037F">
        <w:t xml:space="preserve"> It is possible that this effect is simply due to the disruption of motivation for the reward or an overall suppression of motor function, however these possibilities are ruled out by the results of the consumption test administered at the end of testing.</w:t>
      </w:r>
    </w:p>
    <w:p w14:paraId="0B8A489F" w14:textId="0725A547" w:rsidR="003477AB" w:rsidRPr="00E6609F" w:rsidRDefault="005F3816" w:rsidP="00FF0402">
      <w:pPr>
        <w:spacing w:line="276" w:lineRule="auto"/>
        <w:rPr>
          <w:i/>
        </w:rPr>
      </w:pPr>
      <w:r>
        <w:rPr>
          <w:i/>
        </w:rPr>
        <w:t xml:space="preserve">OFC </w:t>
      </w:r>
      <w:r w:rsidR="003477AB" w:rsidRPr="00E6609F">
        <w:rPr>
          <w:i/>
        </w:rPr>
        <w:t xml:space="preserve">inactivation during training does not prevent the acquisition of conditioned inhibition </w:t>
      </w:r>
    </w:p>
    <w:p w14:paraId="5310A280" w14:textId="6AF55B15" w:rsidR="000A1578" w:rsidRDefault="00F2122B" w:rsidP="00FF0402">
      <w:pPr>
        <w:spacing w:line="276" w:lineRule="auto"/>
      </w:pPr>
      <w:r>
        <w:t xml:space="preserve">While </w:t>
      </w:r>
      <w:r w:rsidR="005F3816">
        <w:t xml:space="preserve">OFC </w:t>
      </w:r>
      <w:r>
        <w:t xml:space="preserve">inactivation successfully </w:t>
      </w:r>
      <w:r w:rsidR="00B04D4A">
        <w:t>abolished the expression of selective conditioned inhibition in the feature negative discrimination</w:t>
      </w:r>
      <w:r w:rsidR="00D5791D">
        <w:t xml:space="preserve"> (stage 2)</w:t>
      </w:r>
      <w:r w:rsidR="00B04D4A">
        <w:t xml:space="preserve">, it is not clear whether this indicates a failure of acquisition of conditioned inhibition or </w:t>
      </w:r>
      <w:r w:rsidR="00E6609F">
        <w:t>just</w:t>
      </w:r>
      <w:r w:rsidR="00B04D4A">
        <w:t xml:space="preserve"> impaired behavioural expression.</w:t>
      </w:r>
      <w:r w:rsidR="002F3E8C">
        <w:t xml:space="preserve"> To address this question,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w:t>
      </w:r>
      <w:r w:rsidR="00D5791D">
        <w:t>drug-free</w:t>
      </w:r>
      <w:r w:rsidR="006B4F30">
        <w:t xml:space="preserve"> to allow for any latent learning to be expressed</w:t>
      </w:r>
      <w:r w:rsidR="002F3E8C">
        <w:t xml:space="preserve">. </w:t>
      </w:r>
    </w:p>
    <w:p w14:paraId="4036DED1" w14:textId="56F47CCD" w:rsidR="00A05936" w:rsidRDefault="00FF0402" w:rsidP="00FF0402">
      <w:pPr>
        <w:spacing w:line="276" w:lineRule="auto"/>
      </w:pPr>
      <w:r>
        <w:t>The results of the summation test (</w:t>
      </w:r>
      <w:r w:rsidR="00FD31F1" w:rsidRPr="00CA394F">
        <w:rPr>
          <w:i/>
          <w:color w:val="FF0000"/>
        </w:rPr>
        <w:t>F</w:t>
      </w:r>
      <w:r w:rsidRPr="00CA394F">
        <w:rPr>
          <w:color w:val="FF0000"/>
        </w:rPr>
        <w:t>igure 1</w:t>
      </w:r>
      <w:r w:rsidR="005E377E">
        <w:rPr>
          <w:color w:val="FF0000"/>
        </w:rPr>
        <w:t>E</w:t>
      </w:r>
      <w:r>
        <w:t>) sug</w:t>
      </w:r>
      <w:r w:rsidR="005E377E">
        <w:t>gested that both groups respond</w:t>
      </w:r>
      <w:r>
        <w:t xml:space="preserve"> less to </w:t>
      </w:r>
      <w:r w:rsidR="00CA394F">
        <w:t xml:space="preserve">the compound </w:t>
      </w:r>
      <w:r>
        <w:t xml:space="preserve">BX- than B- which suggests that cue X </w:t>
      </w:r>
      <w:r w:rsidR="00C46C74">
        <w:t>successfully acquired inhibitory properties during the feature negative training</w:t>
      </w:r>
      <w:r>
        <w:t>. This observation was confirmed by a Group x Cue (B-, BX-) mixed ANOVA. Specifically, there was a significant main effect of Cue (</w:t>
      </w:r>
      <w:proofErr w:type="gramStart"/>
      <w:r w:rsidR="00FD31F1" w:rsidRPr="00FD31F1">
        <w:rPr>
          <w:i/>
        </w:rPr>
        <w:t>F</w:t>
      </w:r>
      <w:r>
        <w:t>(</w:t>
      </w:r>
      <w:proofErr w:type="gramEnd"/>
      <w:r>
        <w:t>1, 26) = 7.60,</w:t>
      </w:r>
      <w:r w:rsidR="00AA0EEE" w:rsidRPr="00AA0EEE">
        <w:rPr>
          <w:i/>
        </w:rPr>
        <w:t xml:space="preserve"> p </w:t>
      </w:r>
      <w:r>
        <w:t xml:space="preserve">= .01). While the magnitude of the Cue effect may appear weaker in the </w:t>
      </w:r>
      <w:proofErr w:type="spellStart"/>
      <w:r>
        <w:t>muscimol</w:t>
      </w:r>
      <w:proofErr w:type="spellEnd"/>
      <w:r>
        <w:t xml:space="preserve"> group than the saline group, this observation was not supported statistically (no main effect of Group </w:t>
      </w:r>
      <w:proofErr w:type="gramStart"/>
      <w:r w:rsidR="00FD31F1" w:rsidRPr="00FD31F1">
        <w:rPr>
          <w:i/>
        </w:rPr>
        <w:t>F</w:t>
      </w:r>
      <w:r>
        <w:t>(</w:t>
      </w:r>
      <w:proofErr w:type="gramEnd"/>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w:t>
      </w:r>
      <w:r w:rsidR="005F3816">
        <w:t xml:space="preserve">OFC </w:t>
      </w:r>
      <w:r w:rsidR="00C46C74">
        <w:t xml:space="preserve">infusions of </w:t>
      </w:r>
      <w:proofErr w:type="spellStart"/>
      <w:r w:rsidR="00C46C74">
        <w:t>muscimol</w:t>
      </w:r>
      <w:proofErr w:type="spellEnd"/>
      <w:r w:rsidR="00C46C74">
        <w:t xml:space="preserve"> did not disrupt</w:t>
      </w:r>
      <w:r>
        <w:t xml:space="preserve"> the acquisition of conditioned inhibition to cue X as assessed by a summation test. </w:t>
      </w:r>
      <w:r w:rsidR="00A05936">
        <w:t xml:space="preserve">However, </w:t>
      </w:r>
      <w:r w:rsidR="005E377E">
        <w:t xml:space="preserve">a reduction in responding to the BX compound may also be due to </w:t>
      </w:r>
      <w:r w:rsidR="00A05936">
        <w:t xml:space="preserve">enhanced attention to cue X, generalisation </w:t>
      </w:r>
      <w:r w:rsidR="005E377E">
        <w:t>decrement or external inhibition</w:t>
      </w:r>
      <w:r w:rsidR="00A05936">
        <w:t xml:space="preserve">.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p>
    <w:p w14:paraId="140EDB5C" w14:textId="3C030A42"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igure 1</w:t>
      </w:r>
      <w:r w:rsidR="00431439">
        <w:rPr>
          <w:color w:val="FF0000"/>
        </w:rPr>
        <w:t>F</w:t>
      </w:r>
      <w:r w:rsidR="00FF0402" w:rsidRPr="00FD31F1">
        <w:rPr>
          <w:color w:val="FF0000"/>
        </w:rPr>
        <w:t xml:space="preserve">). </w:t>
      </w:r>
      <w:r w:rsidR="00FF0402">
        <w:t>A Group x Cue (X+, Y+) x Day (14, 15, 16) mixed ANOVA revealed a significant main effect of Cue (</w:t>
      </w:r>
      <w:proofErr w:type="gramStart"/>
      <w:r w:rsidR="00FD31F1" w:rsidRPr="00FD31F1">
        <w:rPr>
          <w:i/>
        </w:rPr>
        <w:t>F</w:t>
      </w:r>
      <w:r w:rsidR="00FF0402">
        <w:t>(</w:t>
      </w:r>
      <w:proofErr w:type="gramEnd"/>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 xml:space="preserve">&gt; .24). This retarded acquisition to cue X+ relative to Y+ suggests a significant retardation effect of similar magnitude in both the saline and </w:t>
      </w:r>
      <w:proofErr w:type="spellStart"/>
      <w:r w:rsidR="00FF0402">
        <w:t>muscimol</w:t>
      </w:r>
      <w:proofErr w:type="spellEnd"/>
      <w:r w:rsidR="00FF0402">
        <w:t xml:space="preserve"> groups.</w:t>
      </w:r>
      <w:r w:rsidR="001D04A3">
        <w:t xml:space="preserve"> </w:t>
      </w:r>
      <w:r>
        <w:t xml:space="preserve">Together, the results of the summation and retardation tests suggest that cue X has </w:t>
      </w:r>
      <w:r w:rsidR="00431439">
        <w:t xml:space="preserve">indeed </w:t>
      </w:r>
      <w:r>
        <w:t xml:space="preserve">acquired conditioned inhibition, even though </w:t>
      </w:r>
      <w:r w:rsidR="005F3816">
        <w:t xml:space="preserve">OFC </w:t>
      </w:r>
      <w:r>
        <w:t>inactivation abolished discriminative performance during the feature negative training in stage 2.</w:t>
      </w:r>
    </w:p>
    <w:p w14:paraId="19020D53" w14:textId="26EB1376" w:rsidR="002C0F0A" w:rsidRPr="002C0F0A" w:rsidRDefault="005F3816" w:rsidP="00FF0402">
      <w:pPr>
        <w:spacing w:line="276" w:lineRule="auto"/>
        <w:rPr>
          <w:i/>
        </w:rPr>
      </w:pPr>
      <w:r>
        <w:rPr>
          <w:i/>
        </w:rPr>
        <w:t xml:space="preserve">OFC </w:t>
      </w:r>
      <w:r w:rsidR="002C0F0A">
        <w:rPr>
          <w:i/>
        </w:rPr>
        <w:t>inactivation disrupts Pavlovian acquisition</w:t>
      </w:r>
      <w:r w:rsidR="00431439">
        <w:rPr>
          <w:i/>
        </w:rPr>
        <w:t xml:space="preserve"> to control cue Z</w:t>
      </w:r>
    </w:p>
    <w:p w14:paraId="7EC5E5C4" w14:textId="1B67D3A6" w:rsidR="00FF0402" w:rsidRDefault="004A6A74" w:rsidP="00FF0402">
      <w:pPr>
        <w:spacing w:line="276" w:lineRule="auto"/>
      </w:pPr>
      <w:r>
        <w:t xml:space="preserve">The </w:t>
      </w:r>
      <w:r w:rsidR="00BB2821">
        <w:t xml:space="preserve">adverse </w:t>
      </w:r>
      <w:r>
        <w:t>consequence</w:t>
      </w:r>
      <w:r w:rsidR="00881847">
        <w:t>s of disrupting OFC function are</w:t>
      </w:r>
      <w:r>
        <w:t xml:space="preserve">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w:t>
      </w:r>
      <w:r w:rsidR="00881847">
        <w:t>remain</w:t>
      </w:r>
      <w:r>
        <w:t xml:space="preserv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 xml:space="preserve">Therefore, it is surprising that </w:t>
      </w:r>
      <w:r w:rsidR="005F3816">
        <w:t xml:space="preserve">OFC </w:t>
      </w:r>
      <w:r w:rsidR="00781823">
        <w:t>inactivation during the feature negative discrimination also disrupted the acquisition of responding to control cue Z (</w:t>
      </w:r>
      <w:r w:rsidR="00781823" w:rsidRPr="00781823">
        <w:rPr>
          <w:color w:val="FF0000"/>
        </w:rPr>
        <w:t xml:space="preserve">Figure </w:t>
      </w:r>
      <w:r w:rsidR="005F25F7">
        <w:rPr>
          <w:color w:val="FF0000"/>
        </w:rPr>
        <w:t>2, S</w:t>
      </w:r>
      <w:r w:rsidR="00CB3C06">
        <w:rPr>
          <w:color w:val="FF0000"/>
        </w:rPr>
        <w:t>tage 2</w:t>
      </w:r>
      <w:r w:rsidR="00781823">
        <w:t xml:space="preserve">). </w:t>
      </w:r>
      <w:r w:rsidR="00FF0402">
        <w:t>This impression was confirmed by a significant main effect of Group (</w:t>
      </w:r>
      <w:proofErr w:type="gramStart"/>
      <w:r w:rsidR="00FD31F1" w:rsidRPr="00FD31F1">
        <w:rPr>
          <w:i/>
        </w:rPr>
        <w:t>F</w:t>
      </w:r>
      <w:r w:rsidR="00FF0402">
        <w:t>(</w:t>
      </w:r>
      <w:proofErr w:type="gramEnd"/>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 xml:space="preserve">(1, </w:t>
      </w:r>
      <w:r w:rsidR="00FF0402">
        <w:lastRenderedPageBreak/>
        <w:t>26) = 6.27,</w:t>
      </w:r>
      <w:r w:rsidR="00AA0EEE" w:rsidRPr="00AA0EEE">
        <w:rPr>
          <w:i/>
        </w:rPr>
        <w:t xml:space="preserve"> p </w:t>
      </w:r>
      <w:r w:rsidR="00FF0402">
        <w:t>= .02). Follow up linear trend contrasts across Day revealed significant increases in responding in the saline group (</w:t>
      </w:r>
      <w:proofErr w:type="gramStart"/>
      <w:r w:rsidR="00FD31F1" w:rsidRPr="00FD31F1">
        <w:rPr>
          <w:i/>
        </w:rPr>
        <w:t>F</w:t>
      </w:r>
      <w:r w:rsidR="00FF0402">
        <w:t>(</w:t>
      </w:r>
      <w:proofErr w:type="gramEnd"/>
      <w:r w:rsidR="00FF0402">
        <w:t>1, 12) = 18.97,</w:t>
      </w:r>
      <w:r w:rsidR="00AA0EEE" w:rsidRPr="00AA0EEE">
        <w:rPr>
          <w:i/>
        </w:rPr>
        <w:t xml:space="preserve"> p </w:t>
      </w:r>
      <w:r w:rsidR="00FF0402">
        <w:t xml:space="preserve">= .001) but not the </w:t>
      </w:r>
      <w:proofErr w:type="spellStart"/>
      <w:r w:rsidR="00FF0402">
        <w:t>muscimol</w:t>
      </w:r>
      <w:proofErr w:type="spellEnd"/>
      <w:r w:rsidR="00FF0402">
        <w:t xml:space="preserve">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proofErr w:type="spellStart"/>
      <w:r w:rsidR="00FF0402">
        <w:t>muscimol</w:t>
      </w:r>
      <w:proofErr w:type="spellEnd"/>
      <w:r w:rsidR="00FF0402">
        <w:t xml:space="preserve">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w:t>
      </w:r>
      <w:proofErr w:type="spellStart"/>
      <w:r w:rsidR="00135112">
        <w:t>muscimol</w:t>
      </w:r>
      <w:proofErr w:type="spellEnd"/>
      <w:r w:rsidR="00135112">
        <w:t xml:space="preserve"> infusions significantly suppressed acquisition to cue Z, which </w:t>
      </w:r>
      <w:r w:rsidR="00A324E1">
        <w:t>suggests</w:t>
      </w:r>
      <w:r w:rsidR="00135112">
        <w:t xml:space="preserve"> a role for </w:t>
      </w:r>
      <w:r w:rsidR="005F3816">
        <w:t xml:space="preserve">OFC </w:t>
      </w:r>
      <w:r w:rsidR="00135112">
        <w:t>in Pavlovian acquisition.</w:t>
      </w:r>
    </w:p>
    <w:p w14:paraId="090C8E63" w14:textId="264A812C" w:rsidR="00210B86" w:rsidRDefault="00DF4CA6" w:rsidP="00FF0402">
      <w:pPr>
        <w:spacing w:line="276" w:lineRule="auto"/>
      </w:pPr>
      <w:r>
        <w:t>Suppressed</w:t>
      </w:r>
      <w:r w:rsidR="006D1133">
        <w:t xml:space="preserve"> responding to cue Z persisted in the </w:t>
      </w:r>
      <w:proofErr w:type="spellStart"/>
      <w:r w:rsidR="006D1133">
        <w:t>muscimol</w:t>
      </w:r>
      <w:proofErr w:type="spellEnd"/>
      <w:r w:rsidR="006D1133">
        <w:t xml:space="preserve"> group when trained drug-free</w:t>
      </w:r>
      <w:r w:rsidR="00AA6DAA">
        <w:t xml:space="preserve"> in subsequent sessions. </w:t>
      </w:r>
      <w:r w:rsidR="00FF0402">
        <w:t>Drug-free acquisition to cue Z (</w:t>
      </w:r>
      <w:r w:rsidR="00F920EE">
        <w:rPr>
          <w:color w:val="FF0000"/>
        </w:rPr>
        <w:t xml:space="preserve">Figure </w:t>
      </w:r>
      <w:r w:rsidR="00FF0402" w:rsidRPr="00135112">
        <w:rPr>
          <w:color w:val="FF0000"/>
        </w:rPr>
        <w:t>2</w:t>
      </w:r>
      <w:r w:rsidR="005F25F7">
        <w:rPr>
          <w:color w:val="FF0000"/>
        </w:rPr>
        <w:t>, S</w:t>
      </w:r>
      <w:r w:rsidR="00F920EE">
        <w:rPr>
          <w:color w:val="FF0000"/>
        </w:rPr>
        <w:t>tage 3</w:t>
      </w:r>
      <w:r w:rsidR="00FF0402">
        <w:t xml:space="preserve">) was assessed with a Group x Day (11, 12) mixed ANOVA which revealed that responding to cues increased across days (main effect of Day, </w:t>
      </w:r>
      <w:proofErr w:type="gramStart"/>
      <w:r w:rsidR="00FD31F1" w:rsidRPr="00FD31F1">
        <w:rPr>
          <w:i/>
        </w:rPr>
        <w:t>F</w:t>
      </w:r>
      <w:r w:rsidR="00FF0402">
        <w:t>(</w:t>
      </w:r>
      <w:proofErr w:type="gramEnd"/>
      <w:r w:rsidR="00FF0402">
        <w:t>1, 26) = 4.24,</w:t>
      </w:r>
      <w:r w:rsidR="00AA0EEE" w:rsidRPr="00AA0EEE">
        <w:rPr>
          <w:i/>
        </w:rPr>
        <w:t xml:space="preserve"> p </w:t>
      </w:r>
      <w:r w:rsidR="00FF0402">
        <w:t xml:space="preserve">= .05). Furthermore, a significant main effect of Group </w:t>
      </w:r>
      <w:proofErr w:type="gramStart"/>
      <w:r w:rsidR="00FD31F1" w:rsidRPr="00FD31F1">
        <w:rPr>
          <w:i/>
        </w:rPr>
        <w:t>F</w:t>
      </w:r>
      <w:r w:rsidR="00FF0402">
        <w:t>(</w:t>
      </w:r>
      <w:proofErr w:type="gramEnd"/>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proofErr w:type="spellStart"/>
      <w:r w:rsidR="00AA6DAA">
        <w:t>muscimol</w:t>
      </w:r>
      <w:proofErr w:type="spellEnd"/>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5F25F7">
        <w:rPr>
          <w:color w:val="FF0000"/>
        </w:rPr>
        <w:t xml:space="preserve">Figure </w:t>
      </w:r>
      <w:r w:rsidR="00FF0402" w:rsidRPr="00135112">
        <w:rPr>
          <w:color w:val="FF0000"/>
        </w:rPr>
        <w:t>2</w:t>
      </w:r>
      <w:r w:rsidR="005F25F7">
        <w:rPr>
          <w:color w:val="FF0000"/>
        </w:rPr>
        <w:t>, Extinction</w:t>
      </w:r>
      <w:r w:rsidR="00FF0402">
        <w:t>)</w:t>
      </w:r>
      <w:r w:rsidR="00210B86">
        <w:t>.</w:t>
      </w:r>
      <w:r w:rsidR="00FF0402">
        <w:t xml:space="preserve"> A Group x Day mixed ANOVA supported this interpretation with a significant main effect of Group (</w:t>
      </w:r>
      <w:proofErr w:type="gramStart"/>
      <w:r w:rsidR="00FD31F1" w:rsidRPr="00FD31F1">
        <w:rPr>
          <w:i/>
        </w:rPr>
        <w:t>F</w:t>
      </w:r>
      <w:r w:rsidR="00FF0402">
        <w:t>(</w:t>
      </w:r>
      <w:proofErr w:type="gramEnd"/>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5F25F7">
        <w:t xml:space="preserve">However, it is likely that this group difference in extinction is the result of the pre-existing differences in responding at the end of stage 3. </w:t>
      </w:r>
      <w:r w:rsidR="00E07F3D">
        <w:t xml:space="preserve">Overall, the pattern of data suggests that </w:t>
      </w:r>
      <w:proofErr w:type="spellStart"/>
      <w:r w:rsidR="00E07F3D">
        <w:t>muscimol</w:t>
      </w:r>
      <w:proofErr w:type="spellEnd"/>
      <w:r w:rsidR="00E07F3D">
        <w:t xml:space="preserve"> inactivation of </w:t>
      </w:r>
      <w:r w:rsidR="005F3816">
        <w:t xml:space="preserve">OFC </w:t>
      </w:r>
      <w:r w:rsidR="00E07F3D">
        <w:t>disrupt</w:t>
      </w:r>
      <w:r w:rsidR="00B11AD0">
        <w:t xml:space="preserve">s the acquisition of simple Pavlovian cue-outcome learning and behaviour. </w:t>
      </w:r>
      <w:r w:rsidR="00E07F3D">
        <w:t xml:space="preserve"> </w:t>
      </w:r>
    </w:p>
    <w:p w14:paraId="41BF1AF2" w14:textId="21776C17" w:rsidR="00657D2A" w:rsidRPr="00BF4AA5" w:rsidRDefault="005F3816" w:rsidP="00FF0402">
      <w:pPr>
        <w:spacing w:line="276" w:lineRule="auto"/>
        <w:rPr>
          <w:i/>
        </w:rPr>
      </w:pPr>
      <w:r>
        <w:rPr>
          <w:i/>
        </w:rPr>
        <w:t xml:space="preserve">OFC </w:t>
      </w:r>
      <w:r w:rsidR="00657D2A" w:rsidRPr="00BF4AA5">
        <w:rPr>
          <w:i/>
        </w:rPr>
        <w:t>inactivation does not disrupt the motivation to consume food reward</w:t>
      </w:r>
    </w:p>
    <w:p w14:paraId="5B798B7B" w14:textId="5D132283" w:rsidR="00FF0402" w:rsidRDefault="00BF4AA5" w:rsidP="00FF0402">
      <w:pPr>
        <w:spacing w:line="276" w:lineRule="auto"/>
      </w:pPr>
      <w:r>
        <w:t xml:space="preserve">The significant suppression of responding following </w:t>
      </w:r>
      <w:r w:rsidR="005F3816">
        <w:t xml:space="preserve">OFC </w:t>
      </w:r>
      <w:r>
        <w:t xml:space="preserve">inactivation observed in stage 2 may have been a consequence of reduced motivation to consume the food reward. This explanation is unlikely given the absence of uneaten rewards following sessions in stage </w:t>
      </w:r>
      <w:proofErr w:type="gramStart"/>
      <w:r>
        <w:t>2,</w:t>
      </w:r>
      <w:proofErr w:type="gramEnd"/>
      <w:r>
        <w:t xml:space="preserve"> however a more direct test of this explanation was necessary to rule out the possibility that the rewards were not eaten towards the end of the session when </w:t>
      </w:r>
      <w:proofErr w:type="spellStart"/>
      <w:r>
        <w:t>muscimol</w:t>
      </w:r>
      <w:proofErr w:type="spellEnd"/>
      <w:r>
        <w:t xml:space="preserve"> was no longer effective. Therefore, a consumption test was conducted within the test chambers with all animals being tested 10 mins after an infusion to ensure that the </w:t>
      </w:r>
      <w:proofErr w:type="spellStart"/>
      <w:r>
        <w:t>muscimol</w:t>
      </w:r>
      <w:proofErr w:type="spellEnd"/>
      <w:r>
        <w:t xml:space="preserve"> was maximally effective.</w:t>
      </w:r>
      <w:r w:rsidR="00631D4E">
        <w:t xml:space="preserve"> </w:t>
      </w:r>
      <w:r w:rsidR="00662D2C">
        <w:t xml:space="preserve">Prior to the consumption test one </w:t>
      </w:r>
      <w:proofErr w:type="spellStart"/>
      <w:r w:rsidR="00662D2C">
        <w:t>muscimol</w:t>
      </w:r>
      <w:proofErr w:type="spellEnd"/>
      <w:r w:rsidR="00662D2C">
        <w:t xml:space="preserve"> and two saline group rats</w:t>
      </w:r>
      <w:r w:rsidR="00FF0402">
        <w:t xml:space="preserve"> lost their cannula assembly and were not eligible for testing (saline n = 11, </w:t>
      </w:r>
      <w:proofErr w:type="spellStart"/>
      <w:r w:rsidR="00FF0402">
        <w:t>muscimol</w:t>
      </w:r>
      <w:proofErr w:type="spellEnd"/>
      <w:r w:rsidR="00FF0402">
        <w:t xml:space="preserve"> n = 14). All animals consumed all pellets delivered by the end of the session on both days, regardless of infusion group. Similarly, there was no evidence that </w:t>
      </w:r>
      <w:proofErr w:type="spellStart"/>
      <w:r w:rsidR="00FF0402">
        <w:t>muscimol</w:t>
      </w:r>
      <w:proofErr w:type="spellEnd"/>
      <w:r w:rsidR="00FF0402">
        <w:t xml:space="preserve"> infusion differentially affecte</w:t>
      </w:r>
      <w:r w:rsidR="00662D2C">
        <w:t>d magazine approach for reward</w:t>
      </w:r>
      <w:r w:rsidR="00FF0402">
        <w:t xml:space="preserve">. A Group x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proofErr w:type="gramStart"/>
      <w:r w:rsidR="00FD31F1" w:rsidRPr="00FD31F1">
        <w:rPr>
          <w:i/>
        </w:rPr>
        <w:t>F</w:t>
      </w:r>
      <w:r w:rsidR="00FF0402">
        <w:t>(</w:t>
      </w:r>
      <w:proofErr w:type="gramEnd"/>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w:t>
      </w:r>
      <w:r w:rsidR="00662D2C">
        <w:t>level of responding</w:t>
      </w:r>
      <w:r w:rsidR="00FF0402">
        <w:t xml:space="preserve"> to all cues in stage 2 following </w:t>
      </w:r>
      <w:proofErr w:type="spellStart"/>
      <w:r w:rsidR="00FF0402">
        <w:t>muscimol</w:t>
      </w:r>
      <w:proofErr w:type="spellEnd"/>
      <w:r w:rsidR="00FF0402">
        <w:t xml:space="preserve"> infusions is unlikely to be due to suppressed appetite or motivation for the US</w:t>
      </w:r>
      <w:r w:rsidR="00631D4E">
        <w:t>, or a general suppression of response vigour</w:t>
      </w:r>
      <w:r w:rsidR="00FF0402">
        <w:t>.</w:t>
      </w:r>
      <w:r w:rsidR="00631D4E">
        <w:t xml:space="preserve"> </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1AB9267A" w:rsidR="00FE2A45" w:rsidRDefault="00FE2A45" w:rsidP="00FE2A45">
      <w:pPr>
        <w:spacing w:line="276" w:lineRule="auto"/>
      </w:pPr>
      <w:proofErr w:type="spellStart"/>
      <w:r>
        <w:t>Cannulae</w:t>
      </w:r>
      <w:proofErr w:type="spellEnd"/>
      <w:r>
        <w:t xml:space="preserve"> placements are depicted in </w:t>
      </w:r>
      <w:r w:rsidRPr="00F64C18">
        <w:rPr>
          <w:color w:val="FF0000"/>
        </w:rPr>
        <w:t xml:space="preserve">Figure </w:t>
      </w:r>
      <w:r w:rsidR="00662D2C">
        <w:rPr>
          <w:color w:val="FF0000"/>
        </w:rPr>
        <w:t>3B</w:t>
      </w:r>
      <w:r>
        <w:t xml:space="preserve">. All </w:t>
      </w:r>
      <w:proofErr w:type="spellStart"/>
      <w:r>
        <w:t>cannulae</w:t>
      </w:r>
      <w:proofErr w:type="spellEnd"/>
      <w:r>
        <w:t xml:space="preserve"> tips were located within LO or DLO. Final group numbers were saline (n = 12) and </w:t>
      </w:r>
      <w:proofErr w:type="spellStart"/>
      <w:r>
        <w:t>muscimol</w:t>
      </w:r>
      <w:proofErr w:type="spellEnd"/>
      <w:r>
        <w:t xml:space="preserve"> (n = 12).</w:t>
      </w:r>
    </w:p>
    <w:p w14:paraId="31E02A56" w14:textId="77777777" w:rsidR="00FE2A45" w:rsidRDefault="00FE2A45" w:rsidP="00FE2A45">
      <w:pPr>
        <w:spacing w:line="276" w:lineRule="auto"/>
      </w:pPr>
      <w:r>
        <w:lastRenderedPageBreak/>
        <w:t>Baseline responding</w:t>
      </w:r>
    </w:p>
    <w:p w14:paraId="7FC4E0E2" w14:textId="77777777" w:rsidR="00FE2A45" w:rsidRDefault="00FE2A45" w:rsidP="00FE2A45">
      <w:pPr>
        <w:spacing w:line="276" w:lineRule="auto"/>
      </w:pPr>
      <w:r>
        <w:t>Rates of baseline responding did not significantly differ between groups during any of the testing phases and justified the analysis of CS-</w:t>
      </w:r>
      <w:proofErr w:type="spellStart"/>
      <w:r>
        <w:t>PreCS</w:t>
      </w:r>
      <w:proofErr w:type="spellEnd"/>
      <w:r>
        <w:t xml:space="preserve">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77777777" w:rsidR="00FE2A45" w:rsidRDefault="00FE2A45" w:rsidP="00FE2A45">
      <w:pPr>
        <w:spacing w:line="276" w:lineRule="auto"/>
      </w:pPr>
      <w:r>
        <w:t>Stage 1 Acquisition (Days 1-9)</w:t>
      </w:r>
    </w:p>
    <w:p w14:paraId="38A5A380" w14:textId="7EE00656" w:rsidR="00FE2A45" w:rsidRDefault="00FE2A45" w:rsidP="00FE2A45">
      <w:pPr>
        <w:spacing w:line="276" w:lineRule="auto"/>
      </w:pPr>
      <w:r>
        <w:t>Acquisition of discriminative responding to cues A, B and C did not differ between (infusion) groups</w:t>
      </w:r>
      <w:r w:rsidR="00662D2C">
        <w:t xml:space="preserve"> across stage 1 of acquisition</w:t>
      </w:r>
      <w:r>
        <w:t>. A Group x Cue (A, B, C) x Day mixed ANOVA revealed a significant main effect of Day (</w:t>
      </w:r>
      <w:proofErr w:type="gramStart"/>
      <w:r w:rsidRPr="00FD31F1">
        <w:rPr>
          <w:i/>
        </w:rPr>
        <w:t>F</w:t>
      </w:r>
      <w:r>
        <w:t>(</w:t>
      </w:r>
      <w:proofErr w:type="gramEnd"/>
      <w:r>
        <w:t>8, 176) = 26.07,</w:t>
      </w:r>
      <w:r w:rsidRPr="00AA0EEE">
        <w:rPr>
          <w:i/>
        </w:rPr>
        <w:t xml:space="preserve"> p </w:t>
      </w:r>
      <w:r>
        <w:t xml:space="preserve">&lt; .001) but no significant effects of Cue, Group or their interactions (all </w:t>
      </w:r>
      <w:r w:rsidRPr="00FD31F1">
        <w:rPr>
          <w:i/>
        </w:rPr>
        <w:t>F</w:t>
      </w:r>
      <w:r>
        <w:t xml:space="preserve"> &lt; 1,</w:t>
      </w:r>
      <w:r w:rsidRPr="00AA0EEE">
        <w:rPr>
          <w:i/>
        </w:rPr>
        <w:t xml:space="preserve"> p </w:t>
      </w:r>
      <w:r>
        <w:t xml:space="preserve">&gt; .65). Therefore, acquisition was successful to all cues and did not differ between groups.  </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16FD6208" w14:textId="0A6A39F8" w:rsidR="00FE2A45" w:rsidRDefault="00FE2A45" w:rsidP="00FE2A45">
      <w:pPr>
        <w:spacing w:line="276" w:lineRule="auto"/>
      </w:pPr>
      <w:r>
        <w:t xml:space="preserve">Extinction of cue C following infusions in stage 2 allowed for a replication of the findings of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51507B">
        <w:rPr>
          <w:noProof/>
        </w:rPr>
        <w:t>(Panayi &amp; Killcross, 2014)</w:t>
      </w:r>
      <w:r>
        <w:fldChar w:fldCharType="end"/>
      </w:r>
      <w:r>
        <w:t xml:space="preserve"> that </w:t>
      </w:r>
      <w:r w:rsidR="005F3816">
        <w:t xml:space="preserve">OFC </w:t>
      </w:r>
      <w:r>
        <w:t xml:space="preserve">inactivation disrupts between- but not within- session extinction. Extinction to cue A in compound with cue X was designed to test whether </w:t>
      </w:r>
      <w:r w:rsidR="005F3816">
        <w:t xml:space="preserve">OFC </w:t>
      </w:r>
      <w:r>
        <w:t xml:space="preserve">inactivation impairs Pavlovian extinction by disrupting the formation of conditioned inhibition that may form during extinction </w:t>
      </w:r>
      <w:r>
        <w:fldChar w:fldCharType="begin" w:fldLock="1"/>
      </w:r>
      <w: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fldChar w:fldCharType="separate"/>
      </w:r>
      <w:r w:rsidRPr="006A40AF">
        <w:rPr>
          <w:noProof/>
        </w:rPr>
        <w:t>(Delamater, 2004; Rescorla, 1969)</w:t>
      </w:r>
      <w:r>
        <w:fldChar w:fldCharType="end"/>
      </w:r>
      <w:r>
        <w:t xml:space="preserve">. Overall, the rate of extinction differed between drug </w:t>
      </w:r>
      <w:proofErr w:type="gramStart"/>
      <w:r>
        <w:t>infusion</w:t>
      </w:r>
      <w:proofErr w:type="gramEnd"/>
      <w:r>
        <w:t xml:space="preserve"> groups (</w:t>
      </w:r>
      <w:r w:rsidRPr="00154EE0">
        <w:rPr>
          <w:i/>
          <w:color w:val="FF0000"/>
        </w:rPr>
        <w:t>F</w:t>
      </w:r>
      <w:r w:rsidR="00E33782">
        <w:rPr>
          <w:color w:val="FF0000"/>
        </w:rPr>
        <w:t>igure 3C</w:t>
      </w:r>
      <w:r>
        <w:t xml:space="preserve">) such that behaviour in the </w:t>
      </w:r>
      <w:proofErr w:type="spellStart"/>
      <w:r>
        <w:t>muscimol</w:t>
      </w:r>
      <w:proofErr w:type="spellEnd"/>
      <w:r>
        <w:t xml:space="preserve"> group appeared to extinguish more rapidly within-session but not between-sessions compared to the saline group. A mixed Group x Cue (AX-, C-) x Day (4) x Block (3 blocks of 6 trials) ANOVA supported the observed pattern of results. </w:t>
      </w:r>
    </w:p>
    <w:p w14:paraId="11A6845B" w14:textId="628D04EE" w:rsidR="00FE2A45" w:rsidRDefault="00FE2A45" w:rsidP="00FE2A45">
      <w:pPr>
        <w:spacing w:line="276" w:lineRule="auto"/>
      </w:pPr>
      <w:r>
        <w:t xml:space="preserve">In </w:t>
      </w:r>
      <w:r w:rsidR="00E33782">
        <w:t>both groups</w:t>
      </w:r>
      <w:r>
        <w:t>, evidence of extinction between</w:t>
      </w:r>
      <w:r w:rsidR="00E33782">
        <w:t>-</w:t>
      </w:r>
      <w:r>
        <w:t xml:space="preserve"> and within-sessions was supported by significant main effects of Day (</w:t>
      </w:r>
      <w:proofErr w:type="gramStart"/>
      <w:r w:rsidRPr="00FD31F1">
        <w:rPr>
          <w:i/>
        </w:rPr>
        <w:t>F</w:t>
      </w:r>
      <w:r>
        <w:t>(</w:t>
      </w:r>
      <w:proofErr w:type="gramEnd"/>
      <w:r>
        <w:t>3, 66) = 17.65,</w:t>
      </w:r>
      <w:r w:rsidRPr="00AA0EEE">
        <w:rPr>
          <w:i/>
        </w:rPr>
        <w:t xml:space="preserve"> p </w:t>
      </w:r>
      <w:r>
        <w:t>&lt; .001) and Block (</w:t>
      </w:r>
      <w:r w:rsidRPr="00FD31F1">
        <w:rPr>
          <w:i/>
        </w:rPr>
        <w:t>F</w:t>
      </w:r>
      <w:r>
        <w:t>(2, 44) = 24.40,</w:t>
      </w:r>
      <w:r w:rsidRPr="00AA0EEE">
        <w:rPr>
          <w:i/>
        </w:rPr>
        <w:t xml:space="preserve"> p </w:t>
      </w:r>
      <w:r>
        <w:t>&lt; .001) and a Day x Block interaction (</w:t>
      </w:r>
      <w:r w:rsidRPr="00FD31F1">
        <w:rPr>
          <w:i/>
        </w:rPr>
        <w:t>F</w:t>
      </w:r>
      <w:r>
        <w:t>(6, 132) = 2.52,</w:t>
      </w:r>
      <w:r w:rsidRPr="00AA0EEE">
        <w:rPr>
          <w:i/>
        </w:rPr>
        <w:t xml:space="preserve"> p </w:t>
      </w:r>
      <w:r>
        <w:t xml:space="preserve">= .02).  Overall responding to both cues did not differ (non-significant main effect of Cue </w:t>
      </w:r>
      <w:proofErr w:type="gramStart"/>
      <w:r w:rsidRPr="00FD31F1">
        <w:rPr>
          <w:i/>
        </w:rPr>
        <w:t>F</w:t>
      </w:r>
      <w:r>
        <w:t>(</w:t>
      </w:r>
      <w:proofErr w:type="gramEnd"/>
      <w:r>
        <w:t>1, 22) = 1.69,</w:t>
      </w:r>
      <w:r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Pr="00FD31F1">
        <w:rPr>
          <w:i/>
        </w:rPr>
        <w:t>F</w:t>
      </w:r>
      <w:r>
        <w:t>(3, 66) = 0.83,</w:t>
      </w:r>
      <w:r w:rsidRPr="00AA0EEE">
        <w:rPr>
          <w:i/>
        </w:rPr>
        <w:t xml:space="preserve"> p </w:t>
      </w:r>
      <w:r>
        <w:t xml:space="preserve">= .48). Follow up analysis of cue differences revealed a significant Cue x Day linear trend interaction </w:t>
      </w:r>
      <w:proofErr w:type="gramStart"/>
      <w:r w:rsidRPr="00FD31F1">
        <w:rPr>
          <w:i/>
        </w:rPr>
        <w:t>F</w:t>
      </w:r>
      <w:r>
        <w:t>(</w:t>
      </w:r>
      <w:proofErr w:type="gramEnd"/>
      <w:r>
        <w:t>1, 22) = 8.41,</w:t>
      </w:r>
      <w:r w:rsidRPr="00AA0EEE">
        <w:rPr>
          <w:i/>
        </w:rPr>
        <w:t xml:space="preserve"> p </w:t>
      </w:r>
      <w:r>
        <w:t>= .01, such that the magnitude of significant negative trend across days was greater for C- (</w:t>
      </w:r>
      <w:r w:rsidRPr="00FD31F1">
        <w:rPr>
          <w:i/>
        </w:rPr>
        <w:t>F</w:t>
      </w:r>
      <w:r>
        <w:t>(1, 22) = 33.17,</w:t>
      </w:r>
      <w:r w:rsidRPr="00AA0EEE">
        <w:rPr>
          <w:i/>
        </w:rPr>
        <w:t xml:space="preserve"> p </w:t>
      </w:r>
      <w:r>
        <w:t>&lt; .001) than AX- (</w:t>
      </w:r>
      <w:r w:rsidRPr="00FD31F1">
        <w:rPr>
          <w:i/>
        </w:rPr>
        <w:t>F</w:t>
      </w:r>
      <w:r>
        <w:t>(1, 22) = 7.77,</w:t>
      </w:r>
      <w:r w:rsidRPr="00AA0EEE">
        <w:rPr>
          <w:i/>
        </w:rPr>
        <w:t xml:space="preserve"> p </w:t>
      </w:r>
      <w:r>
        <w:t xml:space="preserve">= .01). Reduced responding to the compound AX- compared to C- is consistent with external inhibition or generalisation decrement accounts of the novel presence of cue X suppressing responding. </w:t>
      </w:r>
    </w:p>
    <w:p w14:paraId="3C305A6B" w14:textId="77777777" w:rsidR="00FE2A45" w:rsidRDefault="00FE2A45" w:rsidP="00FE2A45">
      <w:pPr>
        <w:spacing w:line="276" w:lineRule="auto"/>
      </w:pPr>
      <w:r>
        <w:t>While there was no overall effect of Group (</w:t>
      </w:r>
      <w:r w:rsidRPr="00FD31F1">
        <w:rPr>
          <w:i/>
        </w:rPr>
        <w:t>F</w:t>
      </w:r>
      <w:r>
        <w:t>(1, 22) = 0.63,</w:t>
      </w:r>
      <w:r w:rsidRPr="00AA0EEE">
        <w:rPr>
          <w:i/>
        </w:rPr>
        <w:t xml:space="preserve"> p </w:t>
      </w:r>
      <w:r>
        <w:t>= .44) there was a significant Group x Day (</w:t>
      </w:r>
      <w:r w:rsidRPr="00FD31F1">
        <w:rPr>
          <w:i/>
        </w:rPr>
        <w:t>F</w:t>
      </w:r>
      <w:r>
        <w:t>(3, 66) = 2.93,</w:t>
      </w:r>
      <w:r w:rsidRPr="00AA0EEE">
        <w:rPr>
          <w:i/>
        </w:rPr>
        <w:t xml:space="preserve"> p </w:t>
      </w:r>
      <w:r>
        <w:t>= .04) and a Group x Block interaction (</w:t>
      </w:r>
      <w:r w:rsidRPr="00FD31F1">
        <w:rPr>
          <w:i/>
        </w:rPr>
        <w:t>F</w:t>
      </w:r>
      <w:r>
        <w:t>(2, 44) = 16.35,</w:t>
      </w:r>
      <w:r w:rsidRPr="00AA0EEE">
        <w:rPr>
          <w:i/>
        </w:rPr>
        <w:t xml:space="preserve"> p </w:t>
      </w:r>
      <w:r>
        <w:t xml:space="preserve">&lt; .001; all other interactions with Group failed to reach significance, all </w:t>
      </w:r>
      <w:r w:rsidRPr="00FD31F1">
        <w:rPr>
          <w:i/>
        </w:rPr>
        <w:t>F</w:t>
      </w:r>
      <w:r>
        <w:t xml:space="preserve"> &lt; 2.30,</w:t>
      </w:r>
      <w:r w:rsidRPr="00AA0EEE">
        <w:rPr>
          <w:i/>
        </w:rPr>
        <w:t xml:space="preserve"> p </w:t>
      </w:r>
      <w:r>
        <w:t xml:space="preserve">&gt; .11). Follow up analysis of linear and quadratic Group x Day trend interactions failed to reach significance (linear </w:t>
      </w:r>
      <w:proofErr w:type="gramStart"/>
      <w:r w:rsidRPr="00FD31F1">
        <w:rPr>
          <w:i/>
        </w:rPr>
        <w:t>F</w:t>
      </w:r>
      <w:r>
        <w:t>(</w:t>
      </w:r>
      <w:proofErr w:type="gramEnd"/>
      <w:r>
        <w:t>1, 22) = 3.44,</w:t>
      </w:r>
      <w:r w:rsidRPr="00AA0EEE">
        <w:rPr>
          <w:i/>
        </w:rPr>
        <w:t xml:space="preserve"> p </w:t>
      </w:r>
      <w:r>
        <w:t xml:space="preserve">= .08, quadratic </w:t>
      </w:r>
      <w:r w:rsidRPr="00FD31F1">
        <w:rPr>
          <w:i/>
        </w:rPr>
        <w:t>F</w:t>
      </w:r>
      <w:r>
        <w:t>(1, 22) = 3.05,</w:t>
      </w:r>
      <w:r w:rsidRPr="00AA0EEE">
        <w:rPr>
          <w:i/>
        </w:rPr>
        <w:t xml:space="preserve"> p </w:t>
      </w:r>
      <w:r>
        <w:t xml:space="preserve">= .10). This suggests that the impaired between-session extinction </w:t>
      </w:r>
      <w:r>
        <w:lastRenderedPageBreak/>
        <w:t xml:space="preserve">observed in the </w:t>
      </w:r>
      <w:proofErr w:type="spellStart"/>
      <w:r>
        <w:t>muscimol</w:t>
      </w:r>
      <w:proofErr w:type="spellEnd"/>
      <w:r>
        <w:t xml:space="preserve"> group only approached significance. Follow up analysis of linear and quadratic Group x Block trend interactions were significant (linear </w:t>
      </w:r>
      <w:proofErr w:type="gramStart"/>
      <w:r w:rsidRPr="00FD31F1">
        <w:rPr>
          <w:i/>
        </w:rPr>
        <w:t>F</w:t>
      </w:r>
      <w:r>
        <w:t>(</w:t>
      </w:r>
      <w:proofErr w:type="gramEnd"/>
      <w:r>
        <w:t>1, 22) = 34.64,</w:t>
      </w:r>
      <w:r w:rsidRPr="00AA0EEE">
        <w:rPr>
          <w:i/>
        </w:rPr>
        <w:t xml:space="preserve"> p </w:t>
      </w:r>
      <w:r>
        <w:t xml:space="preserve">= .001; quadratic </w:t>
      </w:r>
      <w:r w:rsidRPr="00FD31F1">
        <w:rPr>
          <w:i/>
        </w:rPr>
        <w:t>F</w:t>
      </w:r>
      <w:r>
        <w:t>(1, 22) = 20.94,</w:t>
      </w:r>
      <w:r w:rsidRPr="00AA0EEE">
        <w:rPr>
          <w:i/>
        </w:rPr>
        <w:t xml:space="preserve"> p </w:t>
      </w:r>
      <w:r>
        <w:t xml:space="preserve">&lt; .001). Simple trend contrasts across Block revealed significant linear and quadratic trend for the </w:t>
      </w:r>
      <w:proofErr w:type="spellStart"/>
      <w:r>
        <w:t>muscimol</w:t>
      </w:r>
      <w:proofErr w:type="spellEnd"/>
      <w:r>
        <w:t xml:space="preserve"> group (linear </w:t>
      </w:r>
      <w:proofErr w:type="gramStart"/>
      <w:r w:rsidRPr="00FD31F1">
        <w:rPr>
          <w:i/>
        </w:rPr>
        <w:t>F</w:t>
      </w:r>
      <w:r>
        <w:t>(</w:t>
      </w:r>
      <w:proofErr w:type="gramEnd"/>
      <w:r>
        <w:t>1, 11) = 14.69,</w:t>
      </w:r>
      <w:r w:rsidRPr="00AA0EEE">
        <w:rPr>
          <w:i/>
        </w:rPr>
        <w:t xml:space="preserve"> p </w:t>
      </w:r>
      <w:r>
        <w:t xml:space="preserve">= .003, quadratic </w:t>
      </w:r>
      <w:r w:rsidRPr="00FD31F1">
        <w:rPr>
          <w:i/>
        </w:rPr>
        <w:t>F</w:t>
      </w:r>
      <w:r>
        <w:t>(1, 11) = 5.08,</w:t>
      </w:r>
      <w:r w:rsidRPr="00AA0EEE">
        <w:rPr>
          <w:i/>
        </w:rPr>
        <w:t xml:space="preserve"> p </w:t>
      </w:r>
      <w:r>
        <w:t xml:space="preserve">= .046) but only significant linear trend in the saline group (linear </w:t>
      </w:r>
      <w:r w:rsidRPr="00FD31F1">
        <w:rPr>
          <w:i/>
        </w:rPr>
        <w:t>F</w:t>
      </w:r>
      <w:r>
        <w:t>(1, 11) = 21.73,</w:t>
      </w:r>
      <w:r w:rsidRPr="00AA0EEE">
        <w:rPr>
          <w:i/>
        </w:rPr>
        <w:t xml:space="preserve"> p </w:t>
      </w:r>
      <w:r>
        <w:t xml:space="preserve">= .001, quadratic </w:t>
      </w:r>
      <w:r w:rsidRPr="00FD31F1">
        <w:rPr>
          <w:i/>
        </w:rPr>
        <w:t>F</w:t>
      </w:r>
      <w:r>
        <w:t>(1, 11) = 01,</w:t>
      </w:r>
      <w:r w:rsidRPr="00AA0EEE">
        <w:rPr>
          <w:i/>
        </w:rPr>
        <w:t xml:space="preserve"> p </w:t>
      </w:r>
      <w:r>
        <w:t xml:space="preserve">= .93). This pattern of results suggests that the linear decrease in within-session extinction was greater in the </w:t>
      </w:r>
      <w:proofErr w:type="spellStart"/>
      <w:r>
        <w:t>muscimol</w:t>
      </w:r>
      <w:proofErr w:type="spellEnd"/>
      <w:r>
        <w:t xml:space="preserve"> group compared to the saline group. This greater linear increase in the </w:t>
      </w:r>
      <w:proofErr w:type="spellStart"/>
      <w:r>
        <w:t>muscimol</w:t>
      </w:r>
      <w:proofErr w:type="spellEnd"/>
      <w:r>
        <w:t xml:space="preserve"> group is likely to be due to higher responding at the start of each session in the </w:t>
      </w:r>
      <w:proofErr w:type="spellStart"/>
      <w:r>
        <w:t>muscimol</w:t>
      </w:r>
      <w:proofErr w:type="spellEnd"/>
      <w:r>
        <w:t xml:space="preserve"> group, whereas the lower responding in the saline group at the start of each session provided less opportunity for any further reduction in responding.</w:t>
      </w:r>
    </w:p>
    <w:p w14:paraId="2609A007" w14:textId="535B1BA7" w:rsidR="00FE2A45" w:rsidRDefault="00E33782" w:rsidP="00FE2A45">
      <w:pPr>
        <w:spacing w:line="276" w:lineRule="auto"/>
      </w:pPr>
      <w:r>
        <w:t xml:space="preserve">To directly assess impairments the retention of extinction between-sessions </w:t>
      </w:r>
      <w:r w:rsidR="00FE2A45" w:rsidRPr="00E33782">
        <w:t>a Group x Cue x Day analysis was run on the first block of trials only</w:t>
      </w:r>
      <w:r>
        <w:t xml:space="preserve"> </w:t>
      </w:r>
      <w:r>
        <w:fldChar w:fldCharType="begin" w:fldLock="1"/>
      </w:r>
      <w:r w:rsidR="00EE3F47">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E33782">
        <w:rPr>
          <w:noProof/>
        </w:rPr>
        <w:t>(Panayi &amp; Killcross, 2014)</w:t>
      </w:r>
      <w:r>
        <w:fldChar w:fldCharType="end"/>
      </w:r>
      <w:r w:rsidR="00FE2A45" w:rsidRPr="00E33782">
        <w:t>. This analysis revealed a significant main effect of Day (</w:t>
      </w:r>
      <w:proofErr w:type="gramStart"/>
      <w:r w:rsidR="00FE2A45" w:rsidRPr="00E33782">
        <w:rPr>
          <w:i/>
        </w:rPr>
        <w:t>F</w:t>
      </w:r>
      <w:r w:rsidR="00FE2A45" w:rsidRPr="00E33782">
        <w:t>(</w:t>
      </w:r>
      <w:proofErr w:type="gramEnd"/>
      <w:r w:rsidR="00FE2A45" w:rsidRPr="00E33782">
        <w:t>3, 66) = 10.19,</w:t>
      </w:r>
      <w:r w:rsidR="00FE2A45" w:rsidRPr="00E33782">
        <w:rPr>
          <w:i/>
        </w:rPr>
        <w:t xml:space="preserve"> p </w:t>
      </w:r>
      <w:r w:rsidR="00FE2A45" w:rsidRPr="00E33782">
        <w:t>&lt; .001), a Cue x Day interaction Day (</w:t>
      </w:r>
      <w:r w:rsidR="00FE2A45" w:rsidRPr="00E33782">
        <w:rPr>
          <w:i/>
        </w:rPr>
        <w:t>F</w:t>
      </w:r>
      <w:r w:rsidR="00FE2A45" w:rsidRPr="00E33782">
        <w:t>(3, 66) = 2.88,</w:t>
      </w:r>
      <w:r w:rsidR="00FE2A45" w:rsidRPr="00E33782">
        <w:rPr>
          <w:i/>
        </w:rPr>
        <w:t xml:space="preserve"> p </w:t>
      </w:r>
      <w:r w:rsidR="00FE2A45" w:rsidRPr="00E33782">
        <w:t>= .04) and a significant main effect of Group (</w:t>
      </w:r>
      <w:r w:rsidR="00FE2A45" w:rsidRPr="00E33782">
        <w:rPr>
          <w:i/>
        </w:rPr>
        <w:t>F</w:t>
      </w:r>
      <w:r w:rsidR="00FE2A45" w:rsidRPr="00E33782">
        <w:t>(1, 22) = 4.46,</w:t>
      </w:r>
      <w:r w:rsidR="00FE2A45" w:rsidRPr="00E33782">
        <w:rPr>
          <w:i/>
        </w:rPr>
        <w:t xml:space="preserve"> p </w:t>
      </w:r>
      <w:r w:rsidR="00FE2A45" w:rsidRPr="00E33782">
        <w:t xml:space="preserve">&lt; .05). This suggests that there was evidence of between-session extinction in both the saline and the </w:t>
      </w:r>
      <w:proofErr w:type="spellStart"/>
      <w:r w:rsidR="00FE2A45" w:rsidRPr="00E33782">
        <w:t>muscimol</w:t>
      </w:r>
      <w:proofErr w:type="spellEnd"/>
      <w:r w:rsidR="00FE2A45" w:rsidRPr="00E33782">
        <w:t xml:space="preserve"> </w:t>
      </w:r>
      <w:proofErr w:type="gramStart"/>
      <w:r w:rsidR="00FE2A45" w:rsidRPr="00E33782">
        <w:t>groups,</w:t>
      </w:r>
      <w:proofErr w:type="gramEnd"/>
      <w:r w:rsidR="00FE2A45" w:rsidRPr="00E33782">
        <w:t xml:space="preserve"> however overall responding was higher in the </w:t>
      </w:r>
      <w:proofErr w:type="spellStart"/>
      <w:r w:rsidR="00FE2A45" w:rsidRPr="00E33782">
        <w:t>muscimol</w:t>
      </w:r>
      <w:proofErr w:type="spellEnd"/>
      <w:r w:rsidR="00FE2A45" w:rsidRPr="00E33782">
        <w:t xml:space="preserve"> group. Therefore, there is some evidence of poorer between-session extinction retention in the </w:t>
      </w:r>
      <w:proofErr w:type="spellStart"/>
      <w:r w:rsidR="00FE2A45" w:rsidRPr="00E33782">
        <w:t>muscimol</w:t>
      </w:r>
      <w:proofErr w:type="spellEnd"/>
      <w:r w:rsidR="00FE2A45" w:rsidRPr="00E33782">
        <w:t xml:space="preserve"> group compared to the saline group.</w:t>
      </w:r>
    </w:p>
    <w:p w14:paraId="4646E329" w14:textId="506D8467" w:rsidR="00E33782" w:rsidRPr="00E33782" w:rsidRDefault="00E33782" w:rsidP="00FE2A45">
      <w:pPr>
        <w:spacing w:line="276" w:lineRule="auto"/>
        <w:rPr>
          <w:i/>
        </w:rPr>
      </w:pPr>
      <w:r w:rsidRPr="00E33782">
        <w:rPr>
          <w:i/>
        </w:rPr>
        <w:t>Stage 3 Extinction test (Day 14)</w:t>
      </w:r>
    </w:p>
    <w:p w14:paraId="5A4CE842" w14:textId="04DCED74" w:rsidR="00FE2A45" w:rsidRDefault="00FE2A45" w:rsidP="00FE2A45">
      <w:pPr>
        <w:spacing w:line="276" w:lineRule="auto"/>
      </w:pPr>
      <w:r>
        <w:t xml:space="preserve">Drug free tests of A- and C- revealed that the </w:t>
      </w:r>
      <w:proofErr w:type="spellStart"/>
      <w:r>
        <w:t>muscimol</w:t>
      </w:r>
      <w:proofErr w:type="spellEnd"/>
      <w:r>
        <w:t xml:space="preserve"> group did not acquire extinction to both cues to the same extent as the saline group (</w:t>
      </w:r>
      <w:r w:rsidR="00EE3F47">
        <w:rPr>
          <w:color w:val="FF0000"/>
        </w:rPr>
        <w:t>Figure 3D)</w:t>
      </w:r>
      <w:r>
        <w:t xml:space="preserve">. Surprisingly,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Pr="00FD31F1">
        <w:rPr>
          <w:i/>
        </w:rPr>
        <w:t>F</w:t>
      </w:r>
      <w:r>
        <w:t>(</w:t>
      </w:r>
      <w:proofErr w:type="gramEnd"/>
      <w:r>
        <w:t>1, 22) = 0.00,</w:t>
      </w:r>
      <w:r w:rsidRPr="00AA0EEE">
        <w:rPr>
          <w:i/>
        </w:rPr>
        <w:t xml:space="preserve"> p </w:t>
      </w:r>
      <w:r>
        <w:t>= 1.00). However, there was a significant effect of Block (</w:t>
      </w:r>
      <w:proofErr w:type="gramStart"/>
      <w:r w:rsidRPr="00FD31F1">
        <w:rPr>
          <w:i/>
        </w:rPr>
        <w:t>F</w:t>
      </w:r>
      <w:r>
        <w:t>(</w:t>
      </w:r>
      <w:proofErr w:type="gramEnd"/>
      <w:r>
        <w:t>3, 66) = 3.45,</w:t>
      </w:r>
      <w:r w:rsidRPr="00AA0EEE">
        <w:rPr>
          <w:i/>
        </w:rPr>
        <w:t xml:space="preserve"> p </w:t>
      </w:r>
      <w:r>
        <w:t>= .02) suggesting within-session extinction behaviour at test and a significant main effect of Group (</w:t>
      </w:r>
      <w:r w:rsidRPr="00FD31F1">
        <w:rPr>
          <w:i/>
        </w:rPr>
        <w:t>F</w:t>
      </w:r>
      <w:r>
        <w:t>(1, 22) = 16.02,</w:t>
      </w:r>
      <w:r w:rsidRPr="00AA0EEE">
        <w:rPr>
          <w:i/>
        </w:rPr>
        <w:t xml:space="preserve"> p </w:t>
      </w:r>
      <w:r>
        <w:t xml:space="preserve">= .001) showing higher responding in the </w:t>
      </w:r>
      <w:proofErr w:type="spellStart"/>
      <w:r>
        <w:t>muscimol</w:t>
      </w:r>
      <w:proofErr w:type="spellEnd"/>
      <w:r>
        <w:t xml:space="preserve"> than the saline group (all other effects did not reach significance, all </w:t>
      </w:r>
      <w:r w:rsidRPr="00FD31F1">
        <w:rPr>
          <w:i/>
        </w:rPr>
        <w:t>F</w:t>
      </w:r>
      <w:r>
        <w:t xml:space="preserve"> &lt; 1.38,</w:t>
      </w:r>
      <w:r w:rsidRPr="00AA0EEE">
        <w:rPr>
          <w:i/>
        </w:rPr>
        <w:t xml:space="preserve"> p </w:t>
      </w:r>
      <w:r>
        <w:t>&gt; .</w:t>
      </w:r>
      <w:commentRangeStart w:id="0"/>
      <w:r>
        <w:t>26</w:t>
      </w:r>
      <w:commentRangeEnd w:id="0"/>
      <w:r>
        <w:rPr>
          <w:rStyle w:val="CommentReference"/>
        </w:rPr>
        <w:commentReference w:id="0"/>
      </w:r>
      <w:r>
        <w:t>).</w:t>
      </w:r>
      <w:r w:rsidR="00EE3F47">
        <w:t xml:space="preserve"> Impaired retention of extinction to cue C in the </w:t>
      </w:r>
      <w:proofErr w:type="spellStart"/>
      <w:r w:rsidR="00EE3F47">
        <w:t>muscimol</w:t>
      </w:r>
      <w:proofErr w:type="spellEnd"/>
      <w:r w:rsidR="00EE3F47">
        <w:t xml:space="preserve"> group when tested drug free successfully replicates the findings of </w:t>
      </w:r>
      <w:r w:rsidR="00EE3F47">
        <w:fldChar w:fldCharType="begin" w:fldLock="1"/>
      </w:r>
      <w:r w:rsidR="00BF4B3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E3F47">
        <w:fldChar w:fldCharType="separate"/>
      </w:r>
      <w:r w:rsidR="00EE3F47" w:rsidRPr="00EE3F47">
        <w:rPr>
          <w:noProof/>
        </w:rPr>
        <w:t>(Panayi &amp; Killcross, 2014)</w:t>
      </w:r>
      <w:r w:rsidR="00EE3F47">
        <w:fldChar w:fldCharType="end"/>
      </w:r>
      <w:r w:rsidR="00EE3F47">
        <w:t xml:space="preserve"> showing that </w:t>
      </w:r>
      <w:r w:rsidR="005F3816">
        <w:t xml:space="preserve">OFC </w:t>
      </w:r>
      <w:r w:rsidR="00EE3F47">
        <w:t xml:space="preserve">inactivation disrupts extinction learning. </w:t>
      </w:r>
    </w:p>
    <w:p w14:paraId="53772343" w14:textId="77777777" w:rsidR="00FE2A45" w:rsidRPr="00853201" w:rsidRDefault="00FE2A45" w:rsidP="00FE2A45">
      <w:pPr>
        <w:spacing w:line="276" w:lineRule="auto"/>
        <w:rPr>
          <w:i/>
        </w:rPr>
      </w:pPr>
      <w:r w:rsidRPr="00BF4B3C">
        <w:rPr>
          <w:i/>
        </w:rPr>
        <w:t>Stage 4 Summation test (Day 15)</w:t>
      </w:r>
    </w:p>
    <w:p w14:paraId="1C90A1C6" w14:textId="121DFA45" w:rsidR="00FE2A45" w:rsidRDefault="00FE2A45" w:rsidP="00FE2A45">
      <w:pPr>
        <w:spacing w:line="276" w:lineRule="auto"/>
      </w:pPr>
      <w:r>
        <w:t>Responding to compound BX was lower than to cue B alone in both groups at test (</w:t>
      </w:r>
      <w:r w:rsidRPr="00BF4B3C">
        <w:rPr>
          <w:color w:val="FF0000"/>
        </w:rPr>
        <w:t xml:space="preserve">Figure </w:t>
      </w:r>
      <w:r w:rsidR="00BF4B3C" w:rsidRPr="00BF4B3C">
        <w:rPr>
          <w:color w:val="FF0000"/>
        </w:rPr>
        <w:t>3E</w:t>
      </w:r>
      <w:r>
        <w:t>). A Group x Cue (B-, BX-) mixed ANOVA supported this with a significant main effect of Cue (</w:t>
      </w:r>
      <w:proofErr w:type="gramStart"/>
      <w:r w:rsidRPr="00FD31F1">
        <w:rPr>
          <w:i/>
        </w:rPr>
        <w:t>F</w:t>
      </w:r>
      <w:r>
        <w:t>(</w:t>
      </w:r>
      <w:proofErr w:type="gramEnd"/>
      <w:r>
        <w:t>1, 22) = 4.67,</w:t>
      </w:r>
      <w:r w:rsidRPr="00AA0EEE">
        <w:rPr>
          <w:i/>
        </w:rPr>
        <w:t xml:space="preserve"> p </w:t>
      </w:r>
      <w:r>
        <w:t>= .04) but no significant effect of Group (</w:t>
      </w:r>
      <w:r w:rsidRPr="00FD31F1">
        <w:rPr>
          <w:i/>
        </w:rPr>
        <w:t>F</w:t>
      </w:r>
      <w:r>
        <w:t>(1, 22) &lt;.01,</w:t>
      </w:r>
      <w:r w:rsidRPr="00AA0EEE">
        <w:rPr>
          <w:i/>
        </w:rPr>
        <w:t xml:space="preserve"> p </w:t>
      </w:r>
      <w:r>
        <w:t>= .96)  or Group x Cue interaction (</w:t>
      </w:r>
      <w:r w:rsidRPr="00FD31F1">
        <w:rPr>
          <w:i/>
        </w:rPr>
        <w:t>F</w:t>
      </w:r>
      <w:r>
        <w:t>(1, 22) = 0.10,</w:t>
      </w:r>
      <w:r w:rsidRPr="00AA0EEE">
        <w:rPr>
          <w:i/>
        </w:rPr>
        <w:t xml:space="preserve"> p </w:t>
      </w:r>
      <w:r>
        <w:t>= .75). Therefore, the summation test provided evidence of conditioned inhibition to cue X in both groups.</w:t>
      </w:r>
    </w:p>
    <w:p w14:paraId="739AFA00" w14:textId="77777777" w:rsidR="00FE2A45" w:rsidRDefault="00FE2A45" w:rsidP="00FE2A45">
      <w:pPr>
        <w:spacing w:line="276" w:lineRule="auto"/>
      </w:pPr>
      <w:r w:rsidRPr="00BF4B3C">
        <w:t>Stage 5 Retardation test (Days 16-18)</w:t>
      </w:r>
    </w:p>
    <w:p w14:paraId="1B75C05F" w14:textId="6EB3862F" w:rsidR="00FE2A45" w:rsidRDefault="00FE2A45" w:rsidP="00FE2A45">
      <w:pPr>
        <w:spacing w:line="276" w:lineRule="auto"/>
      </w:pPr>
      <w:r>
        <w:t xml:space="preserve">Responding during the retardation test suggested that the rate of acquisition to cue Y was greater than cue X in the </w:t>
      </w:r>
      <w:proofErr w:type="spellStart"/>
      <w:r>
        <w:t>muscimol</w:t>
      </w:r>
      <w:proofErr w:type="spellEnd"/>
      <w:r>
        <w:t xml:space="preserve"> group but not the saline group (</w:t>
      </w:r>
      <w:r w:rsidR="00BF4B3C">
        <w:rPr>
          <w:color w:val="FF0000"/>
        </w:rPr>
        <w:t>Figure 3F</w:t>
      </w:r>
      <w:r>
        <w:t>). However, this observation was not fully supported statistically by a Group x Cue (X, Y) x Day mixed ANOVA which failed to reveal a significant Group x Cue x Day 3-way interaction (</w:t>
      </w:r>
      <w:proofErr w:type="gramStart"/>
      <w:r w:rsidRPr="00FD31F1">
        <w:rPr>
          <w:i/>
        </w:rPr>
        <w:t>F</w:t>
      </w:r>
      <w:r>
        <w:t>(</w:t>
      </w:r>
      <w:proofErr w:type="gramEnd"/>
      <w:r>
        <w:t>2, 44) = 2.23,</w:t>
      </w:r>
      <w:r w:rsidRPr="00AA0EEE">
        <w:rPr>
          <w:i/>
        </w:rPr>
        <w:t xml:space="preserve"> p </w:t>
      </w:r>
      <w:r>
        <w:t xml:space="preserve">= .12; there was a significant main effect of Day </w:t>
      </w:r>
      <w:r w:rsidRPr="00FD31F1">
        <w:rPr>
          <w:i/>
        </w:rPr>
        <w:t>F</w:t>
      </w:r>
      <w:r>
        <w:t>(2, 44) = 10.87,</w:t>
      </w:r>
      <w:r w:rsidRPr="00AA0EEE">
        <w:rPr>
          <w:i/>
        </w:rPr>
        <w:t xml:space="preserve"> p </w:t>
      </w:r>
      <w:r>
        <w:t xml:space="preserve">&lt; .001, but all other effects failed to reach </w:t>
      </w:r>
      <w:r>
        <w:lastRenderedPageBreak/>
        <w:t xml:space="preserve">significance, all </w:t>
      </w:r>
      <w:r w:rsidRPr="00FD31F1">
        <w:rPr>
          <w:i/>
        </w:rPr>
        <w:t>F</w:t>
      </w:r>
      <w:r>
        <w:t xml:space="preserve"> &lt; 2.68,</w:t>
      </w:r>
      <w:r w:rsidRPr="00AA0EEE">
        <w:rPr>
          <w:i/>
        </w:rPr>
        <w:t xml:space="preserve"> p </w:t>
      </w:r>
      <w:r>
        <w:t>&gt; .12). Given the weak evidence for conditioned inhibition in this experimental design in the li</w:t>
      </w:r>
      <w:r w:rsidR="00BF4B3C">
        <w:t xml:space="preserve">terature </w:t>
      </w:r>
      <w:r w:rsidR="00BF4B3C">
        <w:fldChar w:fldCharType="begin" w:fldLock="1"/>
      </w:r>
      <w:r w:rsidR="00A05CCB">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F4B3C">
        <w:fldChar w:fldCharType="separate"/>
      </w:r>
      <w:r w:rsidR="00BF4B3C" w:rsidRPr="00BF4B3C">
        <w:rPr>
          <w:noProof/>
        </w:rPr>
        <w:t>(Rescorla, 1979)</w:t>
      </w:r>
      <w:r w:rsidR="00BF4B3C">
        <w:fldChar w:fldCharType="end"/>
      </w:r>
      <w:r>
        <w:t>, planned orthogonal linear and quadratic Group x Cue x Day trend contrasts were tested. This planned analysis revealed a significant quadratic (</w:t>
      </w:r>
      <w:proofErr w:type="gramStart"/>
      <w:r w:rsidRPr="00FD31F1">
        <w:rPr>
          <w:i/>
        </w:rPr>
        <w:t>F</w:t>
      </w:r>
      <w:r>
        <w:t>(</w:t>
      </w:r>
      <w:proofErr w:type="gramEnd"/>
      <w:r>
        <w:t>1, 22) = 5.42,</w:t>
      </w:r>
      <w:r w:rsidRPr="00AA0EEE">
        <w:rPr>
          <w:i/>
        </w:rPr>
        <w:t xml:space="preserve"> p </w:t>
      </w:r>
      <w:r>
        <w:t>= .03) but not linear (</w:t>
      </w:r>
      <w:r w:rsidRPr="00FD31F1">
        <w:rPr>
          <w:i/>
        </w:rPr>
        <w:t>F</w:t>
      </w:r>
      <w:r>
        <w:t>(1, 22) = 0.68,</w:t>
      </w:r>
      <w:r w:rsidRPr="00AA0EEE">
        <w:rPr>
          <w:i/>
        </w:rPr>
        <w:t xml:space="preserve"> p </w:t>
      </w:r>
      <w:r>
        <w:t xml:space="preserve">= .42) 3-way interaction. Follow up Cue x Day quadratic trend was found to be significant in the </w:t>
      </w:r>
      <w:proofErr w:type="spellStart"/>
      <w:r>
        <w:t>muscimol</w:t>
      </w:r>
      <w:proofErr w:type="spellEnd"/>
      <w:r>
        <w:t xml:space="preserve"> group (</w:t>
      </w:r>
      <w:proofErr w:type="gramStart"/>
      <w:r w:rsidRPr="00FD31F1">
        <w:rPr>
          <w:i/>
        </w:rPr>
        <w:t>F</w:t>
      </w:r>
      <w:r>
        <w:t>(</w:t>
      </w:r>
      <w:proofErr w:type="gramEnd"/>
      <w:r>
        <w:t>1, 11) = 7.53,</w:t>
      </w:r>
      <w:r w:rsidRPr="00AA0EEE">
        <w:rPr>
          <w:i/>
        </w:rPr>
        <w:t xml:space="preserve"> p </w:t>
      </w:r>
      <w:r>
        <w:t>= .02) but not the saline group (</w:t>
      </w:r>
      <w:r w:rsidRPr="00FD31F1">
        <w:rPr>
          <w:i/>
        </w:rPr>
        <w:t>F</w:t>
      </w:r>
      <w:r>
        <w:t>(1, 11) = 0.14,</w:t>
      </w:r>
      <w:r w:rsidRPr="00AA0EEE">
        <w:rPr>
          <w:i/>
        </w:rPr>
        <w:t xml:space="preserve"> p </w:t>
      </w:r>
      <w:r>
        <w:t xml:space="preserve">= .71). This suggested that the rate of increase during acquisition was greater for cue Y than cue X in the </w:t>
      </w:r>
      <w:proofErr w:type="spellStart"/>
      <w:r>
        <w:t>muscimol</w:t>
      </w:r>
      <w:proofErr w:type="spellEnd"/>
      <w:r>
        <w:t xml:space="preserve"> but not the saline </w:t>
      </w:r>
      <w:commentRangeStart w:id="1"/>
      <w:r>
        <w:t>group</w:t>
      </w:r>
      <w:commentRangeEnd w:id="1"/>
      <w:r>
        <w:rPr>
          <w:rStyle w:val="CommentReference"/>
        </w:rPr>
        <w:commentReference w:id="1"/>
      </w:r>
      <w:r>
        <w:t>.</w:t>
      </w:r>
    </w:p>
    <w:p w14:paraId="0F61C56C" w14:textId="0910D1B6" w:rsidR="00FE2A45" w:rsidRDefault="00BF4B3C" w:rsidP="00FE2A45">
      <w:pPr>
        <w:spacing w:line="276" w:lineRule="auto"/>
      </w:pPr>
      <w:r>
        <w:t>Control cue Z</w:t>
      </w:r>
    </w:p>
    <w:p w14:paraId="34DF6999" w14:textId="72A6E15D" w:rsidR="00FE2A45" w:rsidRDefault="00FE2A45" w:rsidP="00FE2A45">
      <w:pPr>
        <w:spacing w:line="276" w:lineRule="auto"/>
      </w:pPr>
      <w:r>
        <w:tab/>
        <w:t>Responding to control cue Z did not diffe</w:t>
      </w:r>
      <w:r w:rsidR="00BF4B3C">
        <w:t>r throughout training (data not shown</w:t>
      </w:r>
      <w:r>
        <w:t xml:space="preserve">). For completeness, responding during acquisition to cue Z did not differ between groups in stage 1. A mixed Group x </w:t>
      </w:r>
      <w:proofErr w:type="gramStart"/>
      <w:r>
        <w:t>Day(</w:t>
      </w:r>
      <w:proofErr w:type="gramEnd"/>
      <w:r>
        <w:t>1-9) ANOVA supported this observation revealing only a main effect of day (</w:t>
      </w:r>
      <w:r w:rsidRPr="00FD31F1">
        <w:rPr>
          <w:i/>
        </w:rPr>
        <w:t>F</w:t>
      </w:r>
      <w:r>
        <w:t>(8, 176) = 8.80,</w:t>
      </w:r>
      <w:r w:rsidRPr="00AA0EEE">
        <w:rPr>
          <w:i/>
        </w:rPr>
        <w:t xml:space="preserve"> p </w:t>
      </w:r>
      <w:r>
        <w:t xml:space="preserve">&lt; .001) but no main effect of Group or Group x Day interaction (all </w:t>
      </w:r>
      <w:r w:rsidRPr="00FD31F1">
        <w:rPr>
          <w:i/>
        </w:rPr>
        <w:t>F</w:t>
      </w:r>
      <w:r>
        <w:t xml:space="preserve"> &lt; 0.18,</w:t>
      </w:r>
      <w:r w:rsidRPr="00AA0EEE">
        <w:rPr>
          <w:i/>
        </w:rPr>
        <w:t xml:space="preserve"> p </w:t>
      </w:r>
      <w:r>
        <w:t xml:space="preserve">&gt; .99). The rate of extinction to control cue Z during the retardation test did not differ between groups as confirmed by a mixed Group x </w:t>
      </w:r>
      <w:proofErr w:type="gramStart"/>
      <w:r>
        <w:t>Day(</w:t>
      </w:r>
      <w:proofErr w:type="gramEnd"/>
      <w:r>
        <w:t>16, 17, 18) ANOVA with no significant effect of Group (</w:t>
      </w:r>
      <w:r w:rsidRPr="00FD31F1">
        <w:rPr>
          <w:i/>
        </w:rPr>
        <w:t>F</w:t>
      </w:r>
      <w:r>
        <w:t>(1, 22) = 2.07,</w:t>
      </w:r>
      <w:r w:rsidRPr="00AA0EEE">
        <w:rPr>
          <w:i/>
        </w:rPr>
        <w:t xml:space="preserve"> p </w:t>
      </w:r>
      <w:r>
        <w:t>= .16) or Group x Day interaction (</w:t>
      </w:r>
      <w:r w:rsidRPr="00FD31F1">
        <w:rPr>
          <w:i/>
        </w:rPr>
        <w:t>F</w:t>
      </w:r>
      <w:r>
        <w:t>(2, 44) = 0.08,</w:t>
      </w:r>
      <w:r w:rsidRPr="00AA0EEE">
        <w:rPr>
          <w:i/>
        </w:rPr>
        <w:t xml:space="preserve"> p </w:t>
      </w:r>
      <w:r>
        <w:t xml:space="preserve">&gt; .93; significant main effect of Day </w:t>
      </w:r>
      <w:r w:rsidRPr="00FD31F1">
        <w:rPr>
          <w:i/>
        </w:rPr>
        <w:t>F</w:t>
      </w:r>
      <w:r>
        <w:t>(2, 44) = 20.78,</w:t>
      </w:r>
      <w:r w:rsidRPr="00AA0EEE">
        <w:rPr>
          <w:i/>
        </w:rPr>
        <w:t xml:space="preserve"> p </w:t>
      </w:r>
      <w:r>
        <w:t>&lt; .001).</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CBE33A0" w14:textId="34DCB9F6" w:rsidR="00FE2A45" w:rsidRDefault="00BF4B3C" w:rsidP="00FF0402">
      <w:pPr>
        <w:spacing w:line="276" w:lineRule="auto"/>
      </w:pPr>
      <w:r>
        <w:t xml:space="preserve">To test whether the rapid within-session extinction observed following </w:t>
      </w:r>
      <w:proofErr w:type="spellStart"/>
      <w:r>
        <w:t>muscimol</w:t>
      </w:r>
      <w:proofErr w:type="spellEnd"/>
      <w:r>
        <w:t xml:space="preserve"> infusions in stage 2 were the result of general suppression of locomotor activity, a spontaneous locomotor </w:t>
      </w:r>
      <w:r w:rsidR="00773C0C">
        <w:t>activity</w:t>
      </w:r>
      <w:r>
        <w:t xml:space="preserve"> test was conducted. </w:t>
      </w:r>
      <w:r w:rsidR="00FE2A45">
        <w:t>There was no differential effect of drug infusion on general locomotor activity. This was supported by a mixed Group x Block (6 blocks of 10 mins) on total ambulatory distance which revealed a significant effect of Block (</w:t>
      </w:r>
      <w:proofErr w:type="gramStart"/>
      <w:r w:rsidR="00FE2A45" w:rsidRPr="00FD31F1">
        <w:rPr>
          <w:i/>
        </w:rPr>
        <w:t>F</w:t>
      </w:r>
      <w:r w:rsidR="00FE2A45">
        <w:t>(</w:t>
      </w:r>
      <w:proofErr w:type="gramEnd"/>
      <w:r w:rsidR="00FE2A45">
        <w:t>5, 110) = 93.52,</w:t>
      </w:r>
      <w:r w:rsidR="00FE2A45" w:rsidRPr="00AA0EEE">
        <w:rPr>
          <w:i/>
        </w:rPr>
        <w:t xml:space="preserve"> p </w:t>
      </w:r>
      <w:r w:rsidR="00FE2A45">
        <w:t xml:space="preserve">&lt; .001)  but no Group or Group x Block interaction effects (all </w:t>
      </w:r>
      <w:r w:rsidR="00FE2A45" w:rsidRPr="00FD31F1">
        <w:rPr>
          <w:i/>
        </w:rPr>
        <w:t>F</w:t>
      </w:r>
      <w:r w:rsidR="00FE2A45">
        <w:t xml:space="preserve"> &lt; 1,</w:t>
      </w:r>
      <w:r w:rsidR="00FE2A45" w:rsidRPr="00AA0EEE">
        <w:rPr>
          <w:i/>
        </w:rPr>
        <w:t xml:space="preserve"> p </w:t>
      </w:r>
      <w:r w:rsidR="00FE2A45">
        <w:t>&gt; .96).</w:t>
      </w:r>
    </w:p>
    <w:p w14:paraId="3991EA1A" w14:textId="781A2578" w:rsidR="00D82C71" w:rsidRPr="003E3618" w:rsidRDefault="00B334AF" w:rsidP="00FF0402">
      <w:pPr>
        <w:spacing w:line="276" w:lineRule="auto"/>
        <w:rPr>
          <w:b/>
        </w:rPr>
      </w:pPr>
      <w:r w:rsidRPr="003E3618">
        <w:rPr>
          <w:b/>
        </w:rPr>
        <w:t>Discussion</w:t>
      </w:r>
    </w:p>
    <w:p w14:paraId="2BE7D828" w14:textId="577E22A4" w:rsidR="00915651" w:rsidRDefault="00831C95" w:rsidP="00FF0402">
      <w:pPr>
        <w:spacing w:line="276" w:lineRule="auto"/>
      </w:pPr>
      <w:r>
        <w:tab/>
        <w:t xml:space="preserve">Our results reveal a selective role for the OFC in inhibitory behavioural </w:t>
      </w:r>
      <w:r w:rsidR="00915651">
        <w:t xml:space="preserve">control, which </w:t>
      </w:r>
      <w:r w:rsidR="00F310F5">
        <w:t>may support</w:t>
      </w:r>
      <w:r w:rsidR="00915651">
        <w:t xml:space="preserve"> the traditional hypothesis of OFC function as a source of inhibitory control over well-established behavioural responses. However, OFC function was not necessary for the underlying learning of an inhibitory association</w:t>
      </w:r>
      <w:r w:rsidR="00D279C9">
        <w:t xml:space="preserve">, as assessed by </w:t>
      </w:r>
      <w:r w:rsidR="00AE58C9">
        <w:t xml:space="preserve">a </w:t>
      </w:r>
      <w:r w:rsidR="00D279C9">
        <w:t>summation and retardation test,</w:t>
      </w:r>
      <w:r w:rsidR="00915651">
        <w:t xml:space="preserve"> which was successfully acquired despite the abolition of selective inhibitory control following OFC inactivation. </w:t>
      </w:r>
      <w:r w:rsidR="00DB50C2">
        <w:t>This dissociation between learning a</w:t>
      </w:r>
      <w:r w:rsidR="00A05CCB">
        <w:t>nd behaviour following lateral OFC inactivation in rodents is broadly consistent with recent findings in monkeys</w:t>
      </w:r>
      <w:r w:rsidR="008A0476">
        <w:t xml:space="preserve"> </w:t>
      </w:r>
      <w:r w:rsidR="008A0476">
        <w:fldChar w:fldCharType="begin" w:fldLock="1"/>
      </w:r>
      <w:r w:rsidR="008A0476">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"(Elisabeth A Murray, Moylan, Saleem, Basile, &amp; Turchi, 2015)", "plainTextFormattedCitation" : "(Elisabeth A Murray, Moylan, Saleem, Basile, &amp; Turchi, 2015)", "previouslyFormattedCitation" : "(Elisabeth A Murray, Moylan, Saleem, Basile, &amp; Turchi, 2015)" }, "properties" : { "noteIndex" : 0 }, "schema" : "https://github.com/citation-style-language/schema/raw/master/csl-citation.json" }</w:instrText>
      </w:r>
      <w:r w:rsidR="008A0476">
        <w:fldChar w:fldCharType="separate"/>
      </w:r>
      <w:r w:rsidR="008A0476" w:rsidRPr="00A05CCB">
        <w:rPr>
          <w:noProof/>
        </w:rPr>
        <w:t>(Elisabeth A Murray, Moylan, Saleem, Basile, &amp; Turchi, 2015)</w:t>
      </w:r>
      <w:r w:rsidR="008A0476">
        <w:fldChar w:fldCharType="end"/>
      </w:r>
      <w:r w:rsidR="008A0476">
        <w:t xml:space="preserve"> and in humans </w:t>
      </w:r>
      <w:r w:rsidR="008A0476">
        <w:fldChar w:fldCharType="begin" w:fldLock="1"/>
      </w:r>
      <w:r w:rsidR="001A6769">
        <w:instrText>ADDIN CSL_CITATION { "citationItems" : [ { "id" : "ITEM-1", "itemData" : { "DOI" : "10.1111/j.1749-6632.2011.06229.x", "ISBN" : "1749-6632 (Electronic)\\r0077-8923 (Linking)", "ISSN" : "00778923", "PMID" : "22145875", "abstract" : "The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 "author" : [ { "dropping-particle" : "", "family" : "Fellows", "given" : "Lesley K.", "non-dropping-particle" : "", "parse-names" : false, "suffix" : "" } ], "container-title" : "Annals of the New York Academy of Sciences", "id" : "ITEM-1", "issue" : "1", "issued" : { "date-parts" : [ [ "2011" ] ] }, "page" : "51-58", "title" : "Orbitofrontal contributions to value-based decision making: Evidence from humans with frontal lobe damage", "type" : "article-journal", "volume" : "1239" }, "uris" : [ "http://www.mendeley.com/documents/?uuid=cfbf8267-a344-45ee-8ab7-aff375fc7da1" ] }, { "id" : "ITEM-2", "itemData" : { "DOI" : "10.1016/0010-0277(94)90018-3", "ISSN" : "00100277", "abstract" : "Following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 "author" : [ { "dropping-particle" : "", "family" : "Bechara", "given" : "Antoine", "non-dropping-particle" : "", "parse-names" : false, "suffix" : "" }, { "dropping-particle" : "", "family" : "Damasio", "given" : "Antonio R.", "non-dropping-particle" : "", "parse-names" : false, "suffix" : "" }, { "dropping-particle" : "", "family" : "Damasio", "given" : "Hanna", "non-dropping-particle" : "", "parse-names" : false, "suffix" : "" }, { "dropping-particle" : "", "family" : "Anderson", "given" : "Steven W.", "non-dropping-particle" : "", "parse-names" : false, "suffix" : "" } ], "container-title" : "Cognition", "id" : "ITEM-2", "issue" : "1-3", "issued" : { "date-parts" : [ [ "1994", "4" ] ] }, "page" : "7-15", "title" : "Insensitivity to future consequences following damage to human prefrontal cortex", "type" : "article-journal", "volume" : "50" }, "uris" : [ "http://www.mendeley.com/documents/?uuid=6c11c655-423e-4953-a63a-9cee7b506dca" ] } ], "mendeley" : { "formattedCitation" : "(Bechara, Damasio, Damasio, &amp; Anderson, 1994; Fellows, 2011)", "plainTextFormattedCitation" : "(Bechara, Damasio, Damasio, &amp; Anderson, 1994; Fellows, 2011)", "previouslyFormattedCitation" : "(Bechara, Damasio, Damasio, &amp; Anderson, 1994; Fellows, 2011)" }, "properties" : { "noteIndex" : 0 }, "schema" : "https://github.com/citation-style-language/schema/raw/master/csl-citation.json" }</w:instrText>
      </w:r>
      <w:r w:rsidR="008A0476">
        <w:fldChar w:fldCharType="separate"/>
      </w:r>
      <w:r w:rsidR="008A0476" w:rsidRPr="008A0476">
        <w:rPr>
          <w:noProof/>
        </w:rPr>
        <w:t>(Bechara, Damasio, Damasio, &amp; Anderson, 1994; Fellows, 2011)</w:t>
      </w:r>
      <w:r w:rsidR="008A0476">
        <w:fldChar w:fldCharType="end"/>
      </w:r>
      <w:r w:rsidR="008A0476">
        <w:t>,</w:t>
      </w:r>
      <w:r w:rsidR="00A05CCB">
        <w:t xml:space="preserve"> that updating expected outcome values and translating this knowledge into behaviour can be dissociated within OFC subregions</w:t>
      </w:r>
      <w:r w:rsidR="00CE6C3E">
        <w:t>.</w:t>
      </w:r>
    </w:p>
    <w:p w14:paraId="5C2944E4" w14:textId="24290340" w:rsidR="001A6769" w:rsidRDefault="00CE6C3E" w:rsidP="00FF0402">
      <w:pPr>
        <w:spacing w:line="276" w:lineRule="auto"/>
      </w:pPr>
      <w:r>
        <w:tab/>
      </w:r>
      <w:r w:rsidR="007C09D2">
        <w:t>However, it is clear that the 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was evidence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w:t>
      </w:r>
      <w:r w:rsidR="007C09D2">
        <w:lastRenderedPageBreak/>
        <w:t>following OFC inactivation.</w:t>
      </w:r>
      <w:r w:rsidR="00EE736C">
        <w:t xml:space="preserve"> Thus,</w:t>
      </w:r>
      <w:r w:rsidR="00F310F5">
        <w:t xml:space="preserve"> a purely inhibitory account of OFC function</w:t>
      </w:r>
      <w:r w:rsidR="00F310F5" w:rsidRPr="00F310F5">
        <w:t xml:space="preserve"> </w:t>
      </w:r>
      <w:r w:rsidR="00F310F5">
        <w:t>does not effectively describe</w:t>
      </w:r>
      <w:r w:rsidR="00EE736C">
        <w:t xml:space="preserve"> </w:t>
      </w:r>
      <w:r w:rsidR="00F310F5">
        <w:t>the disruption of discriminatory behavioural control observed in the present studies.</w:t>
      </w:r>
    </w:p>
    <w:p w14:paraId="4A324748" w14:textId="2EAE6D20" w:rsidR="001A6769" w:rsidRDefault="006F0D82" w:rsidP="001A6769">
      <w:pPr>
        <w:spacing w:line="276" w:lineRule="auto"/>
        <w:ind w:firstLine="720"/>
      </w:pPr>
      <w:r>
        <w:t>This conclusion is consistent with population and single-unit neuronal activity recordings in the rodent OFC. In a stop-signal task that requires the use of cues to correctly direct behaviour</w:t>
      </w:r>
      <w:r w:rsidR="001A6769">
        <w:t xml:space="preserve"> </w:t>
      </w:r>
      <w:r w:rsidR="001A6769">
        <w:fldChar w:fldCharType="begin" w:fldLock="1"/>
      </w:r>
      <w:r w:rsidR="004D6F95">
        <w:instrText>ADDIN CSL_CITATION { "citationItems" : [ { "id" : "ITEM-1", "itemData" : { "DOI" : "10.1523/jneurosci.3587-14.2015", "abstract" : "Orbitofrontal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\u201cinhibition\u201d deficits observed with OFC interference studies reflect deficits unrelated to signaling the need to inhibit behavior, but instead support a role for OFC in executive functions related to dissociating between two perceptually similar actions during response conflict.", "author" : [ { "dropping-particle" : "", "family" : "Bryden", "given" : "Daniel W", "non-dropping-particle" : "", "parse-names" : false, "suffix" : "" }, { "dropping-particle" : "", "family" : "Roesch", "given" : "Matthew R", "non-dropping-particle" : "", "parse-names" : false, "suffix" : "" } ], "container-title" : "The Journal of Neuroscience", "id" : "ITEM-1", "issue" : "9", "issued" : { "date-parts" : [ [ "2015" ] ] }, "page" : "3903-3914", "title" : "Executive Control Signals in Orbitofrontal Cortex during Response Inhibition", "type" : "article-journal", "volume" : "35" }, "uris" : [ "http://www.mendeley.com/documents/?uuid=2d9c34c5-4eca-4259-847e-fdb2e9ff8847" ] } ], "mendeley" : { "formattedCitation" : "(Bryden &amp; Roesch, 2015)", "plainTextFormattedCitation" : "(Bryden &amp; Roesch, 2015)", "previouslyFormattedCitation" : "(Bryden &amp; Roesch, 2015)" }, "properties" : { "noteIndex" : 0 }, "schema" : "https://github.com/citation-style-language/schema/raw/master/csl-citation.json" }</w:instrText>
      </w:r>
      <w:r w:rsidR="001A6769">
        <w:fldChar w:fldCharType="separate"/>
      </w:r>
      <w:r w:rsidR="001A6769" w:rsidRPr="001A6769">
        <w:rPr>
          <w:noProof/>
        </w:rPr>
        <w:t>(Bryden &amp; Roesch, 2015)</w:t>
      </w:r>
      <w:r w:rsidR="001A6769">
        <w:fldChar w:fldCharType="end"/>
      </w:r>
      <w:r>
        <w:t xml:space="preserve">, OFC activity </w:t>
      </w:r>
      <w:r w:rsidR="001A6769">
        <w:t>is</w:t>
      </w:r>
      <w:r>
        <w:t xml:space="preserve"> sensitive to the direction of responding and enhanced with the need to suppress redirect behaviour. This suggests that the </w:t>
      </w:r>
      <w:r w:rsidR="00281213">
        <w:t>OFC is involved in inhibitory behavioural tasks because it plays a role in guiding and boosting behavioural control of correct responses rather than the inhibition of incorrect responses.</w:t>
      </w:r>
      <w:r w:rsidR="001A6769">
        <w:t xml:space="preserve"> This view is also supported by a number of studies in rodents [</w:t>
      </w:r>
      <w:r w:rsidR="001A6769" w:rsidRPr="001A6769">
        <w:rPr>
          <w:color w:val="FF0000"/>
        </w:rPr>
        <w:t>REFS</w:t>
      </w:r>
      <w:r w:rsidR="001A6769">
        <w:t>] and primates [</w:t>
      </w:r>
      <w:r w:rsidR="001A6769" w:rsidRPr="001A6769">
        <w:rPr>
          <w:color w:val="FF0000"/>
        </w:rPr>
        <w:t>REFS</w:t>
      </w:r>
      <w:r w:rsidR="001A6769">
        <w:t>] suggesting that OFC activity tracks the expected value of cues used to guide behaviour. This would suggest that the failure to boost responding to rewarded cues (A+ and Z+ in stage 2, experiment 1)</w:t>
      </w:r>
      <w:r w:rsidR="00E76984">
        <w:t xml:space="preserve"> are best characterised as a disruption of signalling the expected value of the predicted reward rather than a disruption of inhibitory behavioural control.</w:t>
      </w:r>
    </w:p>
    <w:p w14:paraId="35CBF9BF" w14:textId="6C832DC4" w:rsidR="00627A1D" w:rsidRPr="00627A1D" w:rsidRDefault="00627A1D" w:rsidP="00627A1D">
      <w:pPr>
        <w:spacing w:line="276" w:lineRule="auto"/>
        <w:rPr>
          <w:b/>
        </w:rPr>
      </w:pPr>
      <w:r w:rsidRPr="00627A1D">
        <w:rPr>
          <w:b/>
        </w:rPr>
        <w:t>Outcome expectancy guiding behaviour</w:t>
      </w:r>
    </w:p>
    <w:p w14:paraId="6D38E53B" w14:textId="7728904E" w:rsidR="00627A1D" w:rsidRDefault="00AC4413" w:rsidP="00627A1D">
      <w:pPr>
        <w:spacing w:line="276" w:lineRule="auto"/>
      </w:pPr>
      <w:r>
        <w:tab/>
      </w:r>
      <w:r w:rsidR="00DB496F">
        <w:t xml:space="preserve">A number of findings in experiment 1 suggest that OFC inactivation disrupted cue guided behavioural control rather than affecting learning per se. </w:t>
      </w:r>
      <w:r>
        <w:t>OFC inactivation disrupted behavioural control during the A+/AX- discrimination, but did not disrupt learning about the inhibitory properties of cue X</w:t>
      </w:r>
      <w:r w:rsidR="003A7429">
        <w:t xml:space="preserve"> (experiment 1)</w:t>
      </w:r>
      <w:r>
        <w:t>.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 In the absence of this information</w:t>
      </w:r>
      <w:r w:rsidR="00A02D95">
        <w:t>,</w:t>
      </w:r>
      <w:r w:rsidR="004411B1">
        <w:t xml:space="preserve"> behavioural control is likely to</w:t>
      </w:r>
      <w:r w:rsidR="00A02D95">
        <w:t xml:space="preserve"> be guided by </w:t>
      </w:r>
      <w:r w:rsidR="004411B1">
        <w:t>direct stimulus-response associ</w:t>
      </w:r>
      <w:r w:rsidR="00A02D95">
        <w:t>ations that form during learning</w:t>
      </w:r>
      <w:r w:rsidR="00FD456F">
        <w:t xml:space="preserve">. Thus, in simple cue-outcome learning to control cue Z, the suppression in response acquisition following OFC inactivation may represent the loss of information about the current value of the reward </w:t>
      </w:r>
      <w:r w:rsidR="009C1BBD">
        <w:t xml:space="preserve">that normally boosts responding </w:t>
      </w:r>
      <w:r w:rsidR="00FD456F">
        <w:t>and a reliance on a slower stimulus-response memory system.</w:t>
      </w:r>
      <w:r w:rsidR="009C1BBD">
        <w:t xml:space="preserve"> Similarly, during the A+/AX- feature negative discrimination the loss of information about the current value of the reward is not available to boost responding to A+. However, an inhibitory association between X and responding (or an excitatory connection between X and </w:t>
      </w:r>
      <w:r w:rsidR="00E43CB5">
        <w:t xml:space="preserve">a representation of no-outcome </w:t>
      </w:r>
      <w:r w:rsidR="00E43CB5">
        <w:fldChar w:fldCharType="begin" w:fldLock="1"/>
      </w:r>
      <w:r w:rsidR="00E43CB5">
        <w:instrText>ADDIN CSL_CITATION { "citationItems" : [ { "id" : "ITEM-1", "itemData" : { "PMID" : "3117072", "author" : [ { "dropping-particle" : "", "family" : "Konorski", "given" : "J", "non-dropping-particle" : "", "parse-names" : false, "suffix" : "" } ], "id" : "ITEM-1", "issued" : { "date-parts" : [ [ "1967" ] ] }, "note" : "67016776\nillus. (part col.) 24 cm.\nIncludes bibliographies.", "number-of-pages" : "xii, 531 p.", "publisher" : "University of Chicago Press", "publisher-place" : "Chicago,", "title" : "Integrative activity of the brain; an interdisciplinary approach", "type" : "book" }, "uris" : [ "http://www.mendeley.com/documents/?uuid=52c55eba-ab23-4111-b66d-90c5883e63ce"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Konorski, 1967)", "plainTextFormattedCitation" : "(Delamater, 2004; Konorski, 1967)" }, "properties" : { "noteIndex" : 0 }, "schema" : "https://github.com/citation-style-language/schema/raw/master/csl-citation.json" }</w:instrText>
      </w:r>
      <w:r w:rsidR="00E43CB5">
        <w:fldChar w:fldCharType="separate"/>
      </w:r>
      <w:r w:rsidR="00E43CB5" w:rsidRPr="00E43CB5">
        <w:rPr>
          <w:noProof/>
        </w:rPr>
        <w:t>(Delamater, 2004; Konorski, 1967)</w:t>
      </w:r>
      <w:r w:rsidR="00E43CB5">
        <w:fldChar w:fldCharType="end"/>
      </w:r>
      <w:r w:rsidR="00E43CB5">
        <w:t>)</w:t>
      </w:r>
      <w:r w:rsidR="009C1BBD">
        <w:t xml:space="preserve"> could still form with only a stimulus-response system</w:t>
      </w:r>
      <w:r w:rsidR="00E43CB5">
        <w:t>.</w:t>
      </w:r>
      <w:r w:rsidR="00FD749F">
        <w:t xml:space="preserve"> However,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365F4224" w14:textId="29C12AE4" w:rsidR="00A05D1F" w:rsidRDefault="00A05D1F" w:rsidP="00627A1D">
      <w:pPr>
        <w:spacing w:line="276" w:lineRule="auto"/>
      </w:pPr>
      <w:r>
        <w:tab/>
      </w:r>
      <w:r w:rsidR="00F17459">
        <w:t>This</w:t>
      </w:r>
      <w:r w:rsidR="00C0498B">
        <w:t xml:space="preserve"> outcome expectancy</w:t>
      </w:r>
      <w:r w:rsidR="00F17459">
        <w:t xml:space="preserve"> view also accounts for deficits in outcome devaluation following disruption of OFC function. In rats</w:t>
      </w:r>
      <w:r w:rsidR="00B1626C">
        <w:t xml:space="preserve"> and primates</w:t>
      </w:r>
      <w:r w:rsidR="00F17459">
        <w:t xml:space="preserve">, </w:t>
      </w:r>
      <w:r w:rsidR="00B1626C">
        <w:t>disruption of OFC function blocks</w:t>
      </w:r>
      <w:r w:rsidR="00F17459">
        <w:t xml:space="preserve"> the appropriate reduction in responding for a predicted reward that </w:t>
      </w:r>
      <w:r w:rsidR="00B1626C">
        <w:t>is no longer rewarding [REFS]. Indeed, this effect is still found when OFC function is disrupted immediately prior to test but after initial learning and the outcome has been devalued. This suggests that the OFC is involved in accessing the current value of expected outcomes and appropriately guiding behaviour rather than learning about changes in outcome value. Furthermore, in the rat this effect appears to selectively involve Pavlovian cue-outcome behaviour and not instrumental action-outcome behaviour [</w:t>
      </w:r>
      <w:r w:rsidR="00B1626C" w:rsidRPr="00B1626C">
        <w:rPr>
          <w:color w:val="FF0000"/>
        </w:rPr>
        <w:t>REFS</w:t>
      </w:r>
      <w:r w:rsidR="00B1626C">
        <w:t>].</w:t>
      </w:r>
    </w:p>
    <w:p w14:paraId="248BD914" w14:textId="12EABCE6" w:rsidR="009C209B" w:rsidRDefault="00825577" w:rsidP="00FF0402">
      <w:pPr>
        <w:spacing w:line="276" w:lineRule="auto"/>
        <w:rPr>
          <w:b/>
        </w:rPr>
      </w:pPr>
      <w:r>
        <w:rPr>
          <w:b/>
        </w:rPr>
        <w:t>Outcome expectancy for learning</w:t>
      </w:r>
    </w:p>
    <w:p w14:paraId="2CEAD391" w14:textId="79F3D723" w:rsidR="001107BC" w:rsidRDefault="00186165" w:rsidP="006D72B0">
      <w:pPr>
        <w:spacing w:line="276" w:lineRule="auto"/>
        <w:ind w:firstLine="360"/>
      </w:pPr>
      <w:r>
        <w:t xml:space="preserve">We have shown that the OFC is necessary for learning about cues that no longer signal reward in extinction procedures </w:t>
      </w:r>
      <w:r>
        <w:fldChar w:fldCharType="begin" w:fldLock="1"/>
      </w:r>
      <w:r w:rsidR="000749B8">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"prefix" : "replicating the findings of ", "uris" : [ "http://www.mendeley.com/documents/?uuid=db51b68b-b3eb-4226-bf3b-9475dc26dcee" ] } ], "mendeley" : { "formattedCitation" : "(replicating the findings of Panayi &amp; Killcross, 2014)", "plainTextFormattedCitation" : "(replicating the findings of Panayi &amp; Killcross, 2014)", "previouslyFormattedCitation" : "(replicating the findings of Panayi &amp; Killcross, 2014)" }, "properties" : { "noteIndex" : 0 }, "schema" : "https://github.com/citation-style-language/schema/raw/master/csl-citation.json" }</w:instrText>
      </w:r>
      <w:r>
        <w:fldChar w:fldCharType="separate"/>
      </w:r>
      <w:r w:rsidRPr="00BE289F">
        <w:rPr>
          <w:noProof/>
        </w:rPr>
        <w:t>(replicating the findings of Panayi &amp; Killcross, 2014)</w:t>
      </w:r>
      <w:r>
        <w:fldChar w:fldCharType="end"/>
      </w:r>
      <w:r>
        <w:t>. However, we have</w:t>
      </w:r>
      <w:r w:rsidR="006221ED">
        <w:t xml:space="preserve"> also</w:t>
      </w:r>
      <w:r>
        <w:t xml:space="preserve"> shown that the parameters used in this extinction</w:t>
      </w:r>
      <w:r w:rsidR="006221ED">
        <w:t xml:space="preserve"> procedure</w:t>
      </w:r>
      <w:r>
        <w:t xml:space="preserve"> do not generate significant conditioned inhibition to other cues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view of the OFC as 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D8799F">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"0033-295X (Print)\r0033-295X (Linking)", "PMID" : "7443916", "author" : [ { "dropping-particle" : "", "family" : "Pearce", "given" : "J M", "non-dropping-particle" : "", "parse-names" : false, "suffix" : "" }, { "dropping-particle" : "", "family" : "Hall", "given" : "G", "non-dropping-particle" : "", "parse-names" : false, "suffix" : "" } ], "container-title" : "Psychol Rev", "id" : "ITEM-2", "issue" : "6", "issued" : { "date-parts" : [ [ "1980" ] ] }, "page" : "532-552", "title" : "A model for Pavlovian learning: variations in the effectiveness of conditioned but not of unconditioned stimuli", "type" : "article-journal", "volume" : "87" }, "uris" : [ "http://www.mendeley.com/documents/?uuid=630e1394-4cb5-41e3-b44d-48cd97c253e9" ] }, { "id" : "ITEM-3", "itemData" : { "DOI" : "10.1037/h0076778", "author" : [ { "dropping-particle" : "", "family" : "Mackintosh", "given" : "N J", "non-dropping-particle" : "", "parse-names" : false, "suffix" : "" } ], "container-title" : "Psychol Rev", "id" : "ITEM-3", "issue" : "4", "issued" : { "date-parts" : [ [ "1975" ] ] }, "page" : "279-298", "title" : "A theory of attention: Variations in the associability of stimuli with reinforcement", "type" : "article-journal", "volume" : "82" }, "uris" : [ "http://www.mendeley.com/documents/?uuid=ad2071d9-ff93-481e-8cbb-9d2eadc2806e" ] } ], "mendeley" : { "formattedCitation" : "(Mackintosh, 1975; Pearce &amp; Hall, 1980; Rescorla &amp; Wagner, 1972)", "plainTextFormattedCitation" : "(Mackintosh, 1975; Pearce &amp; Hall, 1980; Rescorla &amp; Wagner, 1972)", "previouslyFormattedCitation" : "(Mackintosh, 1975; Pearce &amp; Hall, 1980; Rescorla &amp; Wagner, 1972)" }, "properties" : { "noteIndex" : 0 }, "schema" : "https://github.com/citation-style-language/schema/raw/master/csl-citation.json" }</w:instrText>
      </w:r>
      <w:r w:rsidR="004D6F95">
        <w:fldChar w:fldCharType="separate"/>
      </w:r>
      <w:r w:rsidR="004D6F95" w:rsidRPr="004D6F95">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4D6F95">
        <w:instrText>ADDIN CSL_CITATION { "citationItems" : [ { "id" : "ITEM-1", "itemData" : { "ISBN" : "0-585-02445-6", "author" : [ { "dropping-particle" : "", "family" : "Sutton", "given" : "R S", "non-dropping-particle" : "", "parse-names" : false, "suffix" : "" }, { "dropping-particle" : "", "family" : "Barto", "given" : "A G", "non-dropping-particle" : "", "parse-names" : false, "suffix" : "" } ], "id" : "ITEM-1", "issued" : { "date-parts" : [ [ "1998" ] ] }, "publisher" : "MIT Press", "publisher-place" : "Cambridge, MA", "title" : "Reinforcement Learning: An Introduction", "type" : "book" }, "uris" : [ "http://www.mendeley.com/documents/?uuid=9563b509-a133-4bc8-b4e3-3c7048057b8e" ] } ], "mendeley" : { "formattedCitation" : "(Sutton &amp; Barto, 1998)", "plainTextFormattedCitation" : "(Sutton &amp; Barto, 1998)", "previouslyFormattedCitation" : "(Sutton &amp; Barto, 1998)" }, "properties" : { "noteIndex" : 0 }, "schema" : "https://github.com/citation-style-language/schema/raw/master/csl-citation.json" }</w:instrText>
      </w:r>
      <w:r w:rsidR="004D6F95">
        <w:fldChar w:fldCharType="separate"/>
      </w:r>
      <w:r w:rsidR="004D6F95" w:rsidRPr="004D6F95">
        <w:rPr>
          <w:noProof/>
        </w:rPr>
        <w:t>(Sutton &amp; Barto, 1998)</w:t>
      </w:r>
      <w:r w:rsidR="004D6F95">
        <w:fldChar w:fldCharType="end"/>
      </w:r>
      <w:r w:rsidR="00135876">
        <w:t xml:space="preserve">. Prediction errors are the discrepancy between the expected value and the actual-experienced value </w:t>
      </w:r>
      <w:r w:rsidR="00135876">
        <w:lastRenderedPageBreak/>
        <w:t xml:space="preserve">of an outcome. Learning can therefore be </w:t>
      </w:r>
      <w:r w:rsidR="008E6621">
        <w:t>described</w:t>
      </w:r>
      <w:r w:rsidR="00135876">
        <w:t xml:space="preserve"> as a process of incrementally minimising </w:t>
      </w:r>
      <w:r w:rsidR="00D8799F">
        <w:t>errors in prediction</w:t>
      </w:r>
      <w:r w:rsidR="00135876">
        <w:t>.</w:t>
      </w:r>
      <w:r w:rsidR="00D8799F">
        <w:t xml:space="preserve"> Prediction error signals have been identified in the firing of mid-brain dopamine neurons </w:t>
      </w:r>
      <w:r w:rsidR="00D8799F">
        <w:fldChar w:fldCharType="begin" w:fldLock="1"/>
      </w:r>
      <w:r w:rsidR="00D8799F">
        <w:instrText>ADDIN CSL_CITATION { "citationItems" : [ { "id" : "ITEM-1",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"ITEM-1",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"id" : "ITEM-2", "itemData" : { "ISBN" : "1097-6256", "abstract" : "Many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 "author" : [ { "dropping-particle" : "", "family" : "Hollerman", "given" : "J R", "non-dropping-particle" : "", "parse-names" : false, "suffix" : "" }, { "dropping-particle" : "", "family" : "Schultz", "given" : "W", "non-dropping-particle" : "", "parse-names" : false, "suffix" : "" } ], "container-title" : "Nature Neuroscience", "id" : "ITEM-2", "issue" : "4", "issued" : { "date-parts" : [ [ "1998" ] ] }, "language" : "English", "note" : "127QD\nTimes Cited:499\nCited References Count:47", "page" : "304-309", "title" : "Dopamine neurons report an error in the temporal prediction of reward during learning", "type" : "article-journal", "volume" : "1" }, "uris" : [ "http://www.mendeley.com/documents/?uuid=58bcd826-452f-462b-b0ae-16ad293db70a" ] } ], "mendeley" : { "formattedCitation" : "(Hollerman &amp; Schultz, 1998; Schultz, 1998)", "plainTextFormattedCitation" : "(Hollerman &amp; Schultz, 1998; Schultz, 1998)", "previouslyFormattedCitation" : "(Hollerman &amp; Schultz, 1998; Schultz, 1998)" }, "properties" : { "noteIndex" : 0 }, "schema" : "https://github.com/citation-style-language/schema/raw/master/csl-citation.json" }</w:instrText>
      </w:r>
      <w:r w:rsidR="00D8799F">
        <w:fldChar w:fldCharType="separate"/>
      </w:r>
      <w:r w:rsidR="00D8799F" w:rsidRPr="00D8799F">
        <w:rPr>
          <w:noProof/>
        </w:rPr>
        <w:t>(Hollerman &amp; Schultz, 1998; Schultz, 1998)</w:t>
      </w:r>
      <w:r w:rsidR="00D8799F">
        <w:fldChar w:fldCharType="end"/>
      </w:r>
      <w:r w:rsidR="00444FA9">
        <w:t xml:space="preserve"> </w:t>
      </w:r>
      <w:r w:rsidR="00D8799F">
        <w:t xml:space="preserve"> and have been causally linked to learning </w:t>
      </w:r>
      <w:r w:rsidR="00D8799F">
        <w:fldChar w:fldCharType="begin" w:fldLock="1"/>
      </w:r>
      <w:r w:rsidR="0016696B">
        <w:instrText>ADDIN CSL_CITATION { "citationItems" : [ { "id" : "ITEM-1", "itemData" : { "DOI" : "10.1038/nn.3413", "ISBN" : "1546-1726 (Electronic)\r1097-6256 (Linking)", "PMID" : "23708143", "author" : [ { "dropping-particle" : "", "family" : "Steinberg", "given" : "E E", "non-dropping-particle" : "", "parse-names" : false, "suffix" : "" }, { "dropping-particle" : "", "family" : "Keiflin", "given" : "R", "non-dropping-particle" : "", "parse-names" : false, "suffix" : "" }, { "dropping-particle" : "", "family" : "Boivin", "given" : "J R", "non-dropping-particle" : "", "parse-names" : false, "suffix" : "" }, { "dropping-particle" : "", "family" : "Witten", "given" : "I B", "non-dropping-particle" : "", "parse-names" : false, "suffix" : "" }, { "dropping-particle" : "", "family" : "Deisseroth", "given" : "K", "non-dropping-particle" : "", "parse-names" : false, "suffix" : "" }, { "dropping-particle" : "", "family" : "Janak", "given" : "P H", "non-dropping-particle" : "", "parse-names" : false, "suffix" : "" } ], "container-title" : "Nature Neuroscience", "id" : "ITEM-1", "issue" : "7", "issued" : { "date-parts" : [ [ "2013" ] ] }, "page" : "966-973", "title" : "A causal link between prediction errors, dopamine neurons and learning", "type" : "article-journal", "volume" : "16" }, "uris" : [ "http://www.mendeley.com/documents/?uuid=721f625d-09d6-42e2-82ad-124b5a1bfbdf" ] } ], "mendeley" : { "formattedCitation" : "(Steinberg et al., 2013)", "plainTextFormattedCitation" : "(Steinberg et al., 2013)", "previouslyFormattedCitation" : "(Steinberg et al., 2013)" }, "properties" : { "noteIndex" : 0 }, "schema" : "https://github.com/citation-style-language/schema/raw/master/csl-citation.json" }</w:instrText>
      </w:r>
      <w:r w:rsidR="00D8799F">
        <w:fldChar w:fldCharType="separate"/>
      </w:r>
      <w:r w:rsidR="00D8799F" w:rsidRPr="00D8799F">
        <w:rPr>
          <w:noProof/>
        </w:rPr>
        <w:t>(Steinberg et al., 2013)</w:t>
      </w:r>
      <w:r w:rsidR="00D8799F">
        <w:fldChar w:fldCharType="end"/>
      </w:r>
      <w:r w:rsidR="00D8799F">
        <w:t>. 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[REFS]. </w:t>
      </w:r>
    </w:p>
    <w:p w14:paraId="70BA4D5B" w14:textId="7417CFE9" w:rsidR="00E212FD" w:rsidRDefault="00E212FD" w:rsidP="006D72B0">
      <w:pPr>
        <w:spacing w:line="276" w:lineRule="auto"/>
        <w:ind w:firstLine="360"/>
      </w:pPr>
      <w:r>
        <w:t>To account for intact initial learning of tasks following OFC damage, c</w:t>
      </w:r>
      <w:r w:rsidR="007066B9">
        <w:t>urrent theor</w:t>
      </w:r>
      <w:r w:rsidR="00A93677">
        <w:t xml:space="preserve">ies of OFC function [REFS]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A30A15">
        <w:instrText>ADDIN CSL_CITATION { "citationItems" : [ { "id" : "ITEM-1", "itemData" : { "author" : [ { "dropping-particle" : "", "family" : "Dickinson", "given" : "A", "non-dropping-particle" : "", "parse-names" : false, "suffix" : "" }, { "dropping-particle" : "", "family" : "Dearing", "given" : "M F", "non-dropping-particle" : "", "parse-names" : false, "suffix" : "" } ], "chapter-number" : "8",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"203-232", "publisher" : "Lawrence Erlbaum Associates", "publisher-place" : "Hillsdale, New Jersey", "title" : "Appetitive-aversive interactions and inhibitory processes", "type" : "chapter" }, "uris" : [ "http://www.mendeley.com/documents/?uuid=dd0d9e98-2b0a-4122-bb19-d9b35f6ccf3b" ] }, { "id" : "ITEM-2", "itemData" : { "author" : [ { "dropping-particle" : "", "family" : "Wagner", "given" : "A R", "non-dropping-particle" : "", "parse-names" : false, "suffix" : "" }, { "dropping-particle" : "", "family" : "Brandon", "given" : "S E", "non-dropping-particle" : "", "parse-names" : false, "suffix" : "" } ], "container-title" : "Contemporary learning theories: Pavliocian conditioning and the status of tradional learning theories", "editor" : [ { "dropping-particle" : "", "family" : "Klein", "given" : "S B", "non-dropping-particle" : "", "parse-names" : false, "suffix" : "" }, { "dropping-particle" : "", "family" : "Mowrer", "given" : "R R", "non-dropping-particle" : "", "parse-names" : false, "suffix" : "" } ], "id" : "ITEM-2", "issued" : { "date-parts" : [ [ "1989" ] ] }, "page" : "149-189", "publisher" : "Lawrence Erlbaum", "publisher-place" : "Hillsdale, NJ", "title" : "Evolution of a Structured ConnectionistModel of Pavlovian Conditioning (AESOP)", "type" : "chapter" }, "uris" : [ "http://www.mendeley.com/documents/?uuid=760bda67-542f-4d0a-9051-9cbc97b4ba82" ] } ], "mendeley" : { "formattedCitation" : "(Dickinson &amp; Dearing, 1979; Wagner &amp; Brandon, 1989)", "plainTextFormattedCitation" : "(Dickinson &amp; Dearing, 1979; Wagner &amp; Brandon, 1989)", "previouslyFormattedCitation" : "(Dickinson &amp; Dearing, 1979; Wagner &amp; Brandon, 1989)" }, "properties" : { "noteIndex" : 0 }, "schema" : "https://github.com/citation-style-language/schema/raw/master/csl-citation.json" }</w:instrText>
      </w:r>
      <w:r w:rsidR="000749B8">
        <w:fldChar w:fldCharType="separate"/>
      </w:r>
      <w:r w:rsidR="000749B8" w:rsidRPr="000749B8">
        <w:rPr>
          <w:noProof/>
        </w:rPr>
        <w:t>(Dickinson &amp; Dearing, 1979; Wagner &amp; Brandon, 1989)</w:t>
      </w:r>
      <w:r w:rsidR="000749B8">
        <w:fldChar w:fldCharType="end"/>
      </w:r>
      <w:r w:rsidR="00B55066">
        <w:t>.</w:t>
      </w:r>
      <w:r>
        <w:t xml:space="preserve"> The OFC is argued to represent outcome expectancy information about the sensory 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the task depends on representing the specific properties of the outcome, such as when a specific outcome is devalued, </w:t>
      </w:r>
      <w:proofErr w:type="gramStart"/>
      <w:r w:rsidR="00F63FD5">
        <w:t>then</w:t>
      </w:r>
      <w:proofErr w:type="gramEnd"/>
      <w:r w:rsidR="00F63FD5">
        <w:t xml:space="preserve"> </w:t>
      </w:r>
      <w:r w:rsidR="007C013D">
        <w:t>OFC function is necessary for correct performance</w:t>
      </w:r>
      <w:r w:rsidR="00F63FD5">
        <w:t xml:space="preserve"> [</w:t>
      </w:r>
      <w:r w:rsidR="00F63FD5" w:rsidRPr="00F63FD5">
        <w:rPr>
          <w:color w:val="FF0000"/>
        </w:rPr>
        <w:t>REFS</w:t>
      </w:r>
      <w:r w:rsidR="00F63FD5">
        <w:t>]</w:t>
      </w:r>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AE381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0627A">
        <w:fldChar w:fldCharType="separate"/>
      </w:r>
      <w:r w:rsidR="0040627A" w:rsidRPr="0040627A">
        <w:rPr>
          <w:noProof/>
        </w:rPr>
        <w:t>(Panayi &amp; Killcross, 2014)</w:t>
      </w:r>
      <w:r w:rsidR="0040627A">
        <w:fldChar w:fldCharType="end"/>
      </w:r>
      <w:r w:rsidR="0040627A">
        <w:t>.</w:t>
      </w:r>
    </w:p>
    <w:p w14:paraId="64EDCC5A" w14:textId="77777777" w:rsidR="00E212FD" w:rsidRDefault="00E212FD" w:rsidP="006D72B0">
      <w:pPr>
        <w:spacing w:line="276" w:lineRule="auto"/>
        <w:ind w:firstLine="360"/>
      </w:pPr>
    </w:p>
    <w:p w14:paraId="1F9F167B" w14:textId="357FE8E6" w:rsidR="00B961F0" w:rsidRDefault="00F50AF4" w:rsidP="005F7E97">
      <w:pPr>
        <w:spacing w:line="276" w:lineRule="auto"/>
        <w:ind w:firstLine="360"/>
      </w:pPr>
      <w:r>
        <w:t>To account for the role of the OFC in tasks such as outcome devaluation and extinction, a more recent approach has been to associate OFC function with model-based reinforcement learning theories</w:t>
      </w:r>
      <w:r w:rsidR="00221CDD">
        <w:t xml:space="preserve"> </w:t>
      </w:r>
      <w:r w:rsidR="00221CDD">
        <w:fldChar w:fldCharType="begin" w:fldLock="1"/>
      </w:r>
      <w:r w:rsidR="00DF5208">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"id" : "ITEM-2",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"ITEM-2",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"ITEM-3", "itemData" : { "author" : [ { "dropping-particle" : "", "family" : "McDannald", "given" : "M", "non-dropping-particle" : "", "parse-names" : false, "suffix" : "" }, { "dropping-particle" : "", "family" : "Takahashi", "given" : "Y K", "non-dropping-particle" : "", "parse-names" : false, "suffix" : "" }, { "dropping-particle" : "", "family" : "Lopatina", "given" : "N", "non-dropping-particle" : "", "parse-names" : false, "suffix" : "" }, { "dropping-particle" : "", "family" : "Pietras", "given" : "B W", "non-dropping-particle" : "", "parse-names" : false, "suffix" : "" }, { "dropping-particle" : "", "family" : "Jones", "given" : "J L", "non-dropping-particle" : "", "parse-names" : false, "suffix" : "" }, { "dropping-particle" : "", "family" : "Schoenbaum", "given" : "G", "non-dropping-particle" : "", "parse-names" : false, "suffix" : "" } ], "container-title" : "European Journal of Neuroscience", "id" : "ITEM-3", "issued" : { "date-parts" : [ [ "2012" ] ] }, "page" : "991-996", "title" : "Model-based learning and the contribution of the orbitofrontal cortex to the model-free world", "type" : "article-journal", "volume" : "35" }, "uris" : [ "http://www.mendeley.com/documents/?uuid=ef015d81-c0f3-467a-a0b8-54b8f4a1bf93" ] }, { "id" : "ITEM-4",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"ITEM-4", "issued" : { "date-parts" : [ [ "2011" ] ] }, "page" : "2700-2705", "title" : "Ventral striatum and orbitofrontal cortex are both required for model-based, but not model-free, reinforcement learning", "type" : "article-journal", "volume" : "31" }, "uris" : [ "http://www.mendeley.com/documents/?uuid=fd72c0c0-95bc-4b3c-b673-02f000ff2455" ] }, { "id" : "ITEM-5",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"ITEM-5",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M. A. McDannald et al., 2011; M. McDannald et al., 2012; Takahashi et al., 2011; Wilson et al., 2014)", "plainTextFormattedCitation" : "(Keiflin, Reese, Woods, &amp; Janak, 2013; M. A. McDannald et al., 2011; M. McDannald et al., 2012; Takahashi et al., 2011; Wilson et al., 2014)", "previouslyFormattedCitation" : "(Keiflin, Reese, Woods, &amp; Janak, 2013; M. A. McDannald et al., 2011; M. McDannald et al., 2012; Takahashi et al., 2011; Wilson et al., 2014)" }, "properties" : { "noteIndex" : 0 }, "schema" : "https://github.com/citation-style-language/schema/raw/master/csl-citation.json" }</w:instrText>
      </w:r>
      <w:r w:rsidR="00221CDD">
        <w:fldChar w:fldCharType="separate"/>
      </w:r>
      <w:r w:rsidR="00221CDD" w:rsidRPr="00221CDD">
        <w:rPr>
          <w:noProof/>
        </w:rPr>
        <w:t>(Keiflin, Reese, Woods, &amp; Janak, 2013; M. A. McDannald et al., 2011; M. McDannald et al., 2012; Takahashi et al., 2011; Wilson et al., 2014)</w:t>
      </w:r>
      <w:r w:rsidR="00221CDD">
        <w:fldChar w:fldCharType="end"/>
      </w:r>
      <w:r>
        <w:t xml:space="preserve">. Similar to the sensory-specific/general-motivational distinction, </w:t>
      </w:r>
      <w:r w:rsidR="000749B8">
        <w:t xml:space="preserve">reinforcement learning </w:t>
      </w:r>
      <w:r>
        <w:t xml:space="preserve">distinguishes </w:t>
      </w:r>
      <w:r w:rsidR="000749B8">
        <w:t xml:space="preserve">between model-based, sensory rich learning about task structure and specific reward properties, and model-free, simpler learning about </w:t>
      </w:r>
      <w:r w:rsidR="007F2E7A">
        <w:t xml:space="preserve">non-specific </w:t>
      </w:r>
      <w:r w:rsidR="000749B8">
        <w:t>average reward rates associated with cues or actions</w:t>
      </w:r>
      <w:r w:rsidR="00A30A15">
        <w:t xml:space="preserve"> </w:t>
      </w:r>
      <w:r w:rsidR="00A30A15">
        <w:fldChar w:fldCharType="begin" w:fldLock="1"/>
      </w:r>
      <w:r w:rsidR="0040627A">
        <w:instrText>ADDIN CSL_CITATION { "citationItems" : [ { "id" : "ITEM-1", "itemData" : { "DOI" : "10.1038/nn1560", "ISSN" : "1097-6256", "PMID" : "16286932", "abstract" : "A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 "author" : [ { "dropping-particle" : "", "family" : "Daw", "given" : "Nathaniel D", "non-dropping-particle" : "", "parse-names" : false, "suffix" : "" }, { "dropping-particle" : "", "family" : "Niv", "given" : "Yael", "non-dropping-particle" : "", "parse-names" : false, "suffix" : "" }, { "dropping-particle" : "", "family" : "Dayan", "given" : "Peter", "non-dropping-particle" : "", "parse-names" : false, "suffix" : "" } ], "container-title" : "Nature neuroscience", "id" : "ITEM-1", "issue" : "12", "issued" : { "date-parts" : [ [ "2005", "12" ] ] }, "page" : "1704-11", "title" : "Uncertainty-based competition between prefrontal and dorsolateral striatal systems for behavioral control.", "type" : "article-journal", "volume" : "8" }, "uris" : [ "http://www.mendeley.com/documents/?uuid=56134d51-c8f6-4fe3-87dc-976972bf35a6" ] } ], "mendeley" : { "formattedCitation" : "(Daw, Niv, &amp; Dayan, 2005)", "plainTextFormattedCitation" : "(Daw, Niv, &amp; Dayan, 2005)", "previouslyFormattedCitation" : "(Daw, Niv, &amp; Dayan, 2005)" }, "properties" : { "noteIndex" : 0 }, "schema" : "https://github.com/citation-style-language/schema/raw/master/csl-citation.json" }</w:instrText>
      </w:r>
      <w:r w:rsidR="00A30A15">
        <w:fldChar w:fldCharType="separate"/>
      </w:r>
      <w:r w:rsidR="00A30A15" w:rsidRPr="00A30A15">
        <w:rPr>
          <w:noProof/>
        </w:rPr>
        <w:t>(Daw, Niv, &amp; Dayan, 2005)</w:t>
      </w:r>
      <w:r w:rsidR="00A30A15">
        <w:fldChar w:fldCharType="end"/>
      </w:r>
      <w:r w:rsidR="000749B8">
        <w:t xml:space="preserve">. </w:t>
      </w:r>
      <w:r>
        <w:t>The possibility that the OFC is involved in model-based learning extends the scope of OFC function to include representing task structure as well as specific properties of outcomes.</w:t>
      </w:r>
      <w:r w:rsidR="00AE381C">
        <w:t xml:space="preserve"> </w:t>
      </w:r>
    </w:p>
    <w:p w14:paraId="721BA675" w14:textId="7D4FF1E2" w:rsidR="00BC17B9" w:rsidRDefault="00AE381C" w:rsidP="003E3618">
      <w:pPr>
        <w:spacing w:line="276" w:lineRule="auto"/>
        <w:ind w:firstLine="360"/>
      </w:pPr>
      <w:r>
        <w:t xml:space="preserve">Recently </w:t>
      </w:r>
      <w:r>
        <w:fldChar w:fldCharType="begin" w:fldLock="1"/>
      </w:r>
      <w:r w:rsidR="00221CD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AE381C">
        <w:rPr>
          <w:noProof/>
        </w:rPr>
        <w:t>(Wilson et al., 2014)</w:t>
      </w:r>
      <w:r>
        <w:fldChar w:fldCharType="end"/>
      </w:r>
      <w:r>
        <w:t xml:space="preserve"> have modelled deficits in extinction following OFC damage as a deficit in representing a change in the task based on latent information such as associative history rather than explicit environmental cues. Therefore, </w:t>
      </w:r>
      <w:r w:rsidR="00CA533A">
        <w:t>with an intact OFC subjects detect that the rate of reinforcement has changed during an extinction session and create</w:t>
      </w:r>
      <w:bookmarkStart w:id="2" w:name="_GoBack"/>
      <w:bookmarkEnd w:id="2"/>
      <w:r w:rsidR="00CA533A">
        <w:t xml:space="preserve"> a new task state representation in which new context</w:t>
      </w:r>
      <w:r w:rsidR="00992C85">
        <w:t>-</w:t>
      </w:r>
      <w:r w:rsidR="00CA533A">
        <w:t>specific inhibitory learning can be acquired.</w:t>
      </w:r>
      <w:r w:rsidR="00992C85">
        <w:t xml:space="preserve"> </w:t>
      </w:r>
      <w:r w:rsidR="00343810">
        <w:t>In the absence of a functioning OFC, the subject fails to use internal information about the associative history of the cue to generate a new task state, and directly modifies the original acquisition memory. Therefore, extinction learning in the absence of OFC function is modelled as erasure of the original learning rather than new context specific inhibitory learning.</w:t>
      </w:r>
      <w:r w:rsidR="005F7E97">
        <w:t xml:space="preserve"> However, the </w:t>
      </w:r>
      <w:r w:rsidR="00E21FFA">
        <w:t>present findings showing that OFC inactivation increases the rate of within-session extinction and disrupts between session extinction do not fit this model.</w:t>
      </w:r>
      <w:r w:rsidR="00216E01">
        <w:t xml:space="preserve"> Furthermore, the disruption of discriminative behaviour during the A+/AX- discrimination is at odds with the model which predicts that the</w:t>
      </w:r>
      <w:r w:rsidR="00221CDD">
        <w:t xml:space="preserve"> availability of external cues, </w:t>
      </w:r>
      <w:r w:rsidR="00216E01">
        <w:t xml:space="preserve">such as the physical presence of cue X in the AX- </w:t>
      </w:r>
      <w:r w:rsidR="00221CDD">
        <w:t>compound,</w:t>
      </w:r>
      <w:r w:rsidR="00216E01">
        <w:t xml:space="preserve"> should not be dependent on the OFC.</w:t>
      </w:r>
      <w:r w:rsidR="00E21FFA">
        <w:t xml:space="preserve"> </w:t>
      </w:r>
    </w:p>
    <w:p w14:paraId="11950388" w14:textId="48D62814" w:rsidR="00825577" w:rsidRDefault="009B479C" w:rsidP="00825577">
      <w:pPr>
        <w:spacing w:line="276" w:lineRule="auto"/>
      </w:pPr>
      <w:r>
        <w:rPr>
          <w:b/>
        </w:rPr>
        <w:lastRenderedPageBreak/>
        <w:t>Anatomical considerations</w:t>
      </w:r>
    </w:p>
    <w:p w14:paraId="66812184" w14:textId="47B06FBE" w:rsidR="00825577" w:rsidRDefault="00BE2C0D" w:rsidP="00825577">
      <w:pPr>
        <w:spacing w:line="276" w:lineRule="auto"/>
      </w:pPr>
      <w:r>
        <w:tab/>
      </w:r>
      <w:r w:rsidR="007C33CA">
        <w:t>A further consideration is the designation of a number of regions</w:t>
      </w:r>
      <w:r>
        <w:t xml:space="preserve"> as OFC, however there is mounting evidence that these subregions are functionally heterogeneous in rodents and primates [</w:t>
      </w:r>
      <w:r w:rsidRPr="00770DB4">
        <w:rPr>
          <w:color w:val="FF0000"/>
        </w:rPr>
        <w:t>REFS</w:t>
      </w:r>
      <w:r>
        <w:t xml:space="preserve">]. Cannula tips were </w:t>
      </w:r>
      <w:r w:rsidR="00770DB4">
        <w:t>restricted to</w:t>
      </w:r>
      <w:r>
        <w:t xml:space="preserve"> the anterior portion of the lateral OFC in the present studies.</w:t>
      </w:r>
      <w:r w:rsidR="00DF5208">
        <w:t xml:space="preserve"> This is in contrast to the majority of rodent OFC studies that target the posterior portion of the lateral OFC with </w:t>
      </w:r>
      <w:proofErr w:type="spellStart"/>
      <w:r w:rsidR="00DF5208">
        <w:t>cannulae</w:t>
      </w:r>
      <w:proofErr w:type="spellEnd"/>
      <w:r w:rsidR="00DF5208">
        <w:t xml:space="preserve"> and neural recording probes [</w:t>
      </w:r>
      <w:r w:rsidR="00DF5208" w:rsidRPr="00DF5208">
        <w:rPr>
          <w:color w:val="FF0000"/>
        </w:rPr>
        <w:t>REFS</w:t>
      </w:r>
      <w:r w:rsidR="00DF5208">
        <w:t xml:space="preserve">] or </w:t>
      </w:r>
      <w:proofErr w:type="spellStart"/>
      <w:r w:rsidR="00DF5208">
        <w:t>excitotoxic</w:t>
      </w:r>
      <w:proofErr w:type="spellEnd"/>
      <w:r w:rsidR="00DF5208">
        <w:t xml:space="preserve"> lesion studies that encompass lateral OFC, ventral OFC and </w:t>
      </w:r>
      <w:proofErr w:type="spellStart"/>
      <w:r w:rsidR="00DF5208">
        <w:t>agranular</w:t>
      </w:r>
      <w:proofErr w:type="spellEnd"/>
      <w:r w:rsidR="00DF5208">
        <w:t xml:space="preserve"> insular cortex [</w:t>
      </w:r>
      <w:r w:rsidR="00DF5208" w:rsidRPr="00DF5208">
        <w:rPr>
          <w:color w:val="FF0000"/>
        </w:rPr>
        <w:t>REFS</w:t>
      </w:r>
      <w:r w:rsidR="00DF5208">
        <w:t xml:space="preserve">]. Rodent ventral and lateral OFC are functionally dissociable from the medial OFC </w:t>
      </w:r>
      <w:r w:rsidR="00DF5208">
        <w:fldChar w:fldCharType="begin" w:fldLock="1"/>
      </w:r>
      <w:r w:rsidR="00DF5208">
        <w:instrText>ADDIN CSL_CITATION { "citationItems" : [ { "id" : "ITEM-1",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"ITEM-1",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"mendeley" : { "formattedCitation" : "(Mar, Walker, Theobald, Eagle, &amp; Robbins, 2011)", "plainTextFormattedCitation" : "(Mar, Walker, Theobald, Eagle, &amp; Robbins, 2011)", "previouslyFormattedCitation" : "(Mar, Walker, Theobald, Eagle, &amp; Robbins, 2011)" }, "properties" : { "noteIndex" : 0 }, "schema" : "https://github.com/citation-style-language/schema/raw/master/csl-citation.json" }</w:instrText>
      </w:r>
      <w:r w:rsidR="00DF5208">
        <w:fldChar w:fldCharType="separate"/>
      </w:r>
      <w:r w:rsidR="00DF5208" w:rsidRPr="00DF5208">
        <w:rPr>
          <w:noProof/>
        </w:rPr>
        <w:t>(Mar, Walker, Theobald, Eagle, &amp; Robbins, 2011)</w:t>
      </w:r>
      <w:r w:rsidR="00DF5208">
        <w:fldChar w:fldCharType="end"/>
      </w:r>
      <w:r w:rsidR="00DF5208">
        <w:t xml:space="preserve">, and ventral OFC appears dissociable to lateral OFC </w:t>
      </w:r>
      <w:r w:rsidR="00DF5208">
        <w:fldChar w:fldCharType="begin" w:fldLock="1"/>
      </w:r>
      <w:r w:rsidR="00520BB2">
        <w:instrText>ADDIN CSL_CITATION { "citationItems" : [ { "id" : "ITEM-1",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"ITEM-1",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"id" : "ITEM-2", "itemData" : { "DOI" : "Doi 10.1016/0166-4328(94)90010-8", "ISBN" : "0166-4328", "abstract" : "Previous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 "author" : [ { "dropping-particle" : "V", "family" : "Corwin", "given" : "J", "non-dropping-particle" : "", "parse-names" : false, "suffix" : "" }, { "dropping-particle" : "", "family" : "Fussinger", "given" : "M", "non-dropping-particle" : "", "parse-names" : false, "suffix" : "" }, { "dropping-particle" : "", "family" : "Meyer", "given" : "R C", "non-dropping-particle" : "", "parse-names" : false, "suffix" : "" }, { "dropping-particle" : "", "family" : "King", "given" : "V R", "non-dropping-particle" : "", "parse-names" : false, "suffix" : "" }, { "dropping-particle" : "", "family" : "Reep", "given" : "R L", "non-dropping-particle" : "", "parse-names" : false, "suffix" : "" } ], "container-title" : "Behavioural Brain Research", "id" : "ITEM-2", "issue" : "1", "issued" : { "date-parts" : [ [ "1994" ] ] }, "language" : "English", "note" : "Ne286\nTimes Cited:39\nCited References Count:30", "page" : "79-86", "title" : "Bilateral Destruction of the Ventrolateral Orbital Cortex Produces Allocentric but Not Egocentric Spatial Deficits in Rats", "type" : "article-journal", "volume" : "61" }, "uris" : [ "http://www.mendeley.com/documents/?uuid=bdd86f4f-f99b-42bb-b479-52ed3aaa622e" ] } ], "mendeley" : { "formattedCitation" : "(Balleine, Leung, &amp; Ostlund, 2011; Corwin, Fussinger, Meyer, King, &amp; Reep, 1994)", "plainTextFormattedCitation" : "(Balleine, Leung, &amp; Ostlund, 2011; Corwin, Fussinger, Meyer, King, &amp; Reep, 1994)", "previouslyFormattedCitation" : "(Balleine, Leung, &amp; Ostlund, 2011; Corwin, Fussinger, Meyer, King, &amp; Reep, 1994)" }, "properties" : { "noteIndex" : 0 }, "schema" : "https://github.com/citation-style-language/schema/raw/master/csl-citation.json" }</w:instrText>
      </w:r>
      <w:r w:rsidR="00DF5208">
        <w:fldChar w:fldCharType="separate"/>
      </w:r>
      <w:r w:rsidR="00DF5208" w:rsidRPr="00DF5208">
        <w:rPr>
          <w:noProof/>
        </w:rPr>
        <w:t>(Balleine, Leung, &amp; Ostlund, 2011; Corwin, Fussinger, Meyer, King, &amp; Reep, 1994)</w:t>
      </w:r>
      <w:r w:rsidR="00DF5208">
        <w:fldChar w:fldCharType="end"/>
      </w:r>
      <w:r w:rsidR="00DF5208">
        <w:t>.  Functional heterogeneity in primates has also b</w:t>
      </w:r>
      <w:r w:rsidR="00520BB2">
        <w:t xml:space="preserve">een shown between Walker’s areas 11, 12 and 13 </w:t>
      </w:r>
      <w:r w:rsidR="00520BB2">
        <w:fldChar w:fldCharType="begin" w:fldLock="1"/>
      </w:r>
      <w:r w:rsidR="00E43CB5">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"ITEM-2",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"ITEM-3", "itemData" : { "author" : [ { "dropping-particle" : "", "family" : "Noonan", "given" : "M P", "non-dropping-particle" : "", "parse-names" : false, "suffix" : "" }, { "dropping-particle" : "", "family" : "Walton", "given" : "M E", "non-dropping-particle" : "", "parse-names" : false, "suffix" : "" }, { "dropping-particle" : "", "family" : "Behrens", "given" : "T E", "non-dropping-particle" : "", "parse-names" : false, "suffix" : "" }, { "dropping-particle" : "", "family" : "Sallet", "given" : "J", "non-dropping-particle" : "", "parse-names" : false, "suffix" : "" }, { "dropping-particle" : "", "family" : "Buckley", "given" : "M J", "non-dropping-particle" : "", "parse-names" : false, "suffix" : "" }, { "dropping-particle" : "", "family" : "Rushworth", "given" : "M F", "non-dropping-particle" : "", "parse-names" : false, "suffix" : "" } ], "container-title" : "Proceedings of the National Academy of Science", "id" : "ITEM-3", "issued" : { "date-parts" : [ [ "2010" ] ] }, "page" : "20547-20552", "title" : "Separate value comparison and learning mechanisms in macaque medial and lateral orbitofrontal cortex", "type" : "article-journal", "volume" : "107" }, "uris" : [ "http://www.mendeley.com/documents/?uuid=d0567467-afd1-4cc1-b7bb-9967b5cc1af6" ] }, { "id" : "ITEM-4", "itemData" : { "DOI" : "10.1016/j.neuron.2010.02.027", "ISBN" : "1097-4199 (Electronic)\r0896-6273 (Linking)", "PMID" : "20346766", "abstract" : "Orbitofrontal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 "author" : [ { "dropping-particle" : "", "family" : "Walton", "given" : "M E", "non-dropping-particle" : "", "parse-names" : false, "suffix" : "" }, { "dropping-particle" : "", "family" : "Behrens", "given" : "T E", "non-dropping-particle" : "", "parse-names" : false, "suffix" : "" }, { "dropping-particle" : "", "family" : "Buckley", "given" : "M J", "non-dropping-particle" : "", "parse-names" : false, "suffix" : "" }, { "dropping-particle" : "", "family" : "Rudebeck", "given" : "P H", "non-dropping-particle" : "", "parse-names" : false, "suffix" : "" }, { "dropping-particle" : "", "family" : "Rushworth", "given" : "M F", "non-dropping-particle" : "", "parse-names" : false, "suffix" : "" } ], "container-title" : "Neuron", "id" : "ITEM-4", "issue" : "6", "issued" : { "date-parts" : [ [ "2010" ] ] }, "note" : "Walton,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 "page" : "927-939", "title" : "Separable learning systems in the macaque brain and the role of orbitofrontal cortex in contingent learning", "type" : "article-journal", "volume" : "65" }, "uris" : [ "http://www.mendeley.com/documents/?uuid=ecfd4cc3-38d7-4ee3-9aed-35d344ad669c" ] } ], "mendeley" : { "formattedCitation" : "(Elisabeth A Murray et al., 2015; Noonan et al., 2010; Rudebeck &amp; Murray, 2011a; M E Walton, Behrens, Buckley, Rudebeck, &amp; Rushworth, 2010)", "plainTextFormattedCitation" : "(Elisabeth A Murray et al., 2015; Noonan et al., 2010; Rudebeck &amp; Murray, 2011a; M E Walton, Behrens, Buckley, Rudebeck, &amp; Rushworth, 2010)", "previouslyFormattedCitation" : "(Elisabeth A Murray et al., 2015; Noonan et al., 2010; Rudebeck &amp; Murray, 2011a; M E Walton, Behrens, Buckley, Rudebeck, &amp; Rushworth, 2010)" }, "properties" : { "noteIndex" : 0 }, "schema" : "https://github.com/citation-style-language/schema/raw/master/csl-citation.json" }</w:instrText>
      </w:r>
      <w:r w:rsidR="00520BB2">
        <w:fldChar w:fldCharType="separate"/>
      </w:r>
      <w:r w:rsidR="00520BB2" w:rsidRPr="00520BB2">
        <w:rPr>
          <w:noProof/>
        </w:rPr>
        <w:t>(Elisabeth A Murray et al., 2015; Noonan et al., 2010; Rudebeck &amp; Murray, 2011a; M E Walton, Behrens, Buckley, Rudebeck, &amp; Rushworth, 2010)</w:t>
      </w:r>
      <w:r w:rsidR="00520BB2">
        <w:fldChar w:fldCharType="end"/>
      </w:r>
      <w:r w:rsidR="00520BB2">
        <w:t xml:space="preserve">. </w:t>
      </w:r>
      <w:r w:rsidR="007C33CA">
        <w:t>It is therefore important to start discriminating between OFC subregions when characterising the function of the OFC and attempting to establish homologous regions between species.</w:t>
      </w:r>
    </w:p>
    <w:p w14:paraId="2EDCC165" w14:textId="65F4079F" w:rsidR="0022235F" w:rsidRPr="00825577" w:rsidRDefault="0022235F" w:rsidP="00825577">
      <w:pPr>
        <w:spacing w:line="276" w:lineRule="auto"/>
      </w:pPr>
      <w:r>
        <w:tab/>
      </w:r>
    </w:p>
    <w:p w14:paraId="360624B8" w14:textId="7FD46CD4" w:rsidR="00071D72" w:rsidRDefault="00071D72" w:rsidP="00071D72">
      <w:pPr>
        <w:pStyle w:val="ListParagraph"/>
        <w:numPr>
          <w:ilvl w:val="0"/>
          <w:numId w:val="4"/>
        </w:numPr>
        <w:spacing w:line="276" w:lineRule="auto"/>
      </w:pPr>
      <w:r>
        <w:t>Describe outcome expectancy hypothesis</w:t>
      </w:r>
    </w:p>
    <w:p w14:paraId="53124B02" w14:textId="08AB7774" w:rsidR="00071D72" w:rsidRDefault="00071D72" w:rsidP="00071D72">
      <w:pPr>
        <w:pStyle w:val="ListParagraph"/>
        <w:numPr>
          <w:ilvl w:val="1"/>
          <w:numId w:val="4"/>
        </w:numPr>
        <w:spacing w:line="276" w:lineRule="auto"/>
      </w:pPr>
      <w:r>
        <w:t>Argue that there are 2 variants: Involved in prediction</w:t>
      </w:r>
      <w:r w:rsidR="00BA525E">
        <w:t xml:space="preserve"> errors vs only involved in behavioural control</w:t>
      </w:r>
    </w:p>
    <w:p w14:paraId="29B796AE" w14:textId="25F5FD30" w:rsidR="0066326A" w:rsidRDefault="0066326A" w:rsidP="0066326A">
      <w:pPr>
        <w:pStyle w:val="ListParagraph"/>
        <w:numPr>
          <w:ilvl w:val="2"/>
          <w:numId w:val="4"/>
        </w:numPr>
        <w:spacing w:line="276" w:lineRule="auto"/>
      </w:pPr>
      <w:r>
        <w:t xml:space="preserve">VTA signalling, </w:t>
      </w:r>
      <w:proofErr w:type="spellStart"/>
      <w:r>
        <w:t>schoenbaum</w:t>
      </w:r>
      <w:proofErr w:type="spellEnd"/>
      <w:r w:rsidR="00933039">
        <w:t>/</w:t>
      </w:r>
      <w:proofErr w:type="spellStart"/>
      <w:r w:rsidR="00933039">
        <w:t>takahashi</w:t>
      </w:r>
      <w:proofErr w:type="spellEnd"/>
      <w:r w:rsidR="00933039">
        <w:t xml:space="preserve"> papers; Over-expectation</w:t>
      </w:r>
    </w:p>
    <w:p w14:paraId="7B2E225E" w14:textId="4387E81E" w:rsidR="00071D72" w:rsidRDefault="00550185" w:rsidP="00071D72">
      <w:pPr>
        <w:pStyle w:val="ListParagraph"/>
        <w:numPr>
          <w:ilvl w:val="1"/>
          <w:numId w:val="4"/>
        </w:numPr>
        <w:spacing w:line="276" w:lineRule="auto"/>
      </w:pPr>
      <w:r>
        <w:t>Extinction study provided a test of this hypothesis</w:t>
      </w:r>
    </w:p>
    <w:p w14:paraId="75B5338F" w14:textId="0266ABCC" w:rsidR="00550185" w:rsidRDefault="00550185" w:rsidP="00550185">
      <w:pPr>
        <w:pStyle w:val="ListParagraph"/>
        <w:numPr>
          <w:ilvl w:val="2"/>
          <w:numId w:val="4"/>
        </w:numPr>
        <w:spacing w:line="276" w:lineRule="auto"/>
      </w:pPr>
      <w:r>
        <w:t>Supports a role in signalling negative prediction error</w:t>
      </w:r>
    </w:p>
    <w:p w14:paraId="37D954A0" w14:textId="195B1AA0" w:rsidR="00550185" w:rsidRDefault="00A462DD" w:rsidP="00550185">
      <w:pPr>
        <w:pStyle w:val="ListParagraph"/>
        <w:numPr>
          <w:ilvl w:val="2"/>
          <w:numId w:val="4"/>
        </w:numPr>
        <w:spacing w:line="276" w:lineRule="auto"/>
      </w:pPr>
      <w:r>
        <w:t xml:space="preserve">Replication in this study -&gt; also tested whether the parameters used were likely to generate inhibition to incidental cues -&gt; Not the case </w:t>
      </w:r>
    </w:p>
    <w:p w14:paraId="36529641" w14:textId="574B74FE" w:rsidR="00A462DD" w:rsidRDefault="00A462DD" w:rsidP="00550185">
      <w:pPr>
        <w:pStyle w:val="ListParagraph"/>
        <w:numPr>
          <w:ilvl w:val="2"/>
          <w:numId w:val="4"/>
        </w:numPr>
        <w:spacing w:line="276" w:lineRule="auto"/>
      </w:pPr>
      <w:r>
        <w:t>Similarly, the finding that conditioned inhibition was acquired (although not expressed) during OFC inactivation suggests that the impairment in extinction is not the result of disrupting negative prediction error signalling!</w:t>
      </w:r>
    </w:p>
    <w:p w14:paraId="46DAE9E3" w14:textId="5CE1C27C" w:rsidR="00A462DD" w:rsidRDefault="00A462DD" w:rsidP="00550185">
      <w:pPr>
        <w:pStyle w:val="ListParagraph"/>
        <w:numPr>
          <w:ilvl w:val="2"/>
          <w:numId w:val="4"/>
        </w:numPr>
        <w:spacing w:line="276" w:lineRule="auto"/>
      </w:pPr>
      <w:r>
        <w:t>This was also the conclusion argued in the original extinction paper based on the existence of intact (and potentially accelerated) within-session extinction. Instead, the impaired extinction was argued to be the result of a protection from extinction process caused by rapid habituation to the CS following the disruption of the expected value of the outcome.</w:t>
      </w:r>
    </w:p>
    <w:p w14:paraId="47A572AB" w14:textId="51346615" w:rsidR="004C4F41" w:rsidRPr="00071D72" w:rsidRDefault="004C4F41" w:rsidP="004C4F41">
      <w:pPr>
        <w:pStyle w:val="ListParagraph"/>
        <w:numPr>
          <w:ilvl w:val="0"/>
          <w:numId w:val="4"/>
        </w:numPr>
        <w:spacing w:line="276" w:lineRule="auto"/>
      </w:pPr>
      <w:r>
        <w:t xml:space="preserve">Disruption of acquisition -&gt; once again, supports outcome expectancy function of OFC, however this time it would suggest that acquisition learning was disrupted, i.e. positive prediction errors? However, this conclusion </w:t>
      </w:r>
      <w:r w:rsidR="00CB09D8">
        <w:t xml:space="preserve">requires further testing because performance levels may reflect altered learning or altered behavioural expression (which is suggested by the transient suppression of responding to cue B+ (stage 3; Experiment 1) even though initial training in stage 1 was drug free and cue B was never presented during drug infusions in stage 2. </w:t>
      </w:r>
    </w:p>
    <w:p w14:paraId="14F31C95" w14:textId="443A66AA" w:rsidR="00DD032A" w:rsidRPr="00AB2256" w:rsidRDefault="00AB2256" w:rsidP="00FF0402">
      <w:pPr>
        <w:spacing w:line="276" w:lineRule="auto"/>
      </w:pPr>
      <w:r>
        <w:rPr>
          <w:b/>
        </w:rPr>
        <w:tab/>
      </w:r>
    </w:p>
    <w:p w14:paraId="06F77009" w14:textId="1DB96B58" w:rsidR="00915651" w:rsidRPr="00700B17" w:rsidRDefault="00700B17" w:rsidP="00FF0402">
      <w:pPr>
        <w:spacing w:line="276" w:lineRule="auto"/>
        <w:rPr>
          <w:b/>
        </w:rPr>
      </w:pPr>
      <w:r w:rsidRPr="00700B17">
        <w:rPr>
          <w:b/>
        </w:rPr>
        <w:t>Performance vs. learning</w:t>
      </w:r>
    </w:p>
    <w:p w14:paraId="5D91B58D" w14:textId="63A90A24" w:rsidR="00915651" w:rsidRDefault="0066326A" w:rsidP="0066326A">
      <w:pPr>
        <w:pStyle w:val="ListParagraph"/>
        <w:numPr>
          <w:ilvl w:val="0"/>
          <w:numId w:val="4"/>
        </w:numPr>
        <w:spacing w:line="276" w:lineRule="auto"/>
      </w:pPr>
      <w:proofErr w:type="spellStart"/>
      <w:r>
        <w:t>Janak</w:t>
      </w:r>
      <w:proofErr w:type="spellEnd"/>
      <w:r>
        <w:t xml:space="preserve"> hierarchical</w:t>
      </w:r>
    </w:p>
    <w:p w14:paraId="37F8ED01" w14:textId="090A3760" w:rsidR="0066326A" w:rsidRDefault="0066326A" w:rsidP="0066326A">
      <w:pPr>
        <w:pStyle w:val="ListParagraph"/>
        <w:numPr>
          <w:ilvl w:val="0"/>
          <w:numId w:val="4"/>
        </w:numPr>
        <w:spacing w:line="276" w:lineRule="auto"/>
      </w:pPr>
      <w:r>
        <w:t xml:space="preserve">Wilson </w:t>
      </w:r>
      <w:r w:rsidR="00D20E5C">
        <w:t>latent states model</w:t>
      </w:r>
    </w:p>
    <w:p w14:paraId="2D3FC78F" w14:textId="6ED1D636" w:rsidR="007F329F" w:rsidRDefault="007F329F" w:rsidP="0066326A">
      <w:pPr>
        <w:pStyle w:val="ListParagraph"/>
        <w:numPr>
          <w:ilvl w:val="0"/>
          <w:numId w:val="4"/>
        </w:numPr>
        <w:spacing w:line="276" w:lineRule="auto"/>
      </w:pPr>
      <w:r>
        <w:t xml:space="preserve">Support for dissociable roles in performance vs learning can be found in Murray et al (2015) </w:t>
      </w:r>
      <w:proofErr w:type="spellStart"/>
      <w:r>
        <w:t>deval</w:t>
      </w:r>
      <w:proofErr w:type="spellEnd"/>
      <w:r>
        <w:t xml:space="preserve"> paper [also allows for the discussion of primate-&gt; rodent homology]</w:t>
      </w:r>
    </w:p>
    <w:p w14:paraId="39EEC979" w14:textId="77777777" w:rsidR="00915651" w:rsidRDefault="00915651" w:rsidP="00FF0402">
      <w:pPr>
        <w:spacing w:line="276" w:lineRule="auto"/>
      </w:pPr>
    </w:p>
    <w:p w14:paraId="18B40C56" w14:textId="77777777" w:rsidR="00915651" w:rsidRDefault="00915651" w:rsidP="00FF0402">
      <w:pPr>
        <w:spacing w:line="276" w:lineRule="auto"/>
      </w:pPr>
    </w:p>
    <w:p w14:paraId="4E4A0FDD" w14:textId="77777777" w:rsidR="00915651" w:rsidRDefault="00915651" w:rsidP="00FF0402">
      <w:pPr>
        <w:spacing w:line="276" w:lineRule="auto"/>
      </w:pPr>
    </w:p>
    <w:p w14:paraId="0FF79E96" w14:textId="785C4607" w:rsidR="00831C95" w:rsidRDefault="00915651" w:rsidP="00FF0402">
      <w:pPr>
        <w:spacing w:line="276" w:lineRule="auto"/>
      </w:pPr>
      <w:r>
        <w:t xml:space="preserve"> </w:t>
      </w:r>
    </w:p>
    <w:p w14:paraId="298B8F06" w14:textId="77777777" w:rsidR="00831C95" w:rsidRDefault="00831C95" w:rsidP="00FF0402">
      <w:pPr>
        <w:spacing w:line="276" w:lineRule="auto"/>
      </w:pPr>
    </w:p>
    <w:p w14:paraId="69FAAB4D" w14:textId="77777777" w:rsidR="00831C95" w:rsidRDefault="00831C95" w:rsidP="00FF0402">
      <w:pPr>
        <w:spacing w:line="276" w:lineRule="auto"/>
      </w:pPr>
    </w:p>
    <w:p w14:paraId="508A85CF" w14:textId="77777777" w:rsidR="00831C95" w:rsidRDefault="00831C95" w:rsidP="00FF0402">
      <w:pPr>
        <w:spacing w:line="276" w:lineRule="auto"/>
      </w:pPr>
    </w:p>
    <w:p w14:paraId="26937986" w14:textId="77777777" w:rsidR="00503DA2" w:rsidRDefault="00503DA2" w:rsidP="00FF0402">
      <w:pPr>
        <w:spacing w:line="276" w:lineRule="auto"/>
      </w:pPr>
    </w:p>
    <w:p w14:paraId="02A9D7C2" w14:textId="77777777" w:rsidR="00503DA2" w:rsidRDefault="00503DA2" w:rsidP="00FF0402">
      <w:pPr>
        <w:spacing w:line="276" w:lineRule="auto"/>
      </w:pPr>
    </w:p>
    <w:p w14:paraId="48C6EB4B" w14:textId="77777777" w:rsidR="00503DA2" w:rsidRDefault="00503DA2" w:rsidP="00FF0402">
      <w:pPr>
        <w:spacing w:line="276" w:lineRule="auto"/>
      </w:pPr>
    </w:p>
    <w:p w14:paraId="123D7079" w14:textId="77777777" w:rsidR="00503DA2" w:rsidRDefault="00503DA2" w:rsidP="00FF0402">
      <w:pPr>
        <w:spacing w:line="276" w:lineRule="auto"/>
      </w:pPr>
    </w:p>
    <w:p w14:paraId="5A107C5D" w14:textId="77777777" w:rsidR="00503DA2" w:rsidRDefault="00503DA2" w:rsidP="00FF0402">
      <w:pPr>
        <w:spacing w:line="276" w:lineRule="auto"/>
      </w:pPr>
    </w:p>
    <w:p w14:paraId="457FF4A5" w14:textId="77777777" w:rsidR="00503DA2" w:rsidRDefault="00503DA2" w:rsidP="00FF0402">
      <w:pPr>
        <w:spacing w:line="276" w:lineRule="auto"/>
      </w:pPr>
    </w:p>
    <w:p w14:paraId="58D93741" w14:textId="77777777" w:rsidR="00503DA2" w:rsidRDefault="00503DA2" w:rsidP="00FF0402">
      <w:pPr>
        <w:spacing w:line="276" w:lineRule="auto"/>
      </w:pPr>
    </w:p>
    <w:p w14:paraId="2029A63C" w14:textId="77777777" w:rsidR="00503DA2" w:rsidRDefault="00503DA2" w:rsidP="00FF0402">
      <w:pPr>
        <w:spacing w:line="276" w:lineRule="auto"/>
      </w:pPr>
    </w:p>
    <w:p w14:paraId="78DB1BAB" w14:textId="77777777" w:rsidR="00503DA2" w:rsidRDefault="00503DA2" w:rsidP="00FF0402">
      <w:pPr>
        <w:spacing w:line="276" w:lineRule="auto"/>
      </w:pPr>
    </w:p>
    <w:p w14:paraId="08C16117" w14:textId="77777777" w:rsidR="00503DA2" w:rsidRDefault="00503DA2" w:rsidP="00FF0402">
      <w:pPr>
        <w:spacing w:line="276" w:lineRule="auto"/>
      </w:pPr>
    </w:p>
    <w:p w14:paraId="7DB66D78" w14:textId="77777777" w:rsidR="00503DA2" w:rsidRDefault="00503DA2" w:rsidP="00FF0402">
      <w:pPr>
        <w:spacing w:line="276" w:lineRule="auto"/>
      </w:pPr>
    </w:p>
    <w:p w14:paraId="5A9284AF" w14:textId="77777777" w:rsidR="00503DA2" w:rsidRDefault="00503DA2" w:rsidP="00FF0402">
      <w:pPr>
        <w:spacing w:line="276" w:lineRule="auto"/>
      </w:pPr>
    </w:p>
    <w:p w14:paraId="41F92396" w14:textId="77777777" w:rsidR="00503DA2" w:rsidRDefault="00503DA2" w:rsidP="00FF0402">
      <w:pPr>
        <w:spacing w:line="276" w:lineRule="auto"/>
      </w:pPr>
    </w:p>
    <w:p w14:paraId="0DD70E8E" w14:textId="77777777" w:rsidR="00503DA2" w:rsidRDefault="00503DA2" w:rsidP="00FF0402">
      <w:pPr>
        <w:spacing w:line="276" w:lineRule="auto"/>
      </w:pPr>
    </w:p>
    <w:p w14:paraId="0E5627FE" w14:textId="77777777" w:rsidR="00503DA2" w:rsidRDefault="00503DA2" w:rsidP="00FF0402">
      <w:pPr>
        <w:spacing w:line="276" w:lineRule="auto"/>
      </w:pPr>
    </w:p>
    <w:p w14:paraId="1A48FCEA" w14:textId="77777777" w:rsidR="00503DA2" w:rsidRDefault="00503DA2" w:rsidP="00FF0402">
      <w:pPr>
        <w:spacing w:line="276" w:lineRule="auto"/>
      </w:pPr>
    </w:p>
    <w:p w14:paraId="7D1B54FA" w14:textId="77777777" w:rsidR="00503DA2" w:rsidRDefault="00503DA2" w:rsidP="00FF0402">
      <w:pPr>
        <w:spacing w:line="276" w:lineRule="auto"/>
      </w:pPr>
    </w:p>
    <w:p w14:paraId="1C97EEF6" w14:textId="77777777" w:rsidR="00503DA2" w:rsidRDefault="00503DA2" w:rsidP="00FF0402">
      <w:pPr>
        <w:spacing w:line="276" w:lineRule="auto"/>
      </w:pPr>
    </w:p>
    <w:p w14:paraId="0BB71BAD" w14:textId="77777777" w:rsidR="00503DA2" w:rsidRDefault="00503DA2" w:rsidP="00FF0402">
      <w:pPr>
        <w:spacing w:line="276" w:lineRule="auto"/>
      </w:pPr>
    </w:p>
    <w:p w14:paraId="0AAD7A31" w14:textId="77777777" w:rsidR="00503DA2" w:rsidRDefault="00503DA2" w:rsidP="00FF0402">
      <w:pPr>
        <w:spacing w:line="276" w:lineRule="auto"/>
      </w:pPr>
    </w:p>
    <w:p w14:paraId="3C356213" w14:textId="77777777" w:rsidR="00503DA2" w:rsidRDefault="00503DA2" w:rsidP="00FF0402">
      <w:pPr>
        <w:spacing w:line="276" w:lineRule="auto"/>
      </w:pPr>
    </w:p>
    <w:p w14:paraId="67003630" w14:textId="77777777" w:rsidR="00503DA2" w:rsidRDefault="00503DA2" w:rsidP="00FF0402">
      <w:pPr>
        <w:spacing w:line="276" w:lineRule="auto"/>
      </w:pPr>
    </w:p>
    <w:p w14:paraId="4CB9E895" w14:textId="0FF3DB43" w:rsidR="00E16746" w:rsidRDefault="008528C9" w:rsidP="00FF0402">
      <w:pPr>
        <w:spacing w:line="276" w:lineRule="auto"/>
      </w:pPr>
      <w:r>
        <w:lastRenderedPageBreak/>
        <w:t xml:space="preserve">To test whether </w:t>
      </w:r>
      <w:r w:rsidR="0040511C">
        <w:t xml:space="preserve">deficits in extinction learning following OFC inactivation are due to disrupting the acquisition of </w:t>
      </w:r>
      <w:r w:rsidR="00AE463B">
        <w:t>conditioned inhibition, we used two procedures to establish inhibition to a novel cue. We found that</w:t>
      </w:r>
      <w:r w:rsidR="007C7521">
        <w:t>, compared to control infusions of saline,</w:t>
      </w:r>
      <w:r w:rsidR="00AE463B">
        <w:t xml:space="preserve"> OFC inactivation</w:t>
      </w:r>
      <w:r w:rsidR="007C7521">
        <w:t xml:space="preserve"> via infusions of </w:t>
      </w:r>
      <w:proofErr w:type="spellStart"/>
      <w:r w:rsidR="007C7521">
        <w:t>muscimol</w:t>
      </w:r>
      <w:proofErr w:type="spellEnd"/>
      <w:r w:rsidR="00AE463B">
        <w:t xml:space="preserve"> reliably disrupted the retention of </w:t>
      </w:r>
      <w:r w:rsidR="007C7521">
        <w:t xml:space="preserve">extinction learning between sessions while increasing the </w:t>
      </w:r>
      <w:r w:rsidR="00412459">
        <w:t>rate o</w:t>
      </w:r>
      <w:r w:rsidR="007C7521">
        <w:t>f extinction within sessions.</w:t>
      </w:r>
      <w:r w:rsidR="00412459">
        <w:t xml:space="preserve"> Furthermore, when extinction of a different predictive cue </w:t>
      </w:r>
      <w:r w:rsidR="00161BFB">
        <w:t>occurred</w:t>
      </w:r>
      <w:r w:rsidR="00412459">
        <w:t xml:space="preserve"> in compound with a novel cue, </w:t>
      </w:r>
      <w:r w:rsidR="00161BFB">
        <w:t xml:space="preserve">regardless of OFC function during the extinction phase, </w:t>
      </w:r>
      <w:r w:rsidR="00412459">
        <w:t>rats d</w:t>
      </w:r>
      <w:r w:rsidR="00161BFB">
        <w:t>id</w:t>
      </w:r>
      <w:r w:rsidR="00412459">
        <w:t xml:space="preserve"> not readily acquire inhibitory properties to the novel cue</w:t>
      </w:r>
      <w:r w:rsidR="00161BFB">
        <w:t xml:space="preserve"> as assessed by a retardation test.</w:t>
      </w:r>
      <w:r w:rsidR="00412459">
        <w:t xml:space="preserve"> This suggests that the parameters used in this procedure did not </w:t>
      </w:r>
      <w:r w:rsidR="00161BFB">
        <w:t>reliably</w:t>
      </w:r>
      <w:r w:rsidR="00412459">
        <w:t xml:space="preserve"> promote the formation of conditioned inhibition between incidental cues and the outcome.</w:t>
      </w:r>
      <w:r w:rsidR="00E16746">
        <w: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t>
      </w:r>
      <w:r w:rsidR="00E62CD4">
        <w: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t>
      </w:r>
      <w:r w:rsidR="00C52AA0">
        <w:t xml:space="preserve"> and </w:t>
      </w:r>
      <w:r w:rsidR="000A5412">
        <w:t>have implications for</w:t>
      </w:r>
      <w:r w:rsidR="006B3A28">
        <w:t xml:space="preserve"> the</w:t>
      </w:r>
      <w:r w:rsidR="00C52AA0">
        <w:t xml:space="preserve"> current </w:t>
      </w:r>
      <w:r w:rsidR="000509ED">
        <w:t>dominant theories of OFC function.</w:t>
      </w:r>
    </w:p>
    <w:p w14:paraId="49D5FABD" w14:textId="234BB521" w:rsidR="00FC0EAB" w:rsidRPr="000F50C1" w:rsidRDefault="005F3816" w:rsidP="00FC0EAB">
      <w:pPr>
        <w:spacing w:line="276" w:lineRule="auto"/>
        <w:rPr>
          <w:b/>
        </w:rPr>
      </w:pPr>
      <w:r>
        <w:rPr>
          <w:b/>
        </w:rPr>
        <w:t xml:space="preserve">OFC </w:t>
      </w:r>
      <w:r w:rsidR="00FC0EAB" w:rsidRPr="000F50C1">
        <w:rPr>
          <w:b/>
        </w:rPr>
        <w:t>is not necessary for the learning of conditioned inhibition</w:t>
      </w:r>
    </w:p>
    <w:p w14:paraId="192F622C" w14:textId="6520BB79" w:rsidR="00FC0EAB" w:rsidRDefault="00FC0EAB" w:rsidP="00FC0EAB">
      <w:pPr>
        <w:pStyle w:val="ListParagraph"/>
        <w:numPr>
          <w:ilvl w:val="0"/>
          <w:numId w:val="3"/>
        </w:numPr>
        <w:spacing w:line="276" w:lineRule="auto"/>
      </w:pPr>
      <w:r>
        <w:t>Consistent with findings that the OFC is not required for novel learning, especially when changes in task demands are explicitly signalled by cues (c.f. Wilson et al)</w:t>
      </w:r>
    </w:p>
    <w:p w14:paraId="33C508EB" w14:textId="77777777" w:rsidR="00FC0EAB" w:rsidRDefault="00FC0EAB" w:rsidP="00FC0EAB">
      <w:pPr>
        <w:pStyle w:val="ListParagraph"/>
        <w:numPr>
          <w:ilvl w:val="0"/>
          <w:numId w:val="3"/>
        </w:numPr>
        <w:spacing w:line="276" w:lineRule="auto"/>
      </w:pPr>
    </w:p>
    <w:p w14:paraId="2DCEA7A9" w14:textId="3A870D50" w:rsidR="00D82C71" w:rsidRPr="000F50C1" w:rsidRDefault="005F3816" w:rsidP="00FF0402">
      <w:pPr>
        <w:spacing w:line="276" w:lineRule="auto"/>
        <w:rPr>
          <w:b/>
        </w:rPr>
      </w:pPr>
      <w:r>
        <w:rPr>
          <w:b/>
        </w:rPr>
        <w:t xml:space="preserve">OFC </w:t>
      </w:r>
      <w:r w:rsidR="00D82C71" w:rsidRPr="000F50C1">
        <w:rPr>
          <w:b/>
        </w:rPr>
        <w:t>inactivation disrupts the expression of conditioned inhibition</w:t>
      </w:r>
    </w:p>
    <w:p w14:paraId="0515EE3D" w14:textId="635F5312" w:rsidR="0019513F" w:rsidRDefault="00EB0230" w:rsidP="00FF0402">
      <w:pPr>
        <w:spacing w:line="276" w:lineRule="auto"/>
      </w:pPr>
      <w:r>
        <w:t>Impairments to appropriate behaviour following i</w:t>
      </w:r>
      <w:r w:rsidR="0019513F">
        <w:t xml:space="preserve">nactivation </w:t>
      </w:r>
      <w:r w:rsidR="00A21DA2">
        <w:t xml:space="preserve">or lesions of the OFC </w:t>
      </w:r>
      <w:r>
        <w:t>normally results in a failure to suppress or reduce inappropriate behaviour</w:t>
      </w:r>
      <w:r w:rsidR="00A21DA2">
        <w:t xml:space="preserve"> {Reversal, Devaluation, Extinction}</w:t>
      </w:r>
      <w:r>
        <w:t xml:space="preserve">. </w:t>
      </w:r>
      <w:r w:rsidR="00D3647A">
        <w:t xml:space="preserve">In the present study, OFC inactivation </w:t>
      </w:r>
      <w:r>
        <w:t xml:space="preserve">disrupted the expression of selective inhibition during a feature negative discrimination </w:t>
      </w:r>
    </w:p>
    <w:p w14:paraId="5B02C403" w14:textId="105D7713" w:rsidR="00FC0EAB" w:rsidRDefault="00FC0EAB" w:rsidP="00FC0EAB">
      <w:pPr>
        <w:pStyle w:val="ListParagraph"/>
        <w:numPr>
          <w:ilvl w:val="0"/>
          <w:numId w:val="2"/>
        </w:numPr>
        <w:spacing w:line="276" w:lineRule="auto"/>
      </w:pPr>
      <w:r>
        <w:t>OFC inactivation abolishes discriminative responding (i.e. selective behavioural inhibition)</w:t>
      </w:r>
    </w:p>
    <w:p w14:paraId="6CADD131" w14:textId="70D04D8A" w:rsidR="00FC0EAB" w:rsidRDefault="00FC0EAB" w:rsidP="00FC0EAB">
      <w:pPr>
        <w:pStyle w:val="ListParagraph"/>
        <w:numPr>
          <w:ilvl w:val="0"/>
          <w:numId w:val="2"/>
        </w:numPr>
        <w:spacing w:line="276" w:lineRule="auto"/>
      </w:pPr>
      <w:r>
        <w:t>Papers looking at discrimination learning (5-CSRRT?) -? Similar?</w:t>
      </w:r>
    </w:p>
    <w:p w14:paraId="4242BD95" w14:textId="7D39D27E" w:rsidR="00D82C71" w:rsidRDefault="005F3816" w:rsidP="00A17A53">
      <w:pPr>
        <w:spacing w:line="276" w:lineRule="auto"/>
      </w:pPr>
      <w:r>
        <w:t xml:space="preserve">OFC </w:t>
      </w:r>
      <w:r w:rsidR="00FE5C86">
        <w:t>inactivation disrupts between- but not within-session extinction</w:t>
      </w:r>
    </w:p>
    <w:p w14:paraId="156FE4C2" w14:textId="62C4FA2B" w:rsidR="00FE5C86" w:rsidRDefault="005F3816" w:rsidP="00FF0402">
      <w:pPr>
        <w:spacing w:line="276" w:lineRule="auto"/>
      </w:pPr>
      <w:r>
        <w:t xml:space="preserve">OFC </w:t>
      </w:r>
      <w:r w:rsidR="00FE5C86">
        <w:t>inactivation suppresses acquisition behaviour</w:t>
      </w:r>
    </w:p>
    <w:p w14:paraId="00A7A1F9" w14:textId="52CCAC5E" w:rsidR="00D82C71" w:rsidRDefault="005F3816" w:rsidP="00FF0402">
      <w:pPr>
        <w:spacing w:line="276" w:lineRule="auto"/>
        <w:rPr>
          <w:i/>
        </w:rPr>
      </w:pPr>
      <w:r>
        <w:rPr>
          <w:i/>
        </w:rPr>
        <w:t xml:space="preserve">OFC </w:t>
      </w:r>
      <w:r w:rsidR="00BD45DB" w:rsidRPr="00A45B44">
        <w:rPr>
          <w:i/>
        </w:rPr>
        <w:t xml:space="preserve">modulates behaviour based on the current value of </w:t>
      </w:r>
      <w:r w:rsidR="00A66CC5" w:rsidRPr="00A45B44">
        <w:rPr>
          <w:i/>
        </w:rPr>
        <w:t>expected</w:t>
      </w:r>
      <w:r w:rsidR="00BD45DB" w:rsidRPr="00A45B44">
        <w:rPr>
          <w:i/>
        </w:rPr>
        <w:t xml:space="preserve"> outcomes</w:t>
      </w:r>
    </w:p>
    <w:p w14:paraId="06F8B648" w14:textId="0E75AD78" w:rsidR="00A17A53" w:rsidRDefault="00A17A53" w:rsidP="00FF0402">
      <w:pPr>
        <w:spacing w:line="276" w:lineRule="auto"/>
        <w:rPr>
          <w:i/>
        </w:rPr>
      </w:pPr>
    </w:p>
    <w:p w14:paraId="17E02AA6" w14:textId="4E1D4903" w:rsidR="00A17A53" w:rsidRDefault="00A17A53" w:rsidP="00FF0402">
      <w:pPr>
        <w:spacing w:line="276" w:lineRule="auto"/>
      </w:pPr>
      <w:proofErr w:type="gramStart"/>
      <w:r w:rsidRPr="00732759">
        <w:rPr>
          <w:b/>
        </w:rPr>
        <w:t>Over-expectation papers</w:t>
      </w:r>
      <w:r>
        <w:t>?</w:t>
      </w:r>
      <w:proofErr w:type="gramEnd"/>
      <w:r>
        <w:t xml:space="preserve"> The failure to disrupt new inhibitory learning in the present experiments is not consistent with these findings. However, the persistent suppression to cue Z is similar to the findings of over-expectation experiments. However, it is not clear if the suppression observed here is necessarily due to impairments in learning or merely behavioural suppression… something that applies equally to the </w:t>
      </w:r>
      <w:proofErr w:type="spellStart"/>
      <w:r>
        <w:t>overexpectation</w:t>
      </w:r>
      <w:proofErr w:type="spellEnd"/>
      <w:r>
        <w:t xml:space="preserve"> results.</w:t>
      </w:r>
    </w:p>
    <w:p w14:paraId="5486C75D" w14:textId="024E7B33" w:rsidR="00A17A53" w:rsidRDefault="00A17A53" w:rsidP="00A17A53">
      <w:pPr>
        <w:pStyle w:val="ListParagraph"/>
        <w:numPr>
          <w:ilvl w:val="0"/>
          <w:numId w:val="2"/>
        </w:numPr>
        <w:spacing w:line="276" w:lineRule="auto"/>
      </w:pPr>
      <w:r>
        <w:t xml:space="preserve">In terms of explanations using the Wilson model, it is not clear how the model would account for the suppression in behaviour seen during normal acquisition… Doing so would </w:t>
      </w:r>
      <w:r>
        <w:lastRenderedPageBreak/>
        <w:t>have to concede that continued acquisition (sub-asymptotic) requires the mental simulation of hidden states… This throws out all the other unique predictions made</w:t>
      </w:r>
      <w:r w:rsidR="00732759">
        <w:t xml:space="preserve"> by this model</w:t>
      </w:r>
    </w:p>
    <w:p w14:paraId="0185C454" w14:textId="1E3D0B18" w:rsidR="00A17A53" w:rsidRDefault="00A17A53" w:rsidP="00A17A53">
      <w:pPr>
        <w:pStyle w:val="ListParagraph"/>
        <w:numPr>
          <w:ilvl w:val="0"/>
          <w:numId w:val="2"/>
        </w:numPr>
        <w:spacing w:line="276" w:lineRule="auto"/>
      </w:pPr>
      <w:r>
        <w:t xml:space="preserve">Furthermore, the failure to account for the extinction results </w:t>
      </w:r>
      <w:r w:rsidR="00732759">
        <w:t>replicated here is in direct opposition the explicitly predicted results!</w:t>
      </w:r>
    </w:p>
    <w:p w14:paraId="26DF546A" w14:textId="662A2ED0" w:rsidR="00732759" w:rsidRDefault="00732759" w:rsidP="00732759">
      <w:r>
        <w:t xml:space="preserve">Solution, the function of the </w:t>
      </w:r>
      <w:r w:rsidR="005F3816">
        <w:t xml:space="preserve">OFC </w:t>
      </w:r>
      <w:r>
        <w:t>is not described by this model, it may describe other parts of the OFC (Cite Mel’s Neuron commentary …</w:t>
      </w:r>
      <w:proofErr w:type="gramStart"/>
      <w:r>
        <w:t>. ?</w:t>
      </w:r>
      <w:proofErr w:type="gramEnd"/>
      <w:r>
        <w:t>).</w:t>
      </w:r>
    </w:p>
    <w:p w14:paraId="02E45D81" w14:textId="51CB6F88" w:rsidR="00732759" w:rsidRDefault="00732759" w:rsidP="00732759">
      <w:r w:rsidRPr="00732759">
        <w:rPr>
          <w:b/>
        </w:rPr>
        <w:t>Credit assignment?</w:t>
      </w:r>
      <w:r>
        <w:t xml:space="preserve"> It would seem that poor credit assignment could account for the overall suppression in performance found in the </w:t>
      </w:r>
      <w:proofErr w:type="spellStart"/>
      <w:r>
        <w:t>muscimol</w:t>
      </w:r>
      <w:proofErr w:type="spellEnd"/>
      <w:r>
        <w:t xml:space="preserve"> group, this could be a misattribution of the non-rewarded trials to cue A… This account fits nicely with the infusion data, but not with the intact acquisition of conditioned inhibition when tested drug-free which suggests unimpaired credit assignment during this learning period.</w:t>
      </w:r>
    </w:p>
    <w:p w14:paraId="0482984A" w14:textId="77777777" w:rsidR="00732759" w:rsidRPr="00A17A53" w:rsidRDefault="00732759" w:rsidP="00732759"/>
    <w:p w14:paraId="36CD7917" w14:textId="312581FF" w:rsidR="00B334AF" w:rsidRDefault="00B334AF" w:rsidP="00FF0402">
      <w:pPr>
        <w:spacing w:line="276" w:lineRule="auto"/>
      </w:pPr>
      <w:r>
        <w:t xml:space="preserve">Interaction between </w:t>
      </w:r>
      <w:r w:rsidR="005F3816">
        <w:t xml:space="preserve">OFC </w:t>
      </w:r>
      <w:r>
        <w:t>and other neural circuits</w:t>
      </w:r>
    </w:p>
    <w:p w14:paraId="3CDA1FF1" w14:textId="17083CA4" w:rsidR="00864D13" w:rsidRDefault="00864D13" w:rsidP="00FF0402">
      <w:pPr>
        <w:spacing w:line="276" w:lineRule="auto"/>
      </w:pPr>
    </w:p>
    <w:p w14:paraId="320B1C1F" w14:textId="7594ABED" w:rsidR="00864D13" w:rsidRDefault="00864D13" w:rsidP="00864D13">
      <w:pPr>
        <w:pStyle w:val="ListParagraph"/>
        <w:numPr>
          <w:ilvl w:val="0"/>
          <w:numId w:val="1"/>
        </w:numPr>
        <w:spacing w:line="276" w:lineRule="auto"/>
      </w:pPr>
      <w:r>
        <w:fldChar w:fldCharType="begin" w:fldLock="1"/>
      </w:r>
      <w:r w:rsidR="00DF5208">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"plainTextFormattedCitation" : "(Keiflin et al., 2013)", "previouslyFormattedCitation" : "(Keiflin et al., 2013)" }, "properties" : { "noteIndex" : 0 }, "schema" : "https://github.com/citation-style-language/schema/raw/master/csl-citation.json" }</w:instrText>
      </w:r>
      <w:r>
        <w:fldChar w:fldCharType="separate"/>
      </w:r>
      <w:r w:rsidR="00221CDD" w:rsidRPr="00221CDD">
        <w:rPr>
          <w:noProof/>
        </w:rPr>
        <w:t>(Keiflin et al., 2013)</w:t>
      </w:r>
      <w:r>
        <w:fldChar w:fldCharType="end"/>
      </w:r>
      <w:r>
        <w:t xml:space="preserve"> – Hierarchical view</w:t>
      </w:r>
    </w:p>
    <w:p w14:paraId="0C79FFD7" w14:textId="674C3923" w:rsidR="00864D13" w:rsidRDefault="00864D13" w:rsidP="00864D13">
      <w:pPr>
        <w:pStyle w:val="ListParagraph"/>
        <w:numPr>
          <w:ilvl w:val="1"/>
          <w:numId w:val="1"/>
        </w:numPr>
        <w:spacing w:line="276" w:lineRule="auto"/>
      </w:pPr>
      <w:r>
        <w:t xml:space="preserve">Placements were accurately within LO, a bit more posterior i.e. focussed around +3.70 </w:t>
      </w:r>
    </w:p>
    <w:p w14:paraId="7238ED3F" w14:textId="03BC7E3E" w:rsidR="00864D13" w:rsidRDefault="00864D13" w:rsidP="00864D13">
      <w:pPr>
        <w:pStyle w:val="ListParagraph"/>
        <w:numPr>
          <w:ilvl w:val="1"/>
          <w:numId w:val="1"/>
        </w:numPr>
        <w:spacing w:line="276" w:lineRule="auto"/>
      </w:pPr>
      <w:proofErr w:type="spellStart"/>
      <w:r>
        <w:t>Expt</w:t>
      </w:r>
      <w:proofErr w:type="spellEnd"/>
      <w:r>
        <w:t xml:space="preserve"> 1b. extinction test – inactivation resulted in rapid extinction as measured by # f trials initiated</w:t>
      </w:r>
    </w:p>
    <w:p w14:paraId="7143D18F" w14:textId="245CE42C" w:rsidR="00864D13" w:rsidRDefault="00864D13" w:rsidP="00864D13">
      <w:pPr>
        <w:pStyle w:val="ListParagraph"/>
        <w:numPr>
          <w:ilvl w:val="1"/>
          <w:numId w:val="1"/>
        </w:numPr>
        <w:spacing w:line="276" w:lineRule="auto"/>
      </w:pPr>
      <w:r>
        <w:t xml:space="preserve">Impaired responding to cue Z persists when tested drug free on the following day unlike the hierarchical results found in </w:t>
      </w:r>
      <w:proofErr w:type="spellStart"/>
      <w:r>
        <w:t>kieflin</w:t>
      </w:r>
      <w:proofErr w:type="spellEnd"/>
      <w:r>
        <w:t xml:space="preserve"> et al</w:t>
      </w:r>
    </w:p>
    <w:p w14:paraId="1AAA24DC" w14:textId="1EAA47FE" w:rsidR="00864D13" w:rsidRDefault="00864D13" w:rsidP="00864D13">
      <w:pPr>
        <w:pStyle w:val="ListParagraph"/>
        <w:numPr>
          <w:ilvl w:val="2"/>
          <w:numId w:val="1"/>
        </w:numPr>
        <w:spacing w:line="276" w:lineRule="auto"/>
      </w:pPr>
      <w:r>
        <w:t xml:space="preserve">Similarly, </w:t>
      </w:r>
      <w:r w:rsidR="00375644">
        <w:t xml:space="preserve">extinction to cue C (replicating Panayi &amp; </w:t>
      </w:r>
      <w:proofErr w:type="spellStart"/>
      <w:r w:rsidR="00375644">
        <w:t>Killcross</w:t>
      </w:r>
      <w:proofErr w:type="spellEnd"/>
      <w:r w:rsidR="00375644">
        <w:t xml:space="preserve">…) retained deficits from stage 2 when tested drug free </w:t>
      </w:r>
    </w:p>
    <w:p w14:paraId="05989C77" w14:textId="2193BE57" w:rsidR="00375644" w:rsidRDefault="00375644" w:rsidP="00864D13">
      <w:pPr>
        <w:pStyle w:val="ListParagraph"/>
        <w:numPr>
          <w:ilvl w:val="2"/>
          <w:numId w:val="1"/>
        </w:numPr>
        <w:spacing w:line="276" w:lineRule="auto"/>
      </w:pPr>
      <w:r>
        <w:t>Unfortunately</w:t>
      </w:r>
      <w:r w:rsidR="00F17FCD">
        <w:t>,</w:t>
      </w:r>
      <w:r>
        <w:t xml:space="preserve"> it is not clear how long term the deficits in </w:t>
      </w:r>
      <w:proofErr w:type="spellStart"/>
      <w:r>
        <w:t>Keiflin</w:t>
      </w:r>
      <w:proofErr w:type="spellEnd"/>
      <w:r>
        <w:t xml:space="preserve"> et </w:t>
      </w:r>
      <w:proofErr w:type="spellStart"/>
      <w:r>
        <w:t>al’s</w:t>
      </w:r>
      <w:proofErr w:type="spellEnd"/>
      <w:r>
        <w:t xml:space="preserve"> experiments are i.e. Figure 6C, there was no test drug free following the second infusion day to see if the MB/MB group retained their preference. Furthermore, both MB groups started at around 0 </w:t>
      </w:r>
      <w:proofErr w:type="gramStart"/>
      <w:r>
        <w:t>preference</w:t>
      </w:r>
      <w:proofErr w:type="gramEnd"/>
      <w:r>
        <w:t xml:space="preserve"> suggesting conflicting response control.</w:t>
      </w:r>
    </w:p>
    <w:p w14:paraId="77FD6743" w14:textId="10181C84" w:rsidR="00864D13" w:rsidRDefault="00864D13" w:rsidP="00732759">
      <w:pPr>
        <w:pStyle w:val="ListParagraph"/>
        <w:numPr>
          <w:ilvl w:val="0"/>
          <w:numId w:val="1"/>
        </w:numPr>
        <w:spacing w:line="276" w:lineRule="auto"/>
      </w:pPr>
      <w:r>
        <w:fldChar w:fldCharType="begin" w:fldLock="1"/>
      </w:r>
      <w:r w:rsidR="00F17FC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864D13">
        <w:rPr>
          <w:noProof/>
        </w:rPr>
        <w:t>(Wilson et al., 2014)</w:t>
      </w:r>
      <w:r>
        <w:fldChar w:fldCharType="end"/>
      </w:r>
      <w:r w:rsidR="006E0384">
        <w:t xml:space="preserve"> – Hidden state space view</w:t>
      </w:r>
    </w:p>
    <w:p w14:paraId="775FA6FA" w14:textId="5757D265" w:rsidR="006E0384" w:rsidRDefault="006E0384" w:rsidP="006E0384">
      <w:pPr>
        <w:pStyle w:val="ListParagraph"/>
        <w:numPr>
          <w:ilvl w:val="1"/>
          <w:numId w:val="1"/>
        </w:numPr>
        <w:spacing w:line="276" w:lineRule="auto"/>
      </w:pPr>
      <w:r>
        <w:t>Impoverished extinction between days (cue C) is consistent with the model predictions, except that the model data are based on extinction within session (Butter, 1969; 10 min blocks Fig 3).</w:t>
      </w:r>
    </w:p>
    <w:p w14:paraId="5F2F3E96" w14:textId="12996296" w:rsidR="006E0384" w:rsidRDefault="00197652" w:rsidP="006E0384">
      <w:pPr>
        <w:pStyle w:val="ListParagraph"/>
        <w:numPr>
          <w:ilvl w:val="1"/>
          <w:numId w:val="1"/>
        </w:numPr>
        <w:spacing w:line="276" w:lineRule="auto"/>
      </w:pPr>
      <w:r>
        <w:t xml:space="preserve">Another troubling result is the explicitly cued absence of the outcome in the feature negative design i.e. cue X is clearly an explicit rather than a hidden state, yet performance was impoverished throughout </w:t>
      </w:r>
      <w:r w:rsidR="005F3816">
        <w:t xml:space="preserve">OFC </w:t>
      </w:r>
      <w:r>
        <w:t>inactivation despite the clear cues to help guide behaviour.</w:t>
      </w:r>
    </w:p>
    <w:p w14:paraId="7C7AD7B9" w14:textId="2F1E0F35" w:rsidR="00F17FCD" w:rsidRDefault="00F17FCD" w:rsidP="00F17FCD">
      <w:pPr>
        <w:pStyle w:val="ListParagraph"/>
        <w:numPr>
          <w:ilvl w:val="0"/>
          <w:numId w:val="1"/>
        </w:numPr>
        <w:spacing w:line="276" w:lineRule="auto"/>
      </w:pPr>
      <w:r>
        <w:t xml:space="preserve">Current outcome value view - </w:t>
      </w:r>
      <w:r>
        <w:fldChar w:fldCharType="begin" w:fldLock="1"/>
      </w:r>
      <w:r w:rsidR="00EB0230">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Pr="00F17FCD">
        <w:rPr>
          <w:noProof/>
        </w:rPr>
        <w:t>(Rudebeck &amp; Murray, 2014; Mark E Walton et al., 2015)</w:t>
      </w:r>
      <w:r>
        <w:fldChar w:fldCharType="end"/>
      </w:r>
    </w:p>
    <w:p w14:paraId="6EBC5B4B" w14:textId="62670810" w:rsidR="00A80629" w:rsidRDefault="00A80629" w:rsidP="00A80629">
      <w:pPr>
        <w:pStyle w:val="ListParagraph"/>
        <w:numPr>
          <w:ilvl w:val="1"/>
          <w:numId w:val="1"/>
        </w:numPr>
        <w:spacing w:line="276" w:lineRule="auto"/>
      </w:pPr>
      <w:r>
        <w:t>Current value of outcome is not available under drug infusions, thus affecting responding but not necessarily affecting learning – other systems? [</w:t>
      </w:r>
      <w:proofErr w:type="gramStart"/>
      <w:r>
        <w:t>tie</w:t>
      </w:r>
      <w:proofErr w:type="gramEnd"/>
      <w:r>
        <w:t xml:space="preserve"> in with hierarchical system view of </w:t>
      </w:r>
      <w:proofErr w:type="spellStart"/>
      <w:r>
        <w:t>Keiflin</w:t>
      </w:r>
      <w:proofErr w:type="spellEnd"/>
      <w:r>
        <w:t>?]</w:t>
      </w:r>
    </w:p>
    <w:p w14:paraId="39D2C62A" w14:textId="2FB8979B" w:rsidR="00F17FCD" w:rsidRDefault="00F17FCD" w:rsidP="00F17FCD">
      <w:pPr>
        <w:pStyle w:val="ListParagraph"/>
        <w:numPr>
          <w:ilvl w:val="1"/>
          <w:numId w:val="1"/>
        </w:numPr>
        <w:spacing w:line="276" w:lineRule="auto"/>
      </w:pPr>
      <w:r>
        <w:t>A method by which CS representation hangs around in A2 and never returns to I for re-activation to A1 in the presence of the cue</w:t>
      </w:r>
    </w:p>
    <w:p w14:paraId="579CCFE7" w14:textId="4C460767" w:rsidR="007311FC" w:rsidRDefault="007311FC" w:rsidP="00F17FCD">
      <w:pPr>
        <w:pStyle w:val="ListParagraph"/>
        <w:numPr>
          <w:ilvl w:val="1"/>
          <w:numId w:val="1"/>
        </w:numPr>
        <w:spacing w:line="276" w:lineRule="auto"/>
      </w:pPr>
      <w:r>
        <w:lastRenderedPageBreak/>
        <w:t>Walton experiment with credit assignment -&gt; sho</w:t>
      </w:r>
      <w:r w:rsidR="00D42782">
        <w:t>ws that learning was driven by specific Pavlovian contingencies, however since this was a lesion study it is not clear if this is a disruption of learning or behavioural performance per se.</w:t>
      </w:r>
    </w:p>
    <w:p w14:paraId="3596DFF2" w14:textId="535D253A" w:rsidR="00D42782" w:rsidRDefault="00D42782" w:rsidP="00D42782">
      <w:pPr>
        <w:spacing w:line="276" w:lineRule="auto"/>
      </w:pPr>
    </w:p>
    <w:p w14:paraId="376A12D7" w14:textId="3C9D0779" w:rsidR="00D42782" w:rsidRPr="00FF0402" w:rsidRDefault="00D42782" w:rsidP="00D42782">
      <w:pPr>
        <w:spacing w:line="276" w:lineRule="auto"/>
      </w:pPr>
      <w:r>
        <w:t>??? Change entire article to OFC and then discuss functional heterogeneity in the discussion???</w:t>
      </w:r>
    </w:p>
    <w:sectPr w:rsidR="00D42782" w:rsidRPr="00FF04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os Panayi" w:date="2016-03-31T12:23:00Z" w:initials="MP">
    <w:p w14:paraId="1AB462C9" w14:textId="77777777" w:rsidR="00FE2A45" w:rsidRDefault="00FE2A45" w:rsidP="00FE2A45">
      <w:pPr>
        <w:pStyle w:val="CommentText"/>
      </w:pPr>
      <w:r>
        <w:rPr>
          <w:rStyle w:val="CommentReference"/>
        </w:rPr>
        <w:annotationRef/>
      </w:r>
      <w:r>
        <w:t>Re-arrange to beginning of paragraph. This is the critical effect!</w:t>
      </w:r>
    </w:p>
  </w:comment>
  <w:comment w:id="1" w:author="Marios Panayi" w:date="2016-03-31T12:23:00Z" w:initials="MP">
    <w:p w14:paraId="153E6D79" w14:textId="77777777" w:rsidR="00FE2A45" w:rsidRDefault="00FE2A45" w:rsidP="00FE2A45">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EFFF2" w15:done="0"/>
  <w15:commentEx w15:paraId="6BB858B7" w15:done="0"/>
  <w15:commentEx w15:paraId="545917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48"/>
    <w:rsid w:val="00001EDB"/>
    <w:rsid w:val="00013CD8"/>
    <w:rsid w:val="000409CB"/>
    <w:rsid w:val="0004152C"/>
    <w:rsid w:val="000509ED"/>
    <w:rsid w:val="000567C6"/>
    <w:rsid w:val="00071D72"/>
    <w:rsid w:val="000749B8"/>
    <w:rsid w:val="000867DC"/>
    <w:rsid w:val="000A1578"/>
    <w:rsid w:val="000A2651"/>
    <w:rsid w:val="000A5412"/>
    <w:rsid w:val="000A543A"/>
    <w:rsid w:val="000B69F8"/>
    <w:rsid w:val="000B794E"/>
    <w:rsid w:val="000C27FD"/>
    <w:rsid w:val="000D4B86"/>
    <w:rsid w:val="000E3360"/>
    <w:rsid w:val="000F1BBA"/>
    <w:rsid w:val="000F50C1"/>
    <w:rsid w:val="000F7F7A"/>
    <w:rsid w:val="001107BC"/>
    <w:rsid w:val="0013106B"/>
    <w:rsid w:val="00135112"/>
    <w:rsid w:val="00135876"/>
    <w:rsid w:val="00154EE0"/>
    <w:rsid w:val="0015755F"/>
    <w:rsid w:val="00161BFB"/>
    <w:rsid w:val="00162992"/>
    <w:rsid w:val="00163870"/>
    <w:rsid w:val="0016696B"/>
    <w:rsid w:val="00186165"/>
    <w:rsid w:val="0019513F"/>
    <w:rsid w:val="00197652"/>
    <w:rsid w:val="001A131E"/>
    <w:rsid w:val="001A6769"/>
    <w:rsid w:val="001A7774"/>
    <w:rsid w:val="001D04A3"/>
    <w:rsid w:val="00203806"/>
    <w:rsid w:val="00210B86"/>
    <w:rsid w:val="00216E01"/>
    <w:rsid w:val="00221CDD"/>
    <w:rsid w:val="0022235F"/>
    <w:rsid w:val="00231DAD"/>
    <w:rsid w:val="00235CE6"/>
    <w:rsid w:val="00240122"/>
    <w:rsid w:val="00251B57"/>
    <w:rsid w:val="00281213"/>
    <w:rsid w:val="00287869"/>
    <w:rsid w:val="002B32EC"/>
    <w:rsid w:val="002B61B3"/>
    <w:rsid w:val="002C0F0A"/>
    <w:rsid w:val="002F3E8C"/>
    <w:rsid w:val="003413FE"/>
    <w:rsid w:val="00343810"/>
    <w:rsid w:val="00347691"/>
    <w:rsid w:val="003477AB"/>
    <w:rsid w:val="003559EC"/>
    <w:rsid w:val="0036051A"/>
    <w:rsid w:val="00374909"/>
    <w:rsid w:val="00375644"/>
    <w:rsid w:val="00394E0D"/>
    <w:rsid w:val="003A64CA"/>
    <w:rsid w:val="003A7429"/>
    <w:rsid w:val="003E3618"/>
    <w:rsid w:val="003F4E2B"/>
    <w:rsid w:val="0040511C"/>
    <w:rsid w:val="00405363"/>
    <w:rsid w:val="0040627A"/>
    <w:rsid w:val="00412459"/>
    <w:rsid w:val="00420721"/>
    <w:rsid w:val="00431439"/>
    <w:rsid w:val="004411B1"/>
    <w:rsid w:val="00444FA9"/>
    <w:rsid w:val="004517E9"/>
    <w:rsid w:val="00452B29"/>
    <w:rsid w:val="00491FE4"/>
    <w:rsid w:val="004A35F1"/>
    <w:rsid w:val="004A6A74"/>
    <w:rsid w:val="004B31FD"/>
    <w:rsid w:val="004C0748"/>
    <w:rsid w:val="004C2575"/>
    <w:rsid w:val="004C4F41"/>
    <w:rsid w:val="004D19F3"/>
    <w:rsid w:val="004D6F95"/>
    <w:rsid w:val="00503DA2"/>
    <w:rsid w:val="0051507B"/>
    <w:rsid w:val="00520BB2"/>
    <w:rsid w:val="00536D20"/>
    <w:rsid w:val="0053717D"/>
    <w:rsid w:val="00550185"/>
    <w:rsid w:val="0057192E"/>
    <w:rsid w:val="005805C6"/>
    <w:rsid w:val="005862FF"/>
    <w:rsid w:val="005C061A"/>
    <w:rsid w:val="005C2B5F"/>
    <w:rsid w:val="005C6B21"/>
    <w:rsid w:val="005E377E"/>
    <w:rsid w:val="005E3859"/>
    <w:rsid w:val="005F25F7"/>
    <w:rsid w:val="005F3816"/>
    <w:rsid w:val="005F7E97"/>
    <w:rsid w:val="00616E76"/>
    <w:rsid w:val="006221ED"/>
    <w:rsid w:val="006253A0"/>
    <w:rsid w:val="00627A1D"/>
    <w:rsid w:val="00631D4E"/>
    <w:rsid w:val="0064268F"/>
    <w:rsid w:val="00657D2A"/>
    <w:rsid w:val="006607DA"/>
    <w:rsid w:val="00662D2C"/>
    <w:rsid w:val="0066326A"/>
    <w:rsid w:val="0066546D"/>
    <w:rsid w:val="0066677B"/>
    <w:rsid w:val="006773C6"/>
    <w:rsid w:val="006A40AF"/>
    <w:rsid w:val="006B3A28"/>
    <w:rsid w:val="006B4F30"/>
    <w:rsid w:val="006D1133"/>
    <w:rsid w:val="006D14C8"/>
    <w:rsid w:val="006D72B0"/>
    <w:rsid w:val="006E0384"/>
    <w:rsid w:val="006F0D82"/>
    <w:rsid w:val="00700B17"/>
    <w:rsid w:val="007066B9"/>
    <w:rsid w:val="007125A3"/>
    <w:rsid w:val="007311FC"/>
    <w:rsid w:val="00732759"/>
    <w:rsid w:val="00732B6C"/>
    <w:rsid w:val="0074610E"/>
    <w:rsid w:val="00770DB4"/>
    <w:rsid w:val="00773C0C"/>
    <w:rsid w:val="00781823"/>
    <w:rsid w:val="007831C3"/>
    <w:rsid w:val="007A74B8"/>
    <w:rsid w:val="007C013D"/>
    <w:rsid w:val="007C09D2"/>
    <w:rsid w:val="007C33CA"/>
    <w:rsid w:val="007C5E53"/>
    <w:rsid w:val="007C7521"/>
    <w:rsid w:val="007E4349"/>
    <w:rsid w:val="007F2E7A"/>
    <w:rsid w:val="007F329F"/>
    <w:rsid w:val="00801B9E"/>
    <w:rsid w:val="00804528"/>
    <w:rsid w:val="00807402"/>
    <w:rsid w:val="00821F56"/>
    <w:rsid w:val="00825577"/>
    <w:rsid w:val="00830F36"/>
    <w:rsid w:val="00831C95"/>
    <w:rsid w:val="00833574"/>
    <w:rsid w:val="008423AE"/>
    <w:rsid w:val="008528C9"/>
    <w:rsid w:val="00853201"/>
    <w:rsid w:val="00863E3D"/>
    <w:rsid w:val="00864D13"/>
    <w:rsid w:val="00881847"/>
    <w:rsid w:val="008A0476"/>
    <w:rsid w:val="008B00AD"/>
    <w:rsid w:val="008B0742"/>
    <w:rsid w:val="008D104C"/>
    <w:rsid w:val="008E3FB5"/>
    <w:rsid w:val="008E6621"/>
    <w:rsid w:val="008F008A"/>
    <w:rsid w:val="009073ED"/>
    <w:rsid w:val="00915651"/>
    <w:rsid w:val="00916561"/>
    <w:rsid w:val="00933039"/>
    <w:rsid w:val="00957B5E"/>
    <w:rsid w:val="0097037F"/>
    <w:rsid w:val="00973D4B"/>
    <w:rsid w:val="00980607"/>
    <w:rsid w:val="00992C85"/>
    <w:rsid w:val="009B479C"/>
    <w:rsid w:val="009C1023"/>
    <w:rsid w:val="009C1BBD"/>
    <w:rsid w:val="009C209B"/>
    <w:rsid w:val="009D50B5"/>
    <w:rsid w:val="00A02258"/>
    <w:rsid w:val="00A02D95"/>
    <w:rsid w:val="00A05936"/>
    <w:rsid w:val="00A05CCB"/>
    <w:rsid w:val="00A05D1F"/>
    <w:rsid w:val="00A118A8"/>
    <w:rsid w:val="00A14A8B"/>
    <w:rsid w:val="00A1799E"/>
    <w:rsid w:val="00A17A53"/>
    <w:rsid w:val="00A21DA2"/>
    <w:rsid w:val="00A30A15"/>
    <w:rsid w:val="00A324E1"/>
    <w:rsid w:val="00A45B44"/>
    <w:rsid w:val="00A462DD"/>
    <w:rsid w:val="00A47575"/>
    <w:rsid w:val="00A53711"/>
    <w:rsid w:val="00A66CC5"/>
    <w:rsid w:val="00A74FEB"/>
    <w:rsid w:val="00A80629"/>
    <w:rsid w:val="00A842F7"/>
    <w:rsid w:val="00A87121"/>
    <w:rsid w:val="00A924DC"/>
    <w:rsid w:val="00A93677"/>
    <w:rsid w:val="00A949F5"/>
    <w:rsid w:val="00A95648"/>
    <w:rsid w:val="00AA0EEE"/>
    <w:rsid w:val="00AA6DAA"/>
    <w:rsid w:val="00AB2256"/>
    <w:rsid w:val="00AB656A"/>
    <w:rsid w:val="00AB76D2"/>
    <w:rsid w:val="00AC4413"/>
    <w:rsid w:val="00AE3208"/>
    <w:rsid w:val="00AE381C"/>
    <w:rsid w:val="00AE463B"/>
    <w:rsid w:val="00AE58C9"/>
    <w:rsid w:val="00AE6FE3"/>
    <w:rsid w:val="00B01CE6"/>
    <w:rsid w:val="00B04D4A"/>
    <w:rsid w:val="00B077D4"/>
    <w:rsid w:val="00B11AD0"/>
    <w:rsid w:val="00B1626C"/>
    <w:rsid w:val="00B269A5"/>
    <w:rsid w:val="00B334AF"/>
    <w:rsid w:val="00B52490"/>
    <w:rsid w:val="00B55066"/>
    <w:rsid w:val="00B702F1"/>
    <w:rsid w:val="00B72FF2"/>
    <w:rsid w:val="00B77FEE"/>
    <w:rsid w:val="00B90DFC"/>
    <w:rsid w:val="00B961F0"/>
    <w:rsid w:val="00BA525E"/>
    <w:rsid w:val="00BB2821"/>
    <w:rsid w:val="00BB62BD"/>
    <w:rsid w:val="00BC17B9"/>
    <w:rsid w:val="00BD45DB"/>
    <w:rsid w:val="00BD630A"/>
    <w:rsid w:val="00BD6659"/>
    <w:rsid w:val="00BE289F"/>
    <w:rsid w:val="00BE2C0D"/>
    <w:rsid w:val="00BF4280"/>
    <w:rsid w:val="00BF4AA5"/>
    <w:rsid w:val="00BF4B3C"/>
    <w:rsid w:val="00C0041E"/>
    <w:rsid w:val="00C0498B"/>
    <w:rsid w:val="00C04A79"/>
    <w:rsid w:val="00C23528"/>
    <w:rsid w:val="00C24600"/>
    <w:rsid w:val="00C25E3D"/>
    <w:rsid w:val="00C34248"/>
    <w:rsid w:val="00C46C74"/>
    <w:rsid w:val="00C52AA0"/>
    <w:rsid w:val="00C57B36"/>
    <w:rsid w:val="00C71030"/>
    <w:rsid w:val="00C85AE8"/>
    <w:rsid w:val="00C967FF"/>
    <w:rsid w:val="00CA1121"/>
    <w:rsid w:val="00CA394F"/>
    <w:rsid w:val="00CA533A"/>
    <w:rsid w:val="00CA6DB3"/>
    <w:rsid w:val="00CB09D8"/>
    <w:rsid w:val="00CB3C06"/>
    <w:rsid w:val="00CB482D"/>
    <w:rsid w:val="00CC0F4C"/>
    <w:rsid w:val="00CC597D"/>
    <w:rsid w:val="00CE37C4"/>
    <w:rsid w:val="00CE6C3E"/>
    <w:rsid w:val="00CF5538"/>
    <w:rsid w:val="00D20E5C"/>
    <w:rsid w:val="00D23DF3"/>
    <w:rsid w:val="00D279C9"/>
    <w:rsid w:val="00D3647A"/>
    <w:rsid w:val="00D42782"/>
    <w:rsid w:val="00D5791D"/>
    <w:rsid w:val="00D82700"/>
    <w:rsid w:val="00D82994"/>
    <w:rsid w:val="00D82C71"/>
    <w:rsid w:val="00D8799F"/>
    <w:rsid w:val="00DA6633"/>
    <w:rsid w:val="00DB496F"/>
    <w:rsid w:val="00DB50C2"/>
    <w:rsid w:val="00DC0713"/>
    <w:rsid w:val="00DC5070"/>
    <w:rsid w:val="00DD032A"/>
    <w:rsid w:val="00DD0CC7"/>
    <w:rsid w:val="00DD415C"/>
    <w:rsid w:val="00DE0A88"/>
    <w:rsid w:val="00DF4CA6"/>
    <w:rsid w:val="00DF5208"/>
    <w:rsid w:val="00DF5BED"/>
    <w:rsid w:val="00DF6D9B"/>
    <w:rsid w:val="00E03CD5"/>
    <w:rsid w:val="00E07F3D"/>
    <w:rsid w:val="00E1167B"/>
    <w:rsid w:val="00E16746"/>
    <w:rsid w:val="00E212FD"/>
    <w:rsid w:val="00E21FFA"/>
    <w:rsid w:val="00E3174A"/>
    <w:rsid w:val="00E33782"/>
    <w:rsid w:val="00E43CB5"/>
    <w:rsid w:val="00E62CD4"/>
    <w:rsid w:val="00E6609F"/>
    <w:rsid w:val="00E76984"/>
    <w:rsid w:val="00EB0230"/>
    <w:rsid w:val="00ED7F23"/>
    <w:rsid w:val="00EE3F47"/>
    <w:rsid w:val="00EE736C"/>
    <w:rsid w:val="00F049CB"/>
    <w:rsid w:val="00F135BB"/>
    <w:rsid w:val="00F17459"/>
    <w:rsid w:val="00F17FCD"/>
    <w:rsid w:val="00F2122B"/>
    <w:rsid w:val="00F22B1D"/>
    <w:rsid w:val="00F310F5"/>
    <w:rsid w:val="00F3157D"/>
    <w:rsid w:val="00F40072"/>
    <w:rsid w:val="00F50AF4"/>
    <w:rsid w:val="00F63FD5"/>
    <w:rsid w:val="00F64C18"/>
    <w:rsid w:val="00F7081F"/>
    <w:rsid w:val="00F715E8"/>
    <w:rsid w:val="00F80159"/>
    <w:rsid w:val="00F845FE"/>
    <w:rsid w:val="00F90A03"/>
    <w:rsid w:val="00F920EE"/>
    <w:rsid w:val="00FC0EAB"/>
    <w:rsid w:val="00FD31F1"/>
    <w:rsid w:val="00FD456F"/>
    <w:rsid w:val="00FD749F"/>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39C2-C9B8-4E5C-BC27-77CB32E6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19</Pages>
  <Words>32941</Words>
  <Characters>187765</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159</cp:revision>
  <dcterms:created xsi:type="dcterms:W3CDTF">2016-03-04T10:08:00Z</dcterms:created>
  <dcterms:modified xsi:type="dcterms:W3CDTF">2016-04-06T14:31:00Z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