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148" w:rsidRDefault="00071148" w:rsidP="00071148">
      <w:pPr>
        <w:spacing w:after="240"/>
        <w:ind w:firstLine="720"/>
        <w:rPr>
          <w:rFonts w:cs="Times New Roman"/>
          <w:szCs w:val="24"/>
        </w:rPr>
      </w:pPr>
      <w:r>
        <w:rPr>
          <w:rFonts w:cs="Times New Roman"/>
          <w:szCs w:val="24"/>
        </w:rPr>
        <w:t xml:space="preserve">Animals. Fifty-six adult male Long-Evans rats (302-406 g prior to surgery; </w:t>
      </w:r>
      <w:r w:rsidRPr="002F6F23">
        <w:rPr>
          <w:rFonts w:cs="Times New Roman"/>
          <w:szCs w:val="24"/>
        </w:rPr>
        <w:t>Monash Animal Services, Gippsland, Victoria, Australia</w:t>
      </w:r>
      <w:r>
        <w:rPr>
          <w:rFonts w:cs="Times New Roman"/>
          <w:szCs w:val="24"/>
        </w:rPr>
        <w:t>; Experiment 1) were used.</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w:t>
      </w:r>
      <w:r w:rsidR="00F87D28">
        <w:rPr>
          <w:rFonts w:cs="Times New Roman"/>
          <w:szCs w:val="24"/>
        </w:rPr>
        <w:t xml:space="preserve">at weight was approximately 95%, </w:t>
      </w:r>
      <w:r>
        <w:rPr>
          <w:rFonts w:cs="Times New Roman"/>
          <w:szCs w:val="24"/>
        </w:rPr>
        <w:t>and never dropped below 85%</w:t>
      </w:r>
      <w:r w:rsidR="00F87D28">
        <w:rPr>
          <w:rFonts w:cs="Times New Roman"/>
          <w:szCs w:val="24"/>
        </w:rPr>
        <w:t>,</w:t>
      </w:r>
      <w:r>
        <w:rPr>
          <w:rFonts w:cs="Times New Roman"/>
          <w:szCs w:val="24"/>
        </w:rPr>
        <w:t xml:space="preserve">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rsidR="00071148" w:rsidRDefault="00071148" w:rsidP="00071148">
      <w:pPr>
        <w:ind w:firstLine="720"/>
        <w:rPr>
          <w:rFonts w:cs="Times New Roman"/>
          <w:szCs w:val="24"/>
        </w:rPr>
      </w:pPr>
      <w:r>
        <w:rPr>
          <w:rFonts w:cs="Times New Roman"/>
          <w:szCs w:val="24"/>
        </w:rPr>
        <w:t>Apparatus.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sidR="00DE43CE">
        <w:rPr>
          <w:rFonts w:cs="Times New Roman"/>
          <w:szCs w:val="24"/>
        </w:rPr>
        <w:t>. The</w:t>
      </w:r>
      <w:r w:rsidR="0027559F">
        <w:rPr>
          <w:rFonts w:cs="Times New Roman"/>
          <w:szCs w:val="24"/>
        </w:rPr>
        <w:t xml:space="preserve"> top of the</w:t>
      </w:r>
      <w:r w:rsidR="00DE43CE">
        <w:rPr>
          <w:rFonts w:cs="Times New Roman"/>
          <w:szCs w:val="24"/>
        </w:rPr>
        <w:t xml:space="preserv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rsidR="004A258F" w:rsidRPr="006A14B1" w:rsidRDefault="004A258F" w:rsidP="004A258F">
      <w:pPr>
        <w:pStyle w:val="2Marioslevel2"/>
      </w:pPr>
      <w:bookmarkStart w:id="0" w:name="_Toc417304780"/>
      <w:r w:rsidRPr="006A14B1">
        <w:t>Surgery</w:t>
      </w:r>
      <w:bookmarkEnd w:id="0"/>
      <w:r w:rsidRPr="006A14B1">
        <w:t xml:space="preserve"> </w:t>
      </w:r>
    </w:p>
    <w:p w:rsidR="004A258F" w:rsidRPr="006A14B1" w:rsidRDefault="004A258F" w:rsidP="004A258F">
      <w:pPr>
        <w:ind w:firstLine="720"/>
        <w:rPr>
          <w:rFonts w:cs="Times New Roman"/>
          <w:szCs w:val="24"/>
        </w:rPr>
      </w:pP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w:t>
      </w:r>
      <w:r w:rsidRPr="006A14B1">
        <w:rPr>
          <w:rFonts w:cs="Times New Roman"/>
          <w:szCs w:val="24"/>
        </w:rPr>
        <w:lastRenderedPageBreak/>
        <w:t xml:space="preserve">anchored to the skull with 4 fixing screws. Removable dummy cannulae were inserted into the guide cannulae to prevent them from blocking. </w:t>
      </w:r>
      <w:r w:rsidR="0006704D">
        <w:rPr>
          <w:rFonts w:cs="Times New Roman"/>
          <w:szCs w:val="24"/>
        </w:rPr>
        <w:t xml:space="preserve">After one </w:t>
      </w:r>
      <w:r w:rsidRPr="006A14B1">
        <w:rPr>
          <w:rFonts w:cs="Times New Roman"/>
          <w:szCs w:val="24"/>
        </w:rPr>
        <w:t>week of postoperative recovery, rats were returned to food restric</w:t>
      </w:r>
      <w:r w:rsidR="00E543DC">
        <w:rPr>
          <w:rFonts w:cs="Times New Roman"/>
          <w:szCs w:val="24"/>
        </w:rPr>
        <w:t>tion for 2 days prior to</w:t>
      </w:r>
      <w:r w:rsidRPr="006A14B1">
        <w:rPr>
          <w:rFonts w:cs="Times New Roman"/>
          <w:szCs w:val="24"/>
        </w:rPr>
        <w:t xml:space="preserve"> </w:t>
      </w:r>
      <w:r w:rsidR="00E543DC">
        <w:rPr>
          <w:rFonts w:cs="Times New Roman"/>
          <w:szCs w:val="24"/>
        </w:rPr>
        <w:t xml:space="preserve">further </w:t>
      </w:r>
      <w:r w:rsidRPr="006A14B1">
        <w:rPr>
          <w:rFonts w:cs="Times New Roman"/>
          <w:szCs w:val="24"/>
        </w:rPr>
        <w:t>t</w:t>
      </w:r>
      <w:r w:rsidR="00E543DC">
        <w:rPr>
          <w:rFonts w:cs="Times New Roman"/>
          <w:szCs w:val="24"/>
        </w:rPr>
        <w:t>esting</w:t>
      </w:r>
      <w:r w:rsidRPr="006A14B1">
        <w:rPr>
          <w:rFonts w:cs="Times New Roman"/>
          <w:szCs w:val="24"/>
        </w:rPr>
        <w:t>.</w:t>
      </w:r>
    </w:p>
    <w:p w:rsidR="004A258F" w:rsidRPr="006A14B1" w:rsidRDefault="004A258F" w:rsidP="004A258F">
      <w:pPr>
        <w:pStyle w:val="2Marioslevel2"/>
      </w:pPr>
      <w:bookmarkStart w:id="1" w:name="_Toc417304781"/>
      <w:r w:rsidRPr="006A14B1">
        <w:t>Drug Infusions</w:t>
      </w:r>
      <w:bookmarkEnd w:id="1"/>
    </w:p>
    <w:p w:rsidR="004A258F" w:rsidRPr="006A14B1" w:rsidRDefault="004A258F" w:rsidP="004A258F">
      <w:pPr>
        <w:ind w:firstLine="720"/>
        <w:rPr>
          <w:rFonts w:cs="Times New Roman"/>
          <w:szCs w:val="24"/>
        </w:rPr>
      </w:pPr>
      <w:r w:rsidRPr="006A14B1">
        <w:rPr>
          <w:rFonts w:cs="Times New Roman"/>
          <w:szCs w:val="24"/>
        </w:rPr>
        <w:t xml:space="preserve">During infusions, muscimol or saline was infused bilaterally into the lateral OFC by inserting a </w:t>
      </w:r>
      <w:proofErr w:type="gramStart"/>
      <w:r w:rsidRPr="006A14B1">
        <w:rPr>
          <w:rFonts w:cs="Times New Roman"/>
          <w:szCs w:val="24"/>
        </w:rPr>
        <w:t>33 gauge</w:t>
      </w:r>
      <w:proofErr w:type="gramEnd"/>
      <w:r w:rsidRPr="006A14B1">
        <w:rPr>
          <w:rFonts w:cs="Times New Roman"/>
          <w:szCs w:val="24"/>
        </w:rPr>
        <w:t xml:space="preserve"> internal cannula into the guide cannula which extended 1mm ventral to the guide tip. The internal cannula was connected to a 25 </w:t>
      </w:r>
      <w:r w:rsidRPr="006A14B1">
        <w:rPr>
          <w:rFonts w:cs="Times New Roman"/>
          <w:i/>
          <w:szCs w:val="24"/>
        </w:rPr>
        <w:t>μ</w:t>
      </w:r>
      <w:r w:rsidRPr="006A14B1">
        <w:rPr>
          <w:rFonts w:cs="Times New Roman"/>
          <w:szCs w:val="24"/>
        </w:rPr>
        <w:t xml:space="preserve">l glass syringe (Hamilton Company, Reno, NV, USA) attached to a microinfusion pump (World Precision Instruments, Inc., Sarasota, FL, USA). A total volume of 0.5 </w:t>
      </w:r>
      <w:r w:rsidRPr="006A14B1">
        <w:rPr>
          <w:rFonts w:cs="Times New Roman"/>
          <w:i/>
          <w:szCs w:val="24"/>
        </w:rPr>
        <w:t>μ</w:t>
      </w:r>
      <w:r w:rsidRPr="006A14B1">
        <w:rPr>
          <w:rFonts w:cs="Times New Roman"/>
          <w:szCs w:val="24"/>
        </w:rPr>
        <w:t xml:space="preserve">l was delivered to each side at a rate of 0.25 </w:t>
      </w:r>
      <w:r w:rsidRPr="006A14B1">
        <w:rPr>
          <w:rFonts w:cs="Times New Roman"/>
          <w:i/>
          <w:szCs w:val="24"/>
        </w:rPr>
        <w:t>μ</w:t>
      </w:r>
      <w:r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E543DC">
        <w:rPr>
          <w:rFonts w:cs="Times New Roman"/>
          <w:szCs w:val="24"/>
        </w:rPr>
        <w:t>For the two training sessions prior to infusions,</w:t>
      </w:r>
      <w:r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rsidR="004A258F" w:rsidRPr="006A14B1" w:rsidRDefault="004A258F" w:rsidP="004A258F">
      <w:pPr>
        <w:pStyle w:val="2Marioslevel2"/>
      </w:pPr>
      <w:bookmarkStart w:id="2" w:name="_Toc417304782"/>
      <w:r w:rsidRPr="006A14B1">
        <w:t>Drugs</w:t>
      </w:r>
      <w:bookmarkEnd w:id="2"/>
    </w:p>
    <w:p w:rsidR="004A258F" w:rsidRDefault="004A258F" w:rsidP="004A258F">
      <w:pPr>
        <w:ind w:firstLine="720"/>
        <w:rPr>
          <w:rFonts w:cs="Times New Roman"/>
          <w:szCs w:val="24"/>
        </w:rPr>
      </w:pP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p>
    <w:p w:rsidR="005F587F" w:rsidRPr="005F587F" w:rsidRDefault="005F587F" w:rsidP="005F587F">
      <w:pPr>
        <w:rPr>
          <w:rFonts w:cs="Times New Roman"/>
          <w:b/>
          <w:szCs w:val="24"/>
        </w:rPr>
      </w:pPr>
      <w:r>
        <w:rPr>
          <w:rFonts w:cs="Times New Roman"/>
          <w:b/>
          <w:szCs w:val="24"/>
        </w:rPr>
        <w:t>Histology</w:t>
      </w:r>
    </w:p>
    <w:p w:rsidR="00E543DC" w:rsidRPr="006A14B1" w:rsidRDefault="00E543DC" w:rsidP="00E543DC">
      <w:pPr>
        <w:pStyle w:val="2Marioslevel2"/>
      </w:pPr>
      <w:r w:rsidRPr="006A14B1">
        <w:t>Magazine training</w:t>
      </w:r>
    </w:p>
    <w:p w:rsidR="00E543DC" w:rsidRDefault="00E543DC" w:rsidP="00E543DC">
      <w:pPr>
        <w:spacing w:after="240"/>
        <w:ind w:firstLine="720"/>
        <w:rPr>
          <w:rFonts w:cs="Times New Roman"/>
          <w:szCs w:val="24"/>
        </w:rPr>
      </w:pPr>
      <w:r>
        <w:rPr>
          <w:rFonts w:cs="Times New Roman"/>
          <w:szCs w:val="24"/>
        </w:rPr>
        <w:t>Prior to training,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rsidR="00E543DC" w:rsidRPr="00E543DC" w:rsidRDefault="00E543DC" w:rsidP="00E543DC">
      <w:pPr>
        <w:rPr>
          <w:rFonts w:cs="Times New Roman"/>
          <w:b/>
          <w:szCs w:val="24"/>
        </w:rPr>
      </w:pPr>
      <w:r w:rsidRPr="00E543DC">
        <w:rPr>
          <w:rFonts w:cs="Times New Roman"/>
          <w:b/>
          <w:szCs w:val="24"/>
        </w:rPr>
        <w:t>General training parameters</w:t>
      </w:r>
    </w:p>
    <w:p w:rsidR="00E543DC" w:rsidRPr="006A14B1" w:rsidRDefault="00E543DC" w:rsidP="00E543DC">
      <w:pPr>
        <w:pStyle w:val="NormalWeb"/>
        <w:spacing w:after="200" w:line="360" w:lineRule="auto"/>
        <w:ind w:firstLine="720"/>
        <w:rPr>
          <w:color w:val="000000"/>
        </w:rPr>
      </w:pPr>
      <w:r w:rsidRPr="006A14B1">
        <w:rPr>
          <w:color w:val="000000"/>
        </w:rPr>
        <w:t xml:space="preserve">All sessions consisted of a number of trials in which a 10s auditory and/or visual cue (CSs) were presented. Visual cues designated as X and Y were flashing panel lights (0.1 s illuminated, 0.1s off) or extinguishing the house light (identity counter balanced). Visual cue </w:t>
      </w:r>
      <w:r w:rsidRPr="006A14B1">
        <w:rPr>
          <w:color w:val="000000"/>
        </w:rPr>
        <w:lastRenderedPageBreak/>
        <w:t xml:space="preserve">Z was always a flashing magazine light (0.1 s illuminated, 0.1s off) for all animals. Auditory cues A and B were a 5 Hz train of clicks or a 78 dB white noise (identity counter balanced). </w:t>
      </w:r>
      <w:r w:rsidR="002E4CE4">
        <w:rPr>
          <w:color w:val="000000"/>
        </w:rPr>
        <w:t>In experiment 2, auditory cue C was</w:t>
      </w:r>
      <w:r w:rsidR="002E4CE4" w:rsidRPr="006A14B1">
        <w:rPr>
          <w:color w:val="000000"/>
        </w:rPr>
        <w:t xml:space="preserve"> always an 84 dB, 2.6 kHz tone. </w:t>
      </w:r>
      <w:r w:rsidRPr="006A14B1">
        <w:rPr>
          <w:color w:val="000000"/>
        </w:rPr>
        <w:t>On rewarded trials (denoted by the symbol ‘+’) a single reward pellet was delivered upon CS termination. On non-reinforced trials (denoted by the symbol ‘-’), no reward was delivered</w:t>
      </w:r>
      <w:r>
        <w:rPr>
          <w:color w:val="000000"/>
        </w:rPr>
        <w:t>. The variable inter-trial-interval was 90</w:t>
      </w:r>
      <w:r w:rsidRPr="006A14B1">
        <w:rPr>
          <w:color w:val="000000"/>
        </w:rPr>
        <w:t>s</w:t>
      </w:r>
      <w:r>
        <w:rPr>
          <w:color w:val="000000"/>
        </w:rPr>
        <w:t xml:space="preserve"> (± 45s)</w:t>
      </w:r>
      <w:r w:rsidRPr="006A14B1">
        <w:rPr>
          <w:color w:val="000000"/>
        </w:rPr>
        <w:t xml:space="preserve">.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rsidR="00F87D28" w:rsidRDefault="00F87D28" w:rsidP="004A258F">
      <w:pPr>
        <w:ind w:firstLine="720"/>
        <w:rPr>
          <w:rFonts w:cs="Times New Roman"/>
          <w:szCs w:val="24"/>
        </w:rPr>
      </w:pPr>
    </w:p>
    <w:p w:rsidR="00F87D28" w:rsidRDefault="00F87D28" w:rsidP="004A258F">
      <w:pPr>
        <w:ind w:firstLine="720"/>
        <w:rPr>
          <w:rFonts w:cs="Times New Roman"/>
          <w:szCs w:val="24"/>
        </w:rPr>
      </w:pPr>
    </w:p>
    <w:p w:rsidR="00F87D28" w:rsidRDefault="00F87D28" w:rsidP="004A258F">
      <w:pPr>
        <w:ind w:firstLine="720"/>
        <w:rPr>
          <w:rFonts w:cs="Times New Roman"/>
          <w:szCs w:val="24"/>
        </w:rPr>
      </w:pPr>
    </w:p>
    <w:p w:rsidR="00F87D28" w:rsidRDefault="00F87D28" w:rsidP="004A258F">
      <w:pPr>
        <w:ind w:firstLine="720"/>
        <w:rPr>
          <w:rFonts w:cs="Times New Roman"/>
          <w:szCs w:val="24"/>
        </w:rPr>
      </w:pPr>
    </w:p>
    <w:p w:rsidR="00F87D28" w:rsidRDefault="00F87D28" w:rsidP="004A258F">
      <w:pPr>
        <w:ind w:firstLine="720"/>
        <w:rPr>
          <w:rFonts w:cs="Times New Roman"/>
          <w:szCs w:val="24"/>
        </w:rPr>
      </w:pPr>
    </w:p>
    <w:p w:rsidR="00F87D28" w:rsidRDefault="00F87D28" w:rsidP="004A258F">
      <w:pPr>
        <w:ind w:firstLine="720"/>
        <w:rPr>
          <w:rFonts w:cs="Times New Roman"/>
          <w:szCs w:val="24"/>
        </w:rPr>
      </w:pPr>
    </w:p>
    <w:p w:rsidR="001064BB" w:rsidRDefault="001064BB" w:rsidP="004A258F">
      <w:pPr>
        <w:ind w:firstLine="720"/>
        <w:rPr>
          <w:rFonts w:cs="Times New Roman"/>
          <w:b/>
          <w:szCs w:val="24"/>
          <w:u w:val="single"/>
        </w:rPr>
      </w:pPr>
      <w:r w:rsidRPr="001064BB">
        <w:rPr>
          <w:rFonts w:cs="Times New Roman"/>
          <w:b/>
          <w:szCs w:val="24"/>
          <w:u w:val="single"/>
        </w:rPr>
        <w:t>Experiment 1</w:t>
      </w:r>
    </w:p>
    <w:tbl>
      <w:tblPr>
        <w:tblW w:w="5000" w:type="pct"/>
        <w:tblLook w:val="04A0" w:firstRow="1" w:lastRow="0" w:firstColumn="1" w:lastColumn="0" w:noHBand="0" w:noVBand="1"/>
      </w:tblPr>
      <w:tblGrid>
        <w:gridCol w:w="1366"/>
        <w:gridCol w:w="1279"/>
        <w:gridCol w:w="1279"/>
        <w:gridCol w:w="2522"/>
        <w:gridCol w:w="2580"/>
      </w:tblGrid>
      <w:tr w:rsidR="00B34262" w:rsidRPr="006A14B1" w:rsidTr="00731E1C">
        <w:trPr>
          <w:trHeight w:val="300"/>
        </w:trPr>
        <w:tc>
          <w:tcPr>
            <w:tcW w:w="5000" w:type="pct"/>
            <w:gridSpan w:val="5"/>
            <w:tcBorders>
              <w:top w:val="nil"/>
              <w:left w:val="nil"/>
              <w:bottom w:val="nil"/>
              <w:right w:val="nil"/>
            </w:tcBorders>
            <w:shd w:val="clear" w:color="auto" w:fill="auto"/>
            <w:noWrap/>
            <w:vAlign w:val="bottom"/>
            <w:hideMark/>
          </w:tcPr>
          <w:p w:rsidR="00B34262" w:rsidRPr="006A14B1" w:rsidRDefault="00B34262" w:rsidP="00731E1C">
            <w:pPr>
              <w:pStyle w:val="Tables"/>
            </w:pPr>
            <w:bookmarkStart w:id="3" w:name="_Toc417279023"/>
            <w:bookmarkStart w:id="4" w:name="_Toc417302436"/>
            <w:r w:rsidRPr="006A14B1">
              <w:t>Table 4. Pavlovian conditioned inhibition experimental design in Experiment 1c.</w:t>
            </w:r>
            <w:bookmarkEnd w:id="3"/>
            <w:bookmarkEnd w:id="4"/>
          </w:p>
        </w:tc>
      </w:tr>
      <w:tr w:rsidR="00B34262" w:rsidRPr="006A14B1" w:rsidTr="00731E1C">
        <w:trPr>
          <w:trHeight w:val="300"/>
        </w:trPr>
        <w:tc>
          <w:tcPr>
            <w:tcW w:w="733" w:type="pct"/>
            <w:tcBorders>
              <w:top w:val="single" w:sz="4" w:space="0" w:color="auto"/>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Stage 1</w:t>
            </w:r>
          </w:p>
        </w:tc>
        <w:tc>
          <w:tcPr>
            <w:tcW w:w="680" w:type="pct"/>
            <w:tcBorders>
              <w:top w:val="single" w:sz="4" w:space="0" w:color="auto"/>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Stage 2</w:t>
            </w:r>
          </w:p>
        </w:tc>
        <w:tc>
          <w:tcPr>
            <w:tcW w:w="680" w:type="pct"/>
            <w:tcBorders>
              <w:top w:val="single" w:sz="4" w:space="0" w:color="auto"/>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Stage 3</w:t>
            </w:r>
          </w:p>
        </w:tc>
        <w:tc>
          <w:tcPr>
            <w:tcW w:w="1436" w:type="pct"/>
            <w:tcBorders>
              <w:top w:val="single" w:sz="4" w:space="0" w:color="auto"/>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Summation Test</w:t>
            </w:r>
          </w:p>
        </w:tc>
        <w:tc>
          <w:tcPr>
            <w:tcW w:w="1471" w:type="pct"/>
            <w:tcBorders>
              <w:top w:val="single" w:sz="4" w:space="0" w:color="auto"/>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Retardation Test</w:t>
            </w:r>
          </w:p>
        </w:tc>
      </w:tr>
      <w:tr w:rsidR="00B34262" w:rsidRPr="006A14B1" w:rsidTr="00731E1C">
        <w:trPr>
          <w:trHeight w:val="300"/>
        </w:trPr>
        <w:tc>
          <w:tcPr>
            <w:tcW w:w="733"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w:t>
            </w: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w:t>
            </w: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p>
        </w:tc>
        <w:tc>
          <w:tcPr>
            <w:tcW w:w="1436"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c>
          <w:tcPr>
            <w:tcW w:w="1471"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r>
      <w:tr w:rsidR="00B34262" w:rsidRPr="006A14B1" w:rsidTr="00731E1C">
        <w:trPr>
          <w:trHeight w:val="300"/>
        </w:trPr>
        <w:tc>
          <w:tcPr>
            <w:tcW w:w="733"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AX-</w:t>
            </w: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p>
        </w:tc>
        <w:tc>
          <w:tcPr>
            <w:tcW w:w="1436"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BX-</w:t>
            </w:r>
          </w:p>
        </w:tc>
        <w:tc>
          <w:tcPr>
            <w:tcW w:w="1471"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X+</w:t>
            </w:r>
          </w:p>
        </w:tc>
      </w:tr>
      <w:tr w:rsidR="00B34262" w:rsidRPr="006A14B1" w:rsidTr="00731E1C">
        <w:trPr>
          <w:trHeight w:val="300"/>
        </w:trPr>
        <w:tc>
          <w:tcPr>
            <w:tcW w:w="733" w:type="pct"/>
            <w:tcBorders>
              <w:top w:val="nil"/>
              <w:left w:val="nil"/>
              <w:bottom w:val="dashSmallGap"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680" w:type="pct"/>
            <w:tcBorders>
              <w:top w:val="nil"/>
              <w:left w:val="nil"/>
              <w:bottom w:val="dashSmallGap"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p>
        </w:tc>
        <w:tc>
          <w:tcPr>
            <w:tcW w:w="680" w:type="pct"/>
            <w:tcBorders>
              <w:top w:val="nil"/>
              <w:left w:val="nil"/>
              <w:bottom w:val="dashSmallGap"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1436" w:type="pct"/>
            <w:tcBorders>
              <w:top w:val="nil"/>
              <w:left w:val="nil"/>
              <w:bottom w:val="dashSmallGap"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1471" w:type="pct"/>
            <w:tcBorders>
              <w:top w:val="nil"/>
              <w:left w:val="nil"/>
              <w:bottom w:val="dashSmallGap"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Y+</w:t>
            </w:r>
          </w:p>
        </w:tc>
      </w:tr>
      <w:tr w:rsidR="00B34262" w:rsidRPr="006A14B1" w:rsidTr="00731E1C">
        <w:trPr>
          <w:trHeight w:val="300"/>
        </w:trPr>
        <w:tc>
          <w:tcPr>
            <w:tcW w:w="733" w:type="pct"/>
            <w:tcBorders>
              <w:top w:val="dashSmallGap" w:sz="4" w:space="0" w:color="auto"/>
              <w:left w:val="nil"/>
              <w:bottom w:val="nil"/>
              <w:right w:val="nil"/>
            </w:tcBorders>
            <w:shd w:val="clear" w:color="auto" w:fill="auto"/>
            <w:noWrap/>
            <w:vAlign w:val="bottom"/>
          </w:tcPr>
          <w:p w:rsidR="00B34262" w:rsidRPr="006A14B1" w:rsidRDefault="00B34262" w:rsidP="00731E1C">
            <w:pPr>
              <w:spacing w:after="0"/>
              <w:jc w:val="center"/>
              <w:rPr>
                <w:rFonts w:eastAsia="Times New Roman" w:cs="Times New Roman"/>
                <w:szCs w:val="24"/>
                <w:lang w:eastAsia="en-AU"/>
              </w:rPr>
            </w:pPr>
          </w:p>
        </w:tc>
        <w:tc>
          <w:tcPr>
            <w:tcW w:w="680" w:type="pct"/>
            <w:tcBorders>
              <w:top w:val="dashSmallGap" w:sz="4" w:space="0" w:color="auto"/>
              <w:left w:val="nil"/>
              <w:bottom w:val="nil"/>
              <w:right w:val="nil"/>
            </w:tcBorders>
            <w:shd w:val="clear" w:color="auto" w:fill="auto"/>
            <w:noWrap/>
            <w:vAlign w:val="bottom"/>
          </w:tcPr>
          <w:p w:rsidR="00B34262" w:rsidRPr="006A14B1" w:rsidRDefault="00B34262" w:rsidP="00731E1C">
            <w:pPr>
              <w:spacing w:after="0"/>
              <w:jc w:val="center"/>
              <w:rPr>
                <w:rFonts w:eastAsia="Times New Roman" w:cs="Times New Roman"/>
                <w:szCs w:val="24"/>
                <w:lang w:eastAsia="en-AU"/>
              </w:rPr>
            </w:pPr>
          </w:p>
        </w:tc>
        <w:tc>
          <w:tcPr>
            <w:tcW w:w="680" w:type="pct"/>
            <w:tcBorders>
              <w:top w:val="dashSmallGap" w:sz="4" w:space="0" w:color="auto"/>
              <w:left w:val="nil"/>
              <w:bottom w:val="nil"/>
              <w:right w:val="nil"/>
            </w:tcBorders>
            <w:shd w:val="clear" w:color="auto" w:fill="auto"/>
            <w:noWrap/>
            <w:vAlign w:val="bottom"/>
          </w:tcPr>
          <w:p w:rsidR="00B34262" w:rsidRPr="006A14B1" w:rsidRDefault="00B34262" w:rsidP="00731E1C">
            <w:pPr>
              <w:spacing w:after="0"/>
              <w:jc w:val="center"/>
              <w:rPr>
                <w:rFonts w:eastAsia="Times New Roman" w:cs="Times New Roman"/>
                <w:szCs w:val="24"/>
                <w:lang w:eastAsia="en-AU"/>
              </w:rPr>
            </w:pPr>
          </w:p>
        </w:tc>
        <w:tc>
          <w:tcPr>
            <w:tcW w:w="1436" w:type="pct"/>
            <w:tcBorders>
              <w:top w:val="dashSmallGap" w:sz="4" w:space="0" w:color="auto"/>
              <w:left w:val="nil"/>
              <w:bottom w:val="nil"/>
              <w:right w:val="nil"/>
            </w:tcBorders>
            <w:shd w:val="clear" w:color="auto" w:fill="auto"/>
            <w:noWrap/>
            <w:vAlign w:val="bottom"/>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1471" w:type="pct"/>
            <w:tcBorders>
              <w:top w:val="dashSmallGap" w:sz="4" w:space="0" w:color="auto"/>
              <w:left w:val="nil"/>
              <w:bottom w:val="nil"/>
              <w:right w:val="nil"/>
            </w:tcBorders>
            <w:shd w:val="clear" w:color="auto" w:fill="auto"/>
            <w:noWrap/>
            <w:vAlign w:val="bottom"/>
          </w:tcPr>
          <w:p w:rsidR="00B34262" w:rsidRPr="006A14B1" w:rsidRDefault="00B34262" w:rsidP="00731E1C">
            <w:pPr>
              <w:spacing w:after="0"/>
              <w:jc w:val="center"/>
              <w:rPr>
                <w:rFonts w:eastAsia="Times New Roman" w:cs="Times New Roman"/>
                <w:color w:val="000000"/>
                <w:szCs w:val="24"/>
                <w:lang w:eastAsia="en-AU"/>
              </w:rPr>
            </w:pPr>
          </w:p>
        </w:tc>
      </w:tr>
      <w:tr w:rsidR="00B34262" w:rsidRPr="006A14B1" w:rsidTr="00731E1C">
        <w:trPr>
          <w:trHeight w:val="300"/>
        </w:trPr>
        <w:tc>
          <w:tcPr>
            <w:tcW w:w="733"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szCs w:val="24"/>
                <w:lang w:eastAsia="en-AU"/>
              </w:rPr>
            </w:pPr>
          </w:p>
        </w:tc>
        <w:tc>
          <w:tcPr>
            <w:tcW w:w="1436"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Y-</w:t>
            </w:r>
          </w:p>
        </w:tc>
        <w:tc>
          <w:tcPr>
            <w:tcW w:w="1471"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p>
        </w:tc>
      </w:tr>
      <w:tr w:rsidR="00B34262" w:rsidRPr="006A14B1" w:rsidTr="00731E1C">
        <w:trPr>
          <w:trHeight w:val="70"/>
        </w:trPr>
        <w:tc>
          <w:tcPr>
            <w:tcW w:w="733" w:type="pct"/>
            <w:tcBorders>
              <w:top w:val="nil"/>
              <w:left w:val="nil"/>
              <w:bottom w:val="single"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680" w:type="pct"/>
            <w:tcBorders>
              <w:top w:val="nil"/>
              <w:left w:val="nil"/>
              <w:bottom w:val="single"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680" w:type="pct"/>
            <w:tcBorders>
              <w:top w:val="nil"/>
              <w:left w:val="nil"/>
              <w:bottom w:val="single"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1436" w:type="pct"/>
            <w:tcBorders>
              <w:top w:val="nil"/>
              <w:left w:val="nil"/>
              <w:bottom w:val="single"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1471" w:type="pct"/>
            <w:tcBorders>
              <w:top w:val="nil"/>
              <w:left w:val="nil"/>
              <w:bottom w:val="single" w:sz="4" w:space="0" w:color="auto"/>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r>
      <w:tr w:rsidR="00B34262" w:rsidRPr="006A14B1" w:rsidTr="00731E1C">
        <w:trPr>
          <w:trHeight w:val="300"/>
        </w:trPr>
        <w:tc>
          <w:tcPr>
            <w:tcW w:w="733" w:type="pct"/>
            <w:tcBorders>
              <w:top w:val="nil"/>
              <w:left w:val="nil"/>
              <w:bottom w:val="nil"/>
              <w:right w:val="nil"/>
            </w:tcBorders>
            <w:shd w:val="clear" w:color="auto" w:fill="auto"/>
            <w:noWrap/>
            <w:vAlign w:val="bottom"/>
            <w:hideMark/>
          </w:tcPr>
          <w:p w:rsidR="00B34262" w:rsidRPr="006A14B1" w:rsidRDefault="00B34262" w:rsidP="00731E1C">
            <w:pPr>
              <w:spacing w:after="0"/>
              <w:jc w:val="center"/>
              <w:rPr>
                <w:rFonts w:eastAsia="Times New Roman" w:cs="Times New Roman"/>
                <w:color w:val="000000"/>
                <w:szCs w:val="24"/>
                <w:lang w:eastAsia="en-AU"/>
              </w:rPr>
            </w:pP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rPr>
                <w:rFonts w:eastAsia="Times New Roman" w:cs="Times New Roman"/>
                <w:szCs w:val="24"/>
                <w:lang w:eastAsia="en-AU"/>
              </w:rPr>
            </w:pPr>
          </w:p>
        </w:tc>
        <w:tc>
          <w:tcPr>
            <w:tcW w:w="680" w:type="pct"/>
            <w:tcBorders>
              <w:top w:val="nil"/>
              <w:left w:val="nil"/>
              <w:bottom w:val="nil"/>
              <w:right w:val="nil"/>
            </w:tcBorders>
            <w:shd w:val="clear" w:color="auto" w:fill="auto"/>
            <w:noWrap/>
            <w:vAlign w:val="bottom"/>
            <w:hideMark/>
          </w:tcPr>
          <w:p w:rsidR="00B34262" w:rsidRPr="006A14B1" w:rsidRDefault="00B34262" w:rsidP="00731E1C">
            <w:pPr>
              <w:spacing w:after="0"/>
              <w:rPr>
                <w:rFonts w:eastAsia="Times New Roman" w:cs="Times New Roman"/>
                <w:szCs w:val="24"/>
                <w:lang w:eastAsia="en-AU"/>
              </w:rPr>
            </w:pPr>
          </w:p>
        </w:tc>
        <w:tc>
          <w:tcPr>
            <w:tcW w:w="1436" w:type="pct"/>
            <w:tcBorders>
              <w:top w:val="nil"/>
              <w:left w:val="nil"/>
              <w:bottom w:val="nil"/>
              <w:right w:val="nil"/>
            </w:tcBorders>
            <w:shd w:val="clear" w:color="auto" w:fill="auto"/>
            <w:noWrap/>
            <w:vAlign w:val="bottom"/>
            <w:hideMark/>
          </w:tcPr>
          <w:p w:rsidR="00B34262" w:rsidRPr="006A14B1" w:rsidRDefault="00B34262" w:rsidP="00731E1C">
            <w:pPr>
              <w:spacing w:after="0"/>
              <w:rPr>
                <w:rFonts w:eastAsia="Times New Roman" w:cs="Times New Roman"/>
                <w:szCs w:val="24"/>
                <w:lang w:eastAsia="en-AU"/>
              </w:rPr>
            </w:pPr>
          </w:p>
        </w:tc>
        <w:tc>
          <w:tcPr>
            <w:tcW w:w="1471" w:type="pct"/>
            <w:tcBorders>
              <w:top w:val="nil"/>
              <w:left w:val="nil"/>
              <w:bottom w:val="nil"/>
              <w:right w:val="nil"/>
            </w:tcBorders>
            <w:shd w:val="clear" w:color="auto" w:fill="auto"/>
            <w:noWrap/>
            <w:vAlign w:val="bottom"/>
            <w:hideMark/>
          </w:tcPr>
          <w:p w:rsidR="00B34262" w:rsidRPr="006A14B1" w:rsidRDefault="00B34262" w:rsidP="00731E1C">
            <w:pPr>
              <w:spacing w:after="0"/>
              <w:rPr>
                <w:rFonts w:eastAsia="Times New Roman" w:cs="Times New Roman"/>
                <w:szCs w:val="24"/>
                <w:lang w:eastAsia="en-AU"/>
              </w:rPr>
            </w:pPr>
          </w:p>
        </w:tc>
      </w:tr>
      <w:tr w:rsidR="00B34262" w:rsidRPr="006A14B1" w:rsidTr="00731E1C">
        <w:trPr>
          <w:trHeight w:val="300"/>
        </w:trPr>
        <w:tc>
          <w:tcPr>
            <w:tcW w:w="5000" w:type="pct"/>
            <w:gridSpan w:val="5"/>
            <w:tcBorders>
              <w:top w:val="nil"/>
              <w:left w:val="nil"/>
              <w:bottom w:val="nil"/>
              <w:right w:val="nil"/>
            </w:tcBorders>
            <w:shd w:val="clear" w:color="auto" w:fill="auto"/>
            <w:noWrap/>
            <w:vAlign w:val="bottom"/>
            <w:hideMark/>
          </w:tcPr>
          <w:p w:rsidR="00B34262" w:rsidRPr="006A14B1" w:rsidRDefault="00B34262" w:rsidP="00731E1C">
            <w:pPr>
              <w:spacing w:after="0"/>
              <w:jc w:val="both"/>
              <w:rPr>
                <w:rFonts w:eastAsia="Times New Roman" w:cs="Times New Roman"/>
                <w:color w:val="000000"/>
                <w:szCs w:val="24"/>
                <w:lang w:eastAsia="en-AU"/>
              </w:rPr>
            </w:pPr>
            <w:r w:rsidRPr="006A14B1">
              <w:rPr>
                <w:rFonts w:eastAsia="Times New Roman" w:cs="Times New Roman"/>
                <w:color w:val="000000"/>
                <w:szCs w:val="24"/>
                <w:lang w:eastAsia="en-AU"/>
              </w:rPr>
              <w:t xml:space="preserve">The design of experiment 1c intended to establish cue X as a conditioned inhibitor. The key aspects of the procedure are highlighted above the dashed line and additional cues are presented below the dashed line. </w:t>
            </w:r>
            <w:proofErr w:type="gramStart"/>
            <w:r w:rsidRPr="006A14B1">
              <w:rPr>
                <w:rFonts w:eastAsia="Times New Roman" w:cs="Times New Roman"/>
                <w:color w:val="000000"/>
                <w:szCs w:val="24"/>
                <w:lang w:eastAsia="en-AU"/>
              </w:rPr>
              <w:t>A</w:t>
            </w:r>
            <w:proofErr w:type="gramEnd"/>
            <w:r w:rsidRPr="006A14B1">
              <w:rPr>
                <w:rFonts w:eastAsia="Times New Roman" w:cs="Times New Roman"/>
                <w:color w:val="000000"/>
                <w:szCs w:val="24"/>
                <w:lang w:eastAsia="en-AU"/>
              </w:rPr>
              <w:t xml:space="preserve"> and B are auditory cues (white noise and click), X and Y are visual cues (house light off and panel lights on), Z was always a flashing magazine light </w:t>
            </w:r>
            <w:r w:rsidRPr="006A14B1">
              <w:rPr>
                <w:rFonts w:eastAsia="Times New Roman" w:cs="Times New Roman"/>
                <w:color w:val="000000"/>
                <w:szCs w:val="24"/>
                <w:lang w:eastAsia="en-AU"/>
              </w:rPr>
              <w:lastRenderedPageBreak/>
              <w:t>and the symbols "+" and "-" denote reward and non-reward respectively. Infusion of saline or muscimol occurred during stage 2.</w:t>
            </w:r>
          </w:p>
        </w:tc>
      </w:tr>
    </w:tbl>
    <w:p w:rsidR="00B34262" w:rsidRPr="001064BB" w:rsidRDefault="00B34262" w:rsidP="004A258F">
      <w:pPr>
        <w:ind w:firstLine="720"/>
        <w:rPr>
          <w:rFonts w:cs="Times New Roman"/>
          <w:b/>
          <w:szCs w:val="24"/>
          <w:u w:val="single"/>
        </w:rPr>
      </w:pPr>
    </w:p>
    <w:p w:rsidR="001064BB" w:rsidRPr="006A14B1" w:rsidRDefault="001064BB" w:rsidP="001064BB">
      <w:pPr>
        <w:pStyle w:val="2Marioslevel2"/>
      </w:pPr>
      <w:bookmarkStart w:id="5" w:name="_Toc417304815"/>
      <w:r w:rsidRPr="006A14B1">
        <w:t>Training</w:t>
      </w:r>
      <w:bookmarkEnd w:id="5"/>
    </w:p>
    <w:p w:rsidR="001064BB" w:rsidRPr="006A14B1" w:rsidRDefault="001064BB" w:rsidP="001064BB">
      <w:pPr>
        <w:pStyle w:val="3MariosLevel3"/>
      </w:pPr>
      <w:bookmarkStart w:id="6" w:name="_Toc417304817"/>
      <w:r>
        <w:t>Stage 1 Acquisition (Days 1-4)</w:t>
      </w:r>
      <w:bookmarkEnd w:id="6"/>
    </w:p>
    <w:p w:rsidR="001064BB" w:rsidRPr="006A14B1" w:rsidRDefault="001064BB" w:rsidP="001064BB">
      <w:pPr>
        <w:pStyle w:val="NormalWeb"/>
        <w:spacing w:after="200" w:line="360" w:lineRule="auto"/>
        <w:ind w:firstLine="720"/>
        <w:rPr>
          <w:color w:val="000000"/>
        </w:rPr>
      </w:pP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rsidR="001064BB" w:rsidRPr="006A14B1" w:rsidRDefault="001064BB" w:rsidP="001064BB">
      <w:pPr>
        <w:pStyle w:val="3MariosLevel3"/>
      </w:pPr>
      <w:bookmarkStart w:id="7" w:name="_Toc417304818"/>
      <w:r w:rsidRPr="006A14B1">
        <w:t>Stage 2 Feature negative</w:t>
      </w:r>
      <w:r>
        <w:t xml:space="preserve"> training- Infusion (Days 5-10)</w:t>
      </w:r>
      <w:bookmarkEnd w:id="7"/>
    </w:p>
    <w:p w:rsidR="001064BB" w:rsidRPr="006A14B1" w:rsidRDefault="001064BB" w:rsidP="001064BB">
      <w:pPr>
        <w:pStyle w:val="NormalWeb"/>
        <w:spacing w:after="200" w:line="360" w:lineRule="auto"/>
        <w:ind w:firstLine="720"/>
        <w:rPr>
          <w:color w:val="000000"/>
        </w:rPr>
      </w:pPr>
      <w:r w:rsidRPr="006A14B1">
        <w:rPr>
          <w:color w:val="000000"/>
        </w:rPr>
        <w:t xml:space="preserve">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rsidR="001064BB" w:rsidRPr="006A14B1" w:rsidRDefault="001064BB" w:rsidP="001064BB">
      <w:pPr>
        <w:pStyle w:val="3MariosLevel3"/>
      </w:pPr>
      <w:bookmarkStart w:id="8" w:name="_Toc417304819"/>
      <w:r w:rsidRPr="006A14B1">
        <w:t>St</w:t>
      </w:r>
      <w:r>
        <w:t>age 3 Cue Training (Days 11-12)</w:t>
      </w:r>
      <w:bookmarkEnd w:id="8"/>
    </w:p>
    <w:p w:rsidR="001064BB" w:rsidRPr="006A14B1" w:rsidRDefault="001064BB" w:rsidP="001064BB">
      <w:pPr>
        <w:pStyle w:val="NormalWeb"/>
        <w:spacing w:after="200" w:line="360" w:lineRule="auto"/>
        <w:ind w:firstLine="720"/>
        <w:rPr>
          <w:color w:val="000000"/>
        </w:rPr>
      </w:pPr>
      <w:r w:rsidRPr="006A14B1">
        <w:rPr>
          <w:color w:val="000000"/>
        </w:rPr>
        <w:t>During cue retraining sessions a total of 36 trials were presented, consisting of 18 B+ and 18 Z+ trials. This retraining was done to ensure that responding to cue B was high prior to the summation test. No infusions were administered prior to each session.</w:t>
      </w:r>
    </w:p>
    <w:p w:rsidR="001064BB" w:rsidRPr="006A14B1" w:rsidRDefault="001064BB" w:rsidP="001064BB">
      <w:pPr>
        <w:pStyle w:val="3MariosLevel3"/>
      </w:pPr>
      <w:bookmarkStart w:id="9" w:name="_Toc417304820"/>
      <w:r w:rsidRPr="006A14B1">
        <w:t xml:space="preserve">Stage </w:t>
      </w:r>
      <w:r>
        <w:t>4 Summation probe test (Day 13)</w:t>
      </w:r>
      <w:bookmarkEnd w:id="9"/>
    </w:p>
    <w:p w:rsidR="001064BB" w:rsidRPr="006A14B1" w:rsidRDefault="001064BB" w:rsidP="001064BB">
      <w:pPr>
        <w:pStyle w:val="NormalWeb"/>
        <w:spacing w:after="200" w:line="360" w:lineRule="auto"/>
        <w:ind w:firstLine="720"/>
        <w:rPr>
          <w:color w:val="000000"/>
        </w:rPr>
      </w:pPr>
      <w:r w:rsidRPr="006A14B1">
        <w:rPr>
          <w:color w:val="000000"/>
        </w:rPr>
        <w:t xml:space="preserve">The summation probe test consisted of 27 trials (45 </w:t>
      </w:r>
      <w:proofErr w:type="gramStart"/>
      <w:r w:rsidRPr="006A14B1">
        <w:rPr>
          <w:color w:val="000000"/>
        </w:rPr>
        <w:t>mins</w:t>
      </w:r>
      <w:proofErr w:type="gramEnd"/>
      <w:r w:rsidRPr="006A14B1">
        <w:rPr>
          <w:color w:val="000000"/>
        </w:rP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w:t>
      </w:r>
      <w:r w:rsidRPr="006A14B1">
        <w:rPr>
          <w:color w:val="000000"/>
        </w:rPr>
        <w:lastRenderedPageBreak/>
        <w:t>of Y- at the end of the session. This pre-exposure to cue Y was done to minimise an</w:t>
      </w:r>
      <w:r w:rsidRPr="006A14B1">
        <w:t xml:space="preserve">y external inhibition that </w:t>
      </w:r>
      <w:r w:rsidRPr="006A14B1">
        <w:rPr>
          <w:color w:val="000000"/>
        </w:rPr>
        <w:t xml:space="preserve">may occur during the retardation test that followed.  </w:t>
      </w:r>
    </w:p>
    <w:p w:rsidR="001064BB" w:rsidRPr="006A14B1" w:rsidRDefault="001064BB" w:rsidP="001064BB">
      <w:pPr>
        <w:pStyle w:val="3MariosLevel3"/>
      </w:pPr>
      <w:bookmarkStart w:id="10" w:name="_Toc417304821"/>
      <w:r w:rsidRPr="006A14B1">
        <w:t>Stage 5 Retardation t</w:t>
      </w:r>
      <w:r>
        <w:t>est (Days 14-16)</w:t>
      </w:r>
      <w:bookmarkEnd w:id="10"/>
    </w:p>
    <w:p w:rsidR="001064BB" w:rsidRPr="006A14B1" w:rsidRDefault="001064BB" w:rsidP="001064BB">
      <w:pPr>
        <w:pStyle w:val="NormalWeb"/>
        <w:spacing w:after="200" w:line="360" w:lineRule="auto"/>
        <w:ind w:firstLine="720"/>
        <w:rPr>
          <w:color w:val="000000"/>
        </w:rPr>
      </w:pPr>
      <w:r w:rsidRPr="006A14B1">
        <w:rPr>
          <w:color w:val="000000"/>
        </w:rPr>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rsidR="001064BB" w:rsidRPr="006A14B1" w:rsidRDefault="001064BB" w:rsidP="001064BB">
      <w:pPr>
        <w:pStyle w:val="2Marioslevel2"/>
      </w:pPr>
      <w:bookmarkStart w:id="11" w:name="_Toc417304822"/>
      <w:r w:rsidRPr="006A14B1">
        <w:t>Consumption test (Days 17-18)</w:t>
      </w:r>
      <w:bookmarkEnd w:id="11"/>
    </w:p>
    <w:p w:rsidR="001064BB" w:rsidRPr="006A14B1" w:rsidRDefault="001064BB" w:rsidP="001064BB">
      <w:pPr>
        <w:pStyle w:val="NormalWeb"/>
        <w:spacing w:after="200" w:line="360" w:lineRule="auto"/>
        <w:ind w:firstLine="720"/>
        <w:rPr>
          <w:color w:val="000000"/>
        </w:rPr>
      </w:pPr>
      <w:r w:rsidRPr="006A14B1">
        <w:rPr>
          <w:color w:val="000000"/>
        </w:rPr>
        <w:t xml:space="preserve">Following the retardation test, all animals were given a consumption test to assess whether muscimol infusions into the OFC impaired the </w:t>
      </w:r>
      <w:r w:rsidR="002E4CE4">
        <w:rPr>
          <w:color w:val="000000"/>
        </w:rPr>
        <w:t xml:space="preserve">motivation or timing of the </w:t>
      </w:r>
      <w:r w:rsidRPr="006A14B1">
        <w:rPr>
          <w:color w:val="000000"/>
        </w:rPr>
        <w:t xml:space="preserve">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 </w:t>
      </w:r>
    </w:p>
    <w:p w:rsidR="00DE43CE" w:rsidRPr="001064BB" w:rsidRDefault="001064BB" w:rsidP="00071148">
      <w:pPr>
        <w:ind w:firstLine="720"/>
        <w:rPr>
          <w:rFonts w:cs="Times New Roman"/>
          <w:b/>
          <w:szCs w:val="24"/>
          <w:u w:val="single"/>
        </w:rPr>
      </w:pPr>
      <w:r w:rsidRPr="001064BB">
        <w:rPr>
          <w:rFonts w:cs="Times New Roman"/>
          <w:b/>
          <w:szCs w:val="24"/>
          <w:u w:val="single"/>
        </w:rPr>
        <w:t>Experiment 2</w:t>
      </w:r>
    </w:p>
    <w:p w:rsidR="001064BB" w:rsidRPr="006A14B1" w:rsidRDefault="001064BB" w:rsidP="002E4CE4">
      <w:pPr>
        <w:pStyle w:val="2Marioslevel2"/>
      </w:pPr>
      <w:bookmarkStart w:id="12" w:name="_Toc417304846"/>
      <w:r w:rsidRPr="006A14B1">
        <w:t>Training</w:t>
      </w:r>
      <w:bookmarkEnd w:id="12"/>
    </w:p>
    <w:tbl>
      <w:tblPr>
        <w:tblpPr w:leftFromText="180" w:rightFromText="180" w:vertAnchor="text" w:horzAnchor="margin" w:tblpY="-30"/>
        <w:tblW w:w="9360" w:type="dxa"/>
        <w:tblLook w:val="04A0" w:firstRow="1" w:lastRow="0" w:firstColumn="1" w:lastColumn="0" w:noHBand="0" w:noVBand="1"/>
      </w:tblPr>
      <w:tblGrid>
        <w:gridCol w:w="1531"/>
        <w:gridCol w:w="1531"/>
        <w:gridCol w:w="1531"/>
        <w:gridCol w:w="2358"/>
        <w:gridCol w:w="2409"/>
      </w:tblGrid>
      <w:tr w:rsidR="001064BB" w:rsidRPr="006A14B1" w:rsidTr="00731E1C">
        <w:trPr>
          <w:trHeight w:val="300"/>
        </w:trPr>
        <w:tc>
          <w:tcPr>
            <w:tcW w:w="9360" w:type="dxa"/>
            <w:gridSpan w:val="5"/>
            <w:tcBorders>
              <w:top w:val="nil"/>
              <w:left w:val="nil"/>
              <w:bottom w:val="nil"/>
              <w:right w:val="nil"/>
            </w:tcBorders>
            <w:shd w:val="clear" w:color="auto" w:fill="auto"/>
            <w:noWrap/>
            <w:vAlign w:val="bottom"/>
            <w:hideMark/>
          </w:tcPr>
          <w:p w:rsidR="001064BB" w:rsidRPr="006A14B1" w:rsidRDefault="001064BB" w:rsidP="00731E1C">
            <w:pPr>
              <w:pStyle w:val="Tables"/>
            </w:pPr>
            <w:bookmarkStart w:id="13" w:name="_Toc417279024"/>
            <w:bookmarkStart w:id="14" w:name="_Toc417302437"/>
            <w:r w:rsidRPr="006A14B1">
              <w:lastRenderedPageBreak/>
              <w:t>Table 5. Pavlovian conditioned inhibition experimental design in Experiment 1d.</w:t>
            </w:r>
            <w:bookmarkEnd w:id="13"/>
            <w:bookmarkEnd w:id="14"/>
          </w:p>
        </w:tc>
      </w:tr>
      <w:tr w:rsidR="001064BB" w:rsidRPr="006A14B1" w:rsidTr="00731E1C">
        <w:trPr>
          <w:trHeight w:val="300"/>
        </w:trPr>
        <w:tc>
          <w:tcPr>
            <w:tcW w:w="1531" w:type="dxa"/>
            <w:tcBorders>
              <w:top w:val="single" w:sz="4" w:space="0" w:color="auto"/>
              <w:left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Stage 1</w:t>
            </w:r>
          </w:p>
        </w:tc>
        <w:tc>
          <w:tcPr>
            <w:tcW w:w="1531" w:type="dxa"/>
            <w:tcBorders>
              <w:top w:val="single" w:sz="4" w:space="0" w:color="auto"/>
              <w:left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Stage 2</w:t>
            </w:r>
          </w:p>
        </w:tc>
        <w:tc>
          <w:tcPr>
            <w:tcW w:w="1531" w:type="dxa"/>
            <w:tcBorders>
              <w:top w:val="single" w:sz="4" w:space="0" w:color="auto"/>
              <w:left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Test</w:t>
            </w:r>
          </w:p>
        </w:tc>
        <w:tc>
          <w:tcPr>
            <w:tcW w:w="2358" w:type="dxa"/>
            <w:tcBorders>
              <w:top w:val="single" w:sz="4" w:space="0" w:color="auto"/>
              <w:left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Summation Test</w:t>
            </w:r>
          </w:p>
        </w:tc>
        <w:tc>
          <w:tcPr>
            <w:tcW w:w="2409" w:type="dxa"/>
            <w:tcBorders>
              <w:top w:val="single" w:sz="4" w:space="0" w:color="auto"/>
              <w:left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u w:val="single"/>
                <w:lang w:eastAsia="en-AU"/>
              </w:rPr>
            </w:pPr>
            <w:r w:rsidRPr="006A14B1">
              <w:rPr>
                <w:rFonts w:eastAsia="Times New Roman" w:cs="Times New Roman"/>
                <w:color w:val="000000"/>
                <w:szCs w:val="24"/>
                <w:u w:val="single"/>
                <w:lang w:eastAsia="en-AU"/>
              </w:rPr>
              <w:t>Retardation Test</w:t>
            </w:r>
          </w:p>
        </w:tc>
      </w:tr>
      <w:tr w:rsidR="001064BB" w:rsidRPr="006A14B1" w:rsidTr="00731E1C">
        <w:trPr>
          <w:trHeight w:val="300"/>
        </w:trPr>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w:t>
            </w: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AX-</w:t>
            </w: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A-</w:t>
            </w:r>
          </w:p>
        </w:tc>
        <w:tc>
          <w:tcPr>
            <w:tcW w:w="2358"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p>
        </w:tc>
        <w:tc>
          <w:tcPr>
            <w:tcW w:w="2409"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r>
      <w:tr w:rsidR="001064BB" w:rsidRPr="006A14B1" w:rsidTr="00731E1C">
        <w:trPr>
          <w:trHeight w:val="300"/>
        </w:trPr>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2358"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BX-</w:t>
            </w:r>
          </w:p>
        </w:tc>
        <w:tc>
          <w:tcPr>
            <w:tcW w:w="2409"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X+</w:t>
            </w:r>
          </w:p>
        </w:tc>
      </w:tr>
      <w:tr w:rsidR="001064BB" w:rsidRPr="006A14B1" w:rsidTr="00731E1C">
        <w:trPr>
          <w:trHeight w:val="300"/>
        </w:trPr>
        <w:tc>
          <w:tcPr>
            <w:tcW w:w="1531" w:type="dxa"/>
            <w:tcBorders>
              <w:top w:val="nil"/>
              <w:left w:val="nil"/>
              <w:bottom w:val="dashSmallGap"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1531" w:type="dxa"/>
            <w:tcBorders>
              <w:top w:val="nil"/>
              <w:left w:val="nil"/>
              <w:bottom w:val="dashSmallGap"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p>
        </w:tc>
        <w:tc>
          <w:tcPr>
            <w:tcW w:w="1531" w:type="dxa"/>
            <w:tcBorders>
              <w:top w:val="nil"/>
              <w:left w:val="nil"/>
              <w:bottom w:val="dashSmallGap"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2358" w:type="dxa"/>
            <w:tcBorders>
              <w:top w:val="nil"/>
              <w:left w:val="nil"/>
              <w:bottom w:val="dashSmallGap"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2409" w:type="dxa"/>
            <w:tcBorders>
              <w:top w:val="nil"/>
              <w:left w:val="nil"/>
              <w:bottom w:val="dashSmallGap"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Y+</w:t>
            </w:r>
          </w:p>
        </w:tc>
      </w:tr>
      <w:tr w:rsidR="001064BB" w:rsidRPr="006A14B1" w:rsidTr="00731E1C">
        <w:trPr>
          <w:trHeight w:val="300"/>
        </w:trPr>
        <w:tc>
          <w:tcPr>
            <w:tcW w:w="1531" w:type="dxa"/>
            <w:tcBorders>
              <w:top w:val="dashSmallGap" w:sz="4" w:space="0" w:color="auto"/>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C+</w:t>
            </w:r>
          </w:p>
        </w:tc>
        <w:tc>
          <w:tcPr>
            <w:tcW w:w="1531" w:type="dxa"/>
            <w:tcBorders>
              <w:top w:val="dashSmallGap" w:sz="4" w:space="0" w:color="auto"/>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C-</w:t>
            </w:r>
          </w:p>
        </w:tc>
        <w:tc>
          <w:tcPr>
            <w:tcW w:w="1531" w:type="dxa"/>
            <w:tcBorders>
              <w:top w:val="dashSmallGap" w:sz="4" w:space="0" w:color="auto"/>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C-</w:t>
            </w:r>
          </w:p>
        </w:tc>
        <w:tc>
          <w:tcPr>
            <w:tcW w:w="2358" w:type="dxa"/>
            <w:tcBorders>
              <w:top w:val="dashSmallGap" w:sz="4" w:space="0" w:color="auto"/>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B+</w:t>
            </w:r>
          </w:p>
        </w:tc>
        <w:tc>
          <w:tcPr>
            <w:tcW w:w="2409" w:type="dxa"/>
            <w:tcBorders>
              <w:top w:val="dashSmallGap" w:sz="4" w:space="0" w:color="auto"/>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r>
      <w:tr w:rsidR="001064BB" w:rsidRPr="006A14B1" w:rsidTr="00731E1C">
        <w:trPr>
          <w:trHeight w:val="300"/>
        </w:trPr>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szCs w:val="24"/>
                <w:lang w:eastAsia="en-AU"/>
              </w:rPr>
            </w:pPr>
          </w:p>
        </w:tc>
        <w:tc>
          <w:tcPr>
            <w:tcW w:w="2358"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Y-</w:t>
            </w:r>
          </w:p>
        </w:tc>
        <w:tc>
          <w:tcPr>
            <w:tcW w:w="2409" w:type="dxa"/>
            <w:tcBorders>
              <w:top w:val="nil"/>
              <w:left w:val="nil"/>
              <w:bottom w:val="nil"/>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p>
        </w:tc>
      </w:tr>
      <w:tr w:rsidR="001064BB" w:rsidRPr="006A14B1" w:rsidTr="00731E1C">
        <w:trPr>
          <w:trHeight w:val="300"/>
        </w:trPr>
        <w:tc>
          <w:tcPr>
            <w:tcW w:w="1531" w:type="dxa"/>
            <w:tcBorders>
              <w:top w:val="nil"/>
              <w:left w:val="nil"/>
              <w:bottom w:val="single"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1531" w:type="dxa"/>
            <w:tcBorders>
              <w:top w:val="nil"/>
              <w:left w:val="nil"/>
              <w:bottom w:val="single"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 </w:t>
            </w:r>
          </w:p>
        </w:tc>
        <w:tc>
          <w:tcPr>
            <w:tcW w:w="1531" w:type="dxa"/>
            <w:tcBorders>
              <w:top w:val="nil"/>
              <w:left w:val="nil"/>
              <w:bottom w:val="single"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 </w:t>
            </w:r>
          </w:p>
        </w:tc>
        <w:tc>
          <w:tcPr>
            <w:tcW w:w="2358" w:type="dxa"/>
            <w:tcBorders>
              <w:top w:val="nil"/>
              <w:left w:val="nil"/>
              <w:bottom w:val="single"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c>
          <w:tcPr>
            <w:tcW w:w="2409" w:type="dxa"/>
            <w:tcBorders>
              <w:top w:val="nil"/>
              <w:left w:val="nil"/>
              <w:bottom w:val="single" w:sz="4" w:space="0" w:color="auto"/>
              <w:right w:val="nil"/>
            </w:tcBorders>
            <w:shd w:val="clear" w:color="auto" w:fill="auto"/>
            <w:noWrap/>
            <w:vAlign w:val="bottom"/>
            <w:hideMark/>
          </w:tcPr>
          <w:p w:rsidR="001064BB" w:rsidRPr="006A14B1" w:rsidRDefault="001064BB" w:rsidP="00731E1C">
            <w:pPr>
              <w:spacing w:after="0"/>
              <w:jc w:val="center"/>
              <w:rPr>
                <w:rFonts w:eastAsia="Times New Roman" w:cs="Times New Roman"/>
                <w:color w:val="000000"/>
                <w:szCs w:val="24"/>
                <w:lang w:eastAsia="en-AU"/>
              </w:rPr>
            </w:pPr>
            <w:r w:rsidRPr="006A14B1">
              <w:rPr>
                <w:rFonts w:eastAsia="Times New Roman" w:cs="Times New Roman"/>
                <w:color w:val="000000"/>
                <w:szCs w:val="24"/>
                <w:lang w:eastAsia="en-AU"/>
              </w:rPr>
              <w:t>Z-</w:t>
            </w:r>
          </w:p>
        </w:tc>
      </w:tr>
      <w:tr w:rsidR="001064BB" w:rsidRPr="006A14B1" w:rsidTr="00731E1C">
        <w:trPr>
          <w:trHeight w:val="300"/>
        </w:trPr>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jc w:val="both"/>
              <w:rPr>
                <w:rFonts w:eastAsia="Times New Roman" w:cs="Times New Roman"/>
                <w:color w:val="000000"/>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rPr>
                <w:rFonts w:eastAsia="Times New Roman" w:cs="Times New Roman"/>
                <w:szCs w:val="24"/>
                <w:lang w:eastAsia="en-AU"/>
              </w:rPr>
            </w:pPr>
          </w:p>
        </w:tc>
        <w:tc>
          <w:tcPr>
            <w:tcW w:w="1531" w:type="dxa"/>
            <w:tcBorders>
              <w:top w:val="nil"/>
              <w:left w:val="nil"/>
              <w:bottom w:val="nil"/>
              <w:right w:val="nil"/>
            </w:tcBorders>
            <w:shd w:val="clear" w:color="auto" w:fill="auto"/>
            <w:noWrap/>
            <w:vAlign w:val="bottom"/>
            <w:hideMark/>
          </w:tcPr>
          <w:p w:rsidR="001064BB" w:rsidRPr="006A14B1" w:rsidRDefault="001064BB" w:rsidP="00731E1C">
            <w:pPr>
              <w:spacing w:after="0"/>
              <w:rPr>
                <w:rFonts w:eastAsia="Times New Roman" w:cs="Times New Roman"/>
                <w:szCs w:val="24"/>
                <w:lang w:eastAsia="en-AU"/>
              </w:rPr>
            </w:pPr>
          </w:p>
        </w:tc>
        <w:tc>
          <w:tcPr>
            <w:tcW w:w="2358" w:type="dxa"/>
            <w:tcBorders>
              <w:top w:val="nil"/>
              <w:left w:val="nil"/>
              <w:bottom w:val="nil"/>
              <w:right w:val="nil"/>
            </w:tcBorders>
            <w:shd w:val="clear" w:color="auto" w:fill="auto"/>
            <w:noWrap/>
            <w:vAlign w:val="bottom"/>
            <w:hideMark/>
          </w:tcPr>
          <w:p w:rsidR="001064BB" w:rsidRPr="006A14B1" w:rsidRDefault="001064BB" w:rsidP="00731E1C">
            <w:pPr>
              <w:spacing w:after="0"/>
              <w:rPr>
                <w:rFonts w:eastAsia="Times New Roman" w:cs="Times New Roman"/>
                <w:szCs w:val="24"/>
                <w:lang w:eastAsia="en-AU"/>
              </w:rPr>
            </w:pPr>
          </w:p>
        </w:tc>
        <w:tc>
          <w:tcPr>
            <w:tcW w:w="2409" w:type="dxa"/>
            <w:tcBorders>
              <w:top w:val="nil"/>
              <w:left w:val="nil"/>
              <w:bottom w:val="nil"/>
              <w:right w:val="nil"/>
            </w:tcBorders>
            <w:shd w:val="clear" w:color="auto" w:fill="auto"/>
            <w:noWrap/>
            <w:vAlign w:val="bottom"/>
            <w:hideMark/>
          </w:tcPr>
          <w:p w:rsidR="001064BB" w:rsidRPr="006A14B1" w:rsidRDefault="001064BB" w:rsidP="00731E1C">
            <w:pPr>
              <w:spacing w:after="0"/>
              <w:rPr>
                <w:rFonts w:eastAsia="Times New Roman" w:cs="Times New Roman"/>
                <w:szCs w:val="24"/>
                <w:lang w:eastAsia="en-AU"/>
              </w:rPr>
            </w:pPr>
          </w:p>
        </w:tc>
      </w:tr>
      <w:tr w:rsidR="001064BB" w:rsidRPr="006A14B1" w:rsidTr="00731E1C">
        <w:trPr>
          <w:trHeight w:val="300"/>
        </w:trPr>
        <w:tc>
          <w:tcPr>
            <w:tcW w:w="9360" w:type="dxa"/>
            <w:gridSpan w:val="5"/>
            <w:tcBorders>
              <w:top w:val="nil"/>
              <w:left w:val="nil"/>
              <w:bottom w:val="nil"/>
              <w:right w:val="nil"/>
            </w:tcBorders>
            <w:shd w:val="clear" w:color="auto" w:fill="auto"/>
            <w:noWrap/>
            <w:vAlign w:val="bottom"/>
            <w:hideMark/>
          </w:tcPr>
          <w:p w:rsidR="001064BB" w:rsidRPr="006A14B1" w:rsidRDefault="001064BB" w:rsidP="00731E1C">
            <w:pPr>
              <w:spacing w:after="0"/>
              <w:jc w:val="both"/>
              <w:rPr>
                <w:rFonts w:eastAsia="Times New Roman" w:cs="Times New Roman"/>
                <w:color w:val="000000"/>
                <w:szCs w:val="24"/>
                <w:lang w:eastAsia="en-AU"/>
              </w:rPr>
            </w:pPr>
            <w:r w:rsidRPr="006A14B1">
              <w:rPr>
                <w:rFonts w:eastAsia="Times New Roman" w:cs="Times New Roman"/>
                <w:color w:val="000000"/>
                <w:szCs w:val="24"/>
                <w:lang w:eastAsia="en-AU"/>
              </w:rPr>
              <w:t xml:space="preserve">The design of experiment 1c intended to establish cue X was a conditioned inhibitor. The main design is depicted above the dashed line whereas additional control cues are depicted below the dashed line. </w:t>
            </w:r>
            <w:proofErr w:type="gramStart"/>
            <w:r w:rsidRPr="006A14B1">
              <w:rPr>
                <w:rFonts w:eastAsia="Times New Roman" w:cs="Times New Roman"/>
                <w:color w:val="000000"/>
                <w:szCs w:val="24"/>
                <w:lang w:eastAsia="en-AU"/>
              </w:rPr>
              <w:t>A</w:t>
            </w:r>
            <w:proofErr w:type="gramEnd"/>
            <w:r w:rsidRPr="006A14B1">
              <w:rPr>
                <w:rFonts w:eastAsia="Times New Roman" w:cs="Times New Roman"/>
                <w:color w:val="000000"/>
                <w:szCs w:val="24"/>
                <w:lang w:eastAsia="en-AU"/>
              </w:rPr>
              <w:t xml:space="preserve"> and B are auditory cues (white noise and click), C was always a tone, X and Y are visual cues (house light off and panel lights on), Z was always a flashing magazine light and the symbols "+" and "-" denote reward and non-reward respectively. Infusion of saline or muscimol occurred during stage 2.</w:t>
            </w:r>
          </w:p>
        </w:tc>
      </w:tr>
    </w:tbl>
    <w:p w:rsidR="00E543DC" w:rsidRDefault="00E543DC" w:rsidP="001064BB">
      <w:pPr>
        <w:pStyle w:val="NormalWeb"/>
        <w:spacing w:after="200" w:line="360" w:lineRule="auto"/>
        <w:ind w:firstLine="720"/>
        <w:rPr>
          <w:color w:val="000000"/>
        </w:rPr>
      </w:pPr>
    </w:p>
    <w:p w:rsidR="001064BB" w:rsidRPr="006A14B1" w:rsidRDefault="001064BB" w:rsidP="001064BB">
      <w:pPr>
        <w:pStyle w:val="3MariosLevel3"/>
      </w:pPr>
      <w:bookmarkStart w:id="15" w:name="_Toc417304848"/>
      <w:r w:rsidRPr="006A14B1">
        <w:t>Stage 1 Acquisition (Pre-surgery Days 1-6</w:t>
      </w:r>
      <w:r>
        <w:t>)</w:t>
      </w:r>
      <w:bookmarkEnd w:id="15"/>
    </w:p>
    <w:p w:rsidR="001064BB" w:rsidRPr="006A14B1" w:rsidRDefault="001064BB" w:rsidP="001064BB">
      <w:pPr>
        <w:pStyle w:val="NormalWeb"/>
        <w:spacing w:after="200" w:line="360" w:lineRule="auto"/>
        <w:ind w:firstLine="720"/>
        <w:rPr>
          <w:color w:val="000000"/>
        </w:rPr>
      </w:pPr>
      <w:r w:rsidRPr="006A14B1">
        <w:rPr>
          <w:color w:val="000000"/>
        </w:rPr>
        <w:t xml:space="preserve">During acquisition sessions there were a total of 36 trials, consisting of 9 A+, 9 B+, 9 C+ and 9 Z+ trials. </w:t>
      </w:r>
      <w:r w:rsidR="0006704D">
        <w:rPr>
          <w:color w:val="000000"/>
        </w:rPr>
        <w:t>A</w:t>
      </w:r>
      <w:r w:rsidRPr="006A14B1">
        <w:rPr>
          <w:color w:val="000000"/>
        </w:rPr>
        <w:t xml:space="preserve">nimals were entered for 2 sessions per day for stage 1 training for a total of 12 sessions across 6 days. </w:t>
      </w:r>
    </w:p>
    <w:p w:rsidR="001064BB" w:rsidRPr="006A14B1" w:rsidRDefault="001064BB" w:rsidP="001064BB">
      <w:pPr>
        <w:pStyle w:val="NormalWeb"/>
        <w:spacing w:after="200" w:line="360" w:lineRule="auto"/>
        <w:ind w:firstLine="720"/>
        <w:rPr>
          <w:color w:val="000000"/>
        </w:rPr>
      </w:pPr>
      <w:r w:rsidRPr="006A14B1">
        <w:rPr>
          <w:color w:val="000000"/>
        </w:rPr>
        <w:t>On the days following the final stage 1 acquisition session, animals were returned to free feeding and surgery was performed. Immediately following post-operative recovery all animals were returned to food restriction 2 days prior to re-acquisition.</w:t>
      </w:r>
    </w:p>
    <w:p w:rsidR="001064BB" w:rsidRPr="006A14B1" w:rsidRDefault="001064BB" w:rsidP="001064BB">
      <w:pPr>
        <w:pStyle w:val="3MariosLevel3"/>
      </w:pPr>
      <w:bookmarkStart w:id="16" w:name="_Toc417304849"/>
      <w:r w:rsidRPr="006A14B1">
        <w:t>Stage 1 Re-Acqu</w:t>
      </w:r>
      <w:r>
        <w:t>isition (Post-surgery Days 7-9)</w:t>
      </w:r>
      <w:bookmarkEnd w:id="16"/>
    </w:p>
    <w:p w:rsidR="001064BB" w:rsidRPr="006A14B1" w:rsidRDefault="001064BB" w:rsidP="001064BB">
      <w:pPr>
        <w:pStyle w:val="NormalWeb"/>
        <w:spacing w:after="200" w:line="360" w:lineRule="auto"/>
        <w:ind w:firstLine="720"/>
        <w:rPr>
          <w:color w:val="000000"/>
        </w:rPr>
      </w:pPr>
      <w:r w:rsidRPr="006A14B1">
        <w:rPr>
          <w:color w:val="000000"/>
        </w:rPr>
        <w:t>Sessions were identical to pre-surgical Stage 1 acquisition, except that only a single session was administered per day. On the final two days all animals received dummy infusions immediately prior each session.</w:t>
      </w:r>
    </w:p>
    <w:p w:rsidR="001064BB" w:rsidRPr="006A14B1" w:rsidRDefault="001064BB" w:rsidP="001064BB">
      <w:pPr>
        <w:pStyle w:val="3MariosLevel3"/>
      </w:pPr>
      <w:bookmarkStart w:id="17" w:name="_Toc417304850"/>
      <w:r w:rsidRPr="006A14B1">
        <w:t>Stage 2 Feature negative t</w:t>
      </w:r>
      <w:r>
        <w:t>raining - Infusion (Days 10-13)</w:t>
      </w:r>
      <w:bookmarkEnd w:id="17"/>
    </w:p>
    <w:p w:rsidR="001064BB" w:rsidRPr="006A14B1" w:rsidRDefault="001064BB" w:rsidP="001064BB">
      <w:pPr>
        <w:pStyle w:val="NormalWeb"/>
        <w:spacing w:after="200" w:line="360" w:lineRule="auto"/>
        <w:ind w:firstLine="720"/>
        <w:rPr>
          <w:color w:val="000000"/>
        </w:rPr>
      </w:pPr>
      <w:r w:rsidRPr="006A14B1">
        <w:rPr>
          <w:color w:val="000000"/>
        </w:rPr>
        <w:lastRenderedPageBreak/>
        <w:t>During the feature negative training, each session consisted of 36 trials such that there</w:t>
      </w:r>
      <w:r w:rsidR="00E636E0">
        <w:rPr>
          <w:color w:val="000000"/>
        </w:rPr>
        <w:t xml:space="preserve"> were 18 AX- and 18 C- trials. </w:t>
      </w:r>
      <w:r w:rsidRPr="006A14B1">
        <w:rPr>
          <w:color w:val="000000"/>
        </w:rPr>
        <w:t>Infusions of saline or Muscimol were administered immediately to separate groups (matched on performance to all cues) prior to each of these sessions.</w:t>
      </w:r>
    </w:p>
    <w:p w:rsidR="001064BB" w:rsidRPr="006A14B1" w:rsidRDefault="001064BB" w:rsidP="001064BB">
      <w:pPr>
        <w:pStyle w:val="3MariosLevel3"/>
      </w:pPr>
      <w:bookmarkStart w:id="18" w:name="_Toc417304851"/>
      <w:r w:rsidRPr="006A14B1">
        <w:t>S</w:t>
      </w:r>
      <w:r>
        <w:t>tage 3 Extinction test (Day 14)</w:t>
      </w:r>
      <w:bookmarkEnd w:id="18"/>
    </w:p>
    <w:p w:rsidR="001064BB" w:rsidRPr="006A14B1" w:rsidRDefault="001064BB" w:rsidP="001064BB">
      <w:pPr>
        <w:pStyle w:val="NormalWeb"/>
        <w:spacing w:after="200" w:line="360" w:lineRule="auto"/>
        <w:ind w:firstLine="720"/>
        <w:rPr>
          <w:color w:val="000000"/>
        </w:rPr>
      </w:pPr>
      <w:r w:rsidRPr="006A14B1">
        <w:rPr>
          <w:color w:val="000000"/>
        </w:rPr>
        <w:t>During the extinction test there were a total of 24 trials consisting of 12 A- and 12 C- trials.</w:t>
      </w:r>
    </w:p>
    <w:p w:rsidR="001064BB" w:rsidRPr="006A14B1" w:rsidRDefault="001064BB" w:rsidP="001064BB">
      <w:pPr>
        <w:pStyle w:val="3MariosLevel3"/>
      </w:pPr>
      <w:bookmarkStart w:id="19" w:name="_Toc417304852"/>
      <w:r>
        <w:t>Stage 4 Summation test (Day 15)</w:t>
      </w:r>
      <w:bookmarkEnd w:id="19"/>
    </w:p>
    <w:p w:rsidR="001064BB" w:rsidRPr="006A14B1" w:rsidRDefault="001064BB" w:rsidP="001064BB">
      <w:pPr>
        <w:pStyle w:val="NormalWeb"/>
        <w:spacing w:after="200" w:line="360" w:lineRule="auto"/>
        <w:ind w:firstLine="720"/>
        <w:rPr>
          <w:color w:val="000000"/>
        </w:rPr>
      </w:pPr>
      <w:r w:rsidRPr="006A14B1">
        <w:rPr>
          <w:color w:val="000000"/>
        </w:rPr>
        <w:t xml:space="preserve">The summation test was identical to that used </w:t>
      </w:r>
      <w:r w:rsidRPr="00E636E0">
        <w:rPr>
          <w:b/>
          <w:color w:val="000000"/>
        </w:rPr>
        <w:t>in experiment 1.</w:t>
      </w:r>
    </w:p>
    <w:p w:rsidR="001064BB" w:rsidRPr="006A14B1" w:rsidRDefault="001064BB" w:rsidP="001064BB">
      <w:pPr>
        <w:pStyle w:val="3MariosLevel3"/>
      </w:pPr>
      <w:bookmarkStart w:id="20" w:name="_Toc417304853"/>
      <w:r w:rsidRPr="006A14B1">
        <w:t xml:space="preserve">Stage </w:t>
      </w:r>
      <w:r>
        <w:t>5 Retardation test (Days 16-18)</w:t>
      </w:r>
      <w:bookmarkEnd w:id="20"/>
    </w:p>
    <w:p w:rsidR="001064BB" w:rsidRPr="006A14B1" w:rsidRDefault="001064BB" w:rsidP="001064BB">
      <w:pPr>
        <w:pStyle w:val="NormalWeb"/>
        <w:spacing w:after="200" w:line="360" w:lineRule="auto"/>
        <w:ind w:firstLine="720"/>
        <w:rPr>
          <w:color w:val="000000"/>
        </w:rPr>
      </w:pPr>
      <w:r w:rsidRPr="006A14B1">
        <w:rPr>
          <w:color w:val="000000"/>
        </w:rPr>
        <w:t xml:space="preserve">The retardation test was identical to that used </w:t>
      </w:r>
      <w:r w:rsidRPr="00E636E0">
        <w:rPr>
          <w:b/>
          <w:color w:val="000000"/>
        </w:rPr>
        <w:t>in experiment 1.</w:t>
      </w:r>
    </w:p>
    <w:p w:rsidR="00ED67A8" w:rsidRPr="006A14B1" w:rsidRDefault="00ED67A8" w:rsidP="00ED67A8">
      <w:pPr>
        <w:pStyle w:val="2Marioslevel2"/>
      </w:pPr>
      <w:bookmarkStart w:id="21" w:name="_Toc417304785"/>
      <w:r w:rsidRPr="006A14B1">
        <w:t>Histological Analysis</w:t>
      </w:r>
      <w:bookmarkEnd w:id="21"/>
    </w:p>
    <w:p w:rsidR="00ED67A8" w:rsidRPr="006A14B1" w:rsidRDefault="00ED67A8" w:rsidP="00ED67A8">
      <w:pPr>
        <w:ind w:firstLine="720"/>
        <w:rPr>
          <w:rFonts w:cs="Times New Roman"/>
          <w:szCs w:val="24"/>
        </w:rPr>
      </w:pP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 xml:space="preserve">m through the lateral OFC with a cryostat. Every third section was collected on a slide and stained with cresyl violet. The location of cannula tips was determined under a microscope by a trained observer using the boundaries defined by the atlas of </w:t>
      </w:r>
      <w:r w:rsidRPr="006A14B1">
        <w:rPr>
          <w:rFonts w:cs="Times New Roman"/>
          <w:noProof/>
          <w:szCs w:val="24"/>
        </w:rPr>
        <w:t>George Paxinos and Watson (1998)</w:t>
      </w:r>
      <w:r w:rsidRPr="006A14B1">
        <w:rPr>
          <w:rFonts w:cs="Times New Roman"/>
          <w:szCs w:val="24"/>
        </w:rPr>
        <w:t>. Rats with cannulae placements outside the lateral or dorsolateral OFC were excluded from statistical analyses.</w:t>
      </w:r>
    </w:p>
    <w:p w:rsidR="00ED67A8" w:rsidRPr="006A14B1" w:rsidRDefault="00ED67A8" w:rsidP="00ED67A8">
      <w:pPr>
        <w:pStyle w:val="2Marioslevel2"/>
      </w:pPr>
      <w:bookmarkStart w:id="22" w:name="_Toc417304786"/>
      <w:r w:rsidRPr="006A14B1">
        <w:t>Data Analysis</w:t>
      </w:r>
      <w:bookmarkEnd w:id="22"/>
    </w:p>
    <w:p w:rsidR="00ED67A8" w:rsidRPr="006A14B1" w:rsidRDefault="00ED67A8" w:rsidP="00ED67A8">
      <w:pPr>
        <w:ind w:firstLine="720"/>
        <w:rPr>
          <w:rFonts w:cs="Times New Roman"/>
          <w:szCs w:val="24"/>
        </w:rPr>
      </w:pPr>
      <w:r w:rsidRPr="006A14B1">
        <w:rPr>
          <w:rFonts w:cs="Times New Roman"/>
          <w:szCs w:val="24"/>
        </w:rPr>
        <w:t>CS responding was operationalized as the number of magazine entries during the 1</w:t>
      </w:r>
      <w:r>
        <w:rPr>
          <w:rFonts w:cs="Times New Roman"/>
          <w:szCs w:val="24"/>
        </w:rPr>
        <w:t>0</w:t>
      </w:r>
      <w:r w:rsidRPr="006A14B1">
        <w:rPr>
          <w:rFonts w:cs="Times New Roman"/>
          <w:szCs w:val="24"/>
        </w:rPr>
        <w:t>s CS. PreCS responding was operationalized as the frequ</w:t>
      </w:r>
      <w:r>
        <w:rPr>
          <w:rFonts w:cs="Times New Roman"/>
          <w:szCs w:val="24"/>
        </w:rPr>
        <w:t>ency of responding during the 10s immediately preceding the 10</w:t>
      </w:r>
      <w:r w:rsidRPr="006A14B1">
        <w:rPr>
          <w:rFonts w:cs="Times New Roman"/>
          <w:szCs w:val="24"/>
        </w:rPr>
        <w:t xml:space="preserve">s CS and was used as a measure of baseline responding to the </w:t>
      </w:r>
      <w:bookmarkStart w:id="23" w:name="_GoBack"/>
      <w:bookmarkEnd w:id="23"/>
      <w:r w:rsidRPr="006A14B1">
        <w:rPr>
          <w:rFonts w:cs="Times New Roman"/>
          <w:szCs w:val="24"/>
        </w:rPr>
        <w:t xml:space="preserve">testing context. </w:t>
      </w:r>
    </w:p>
    <w:p w:rsidR="00ED67A8" w:rsidRDefault="00ED67A8" w:rsidP="00ED67A8">
      <w:pPr>
        <w:spacing w:after="240"/>
        <w:ind w:firstLine="720"/>
        <w:rPr>
          <w:rFonts w:cs="Times New Roman"/>
          <w:szCs w:val="24"/>
        </w:rPr>
      </w:pPr>
      <w:r w:rsidRPr="006A14B1">
        <w:rPr>
          <w:rFonts w:cs="Times New Roman"/>
          <w:szCs w:val="24"/>
        </w:rPr>
        <w:t xml:space="preserve">All data were analysed with mixed ANOVAs, and significant interactions of interest were followed up with ANOVAs on the relevant subset of data. Following significant </w:t>
      </w:r>
      <w:r w:rsidRPr="006A14B1">
        <w:rPr>
          <w:rFonts w:cs="Times New Roman"/>
          <w:szCs w:val="24"/>
        </w:rPr>
        <w:lastRenderedPageBreak/>
        <w:t>omnibus ANOVA tests, planned linear and quadratic orthogonal trend contrasts and their interactions between groups were analysed to assess diff</w:t>
      </w:r>
      <w:r w:rsidR="002373D4">
        <w:rPr>
          <w:rFonts w:cs="Times New Roman"/>
          <w:szCs w:val="24"/>
        </w:rPr>
        <w:t>erences in rates of responding.</w:t>
      </w:r>
    </w:p>
    <w:p w:rsidR="002373D4" w:rsidRPr="006A14B1" w:rsidRDefault="00F62A97" w:rsidP="00ED67A8">
      <w:pPr>
        <w:spacing w:after="240"/>
        <w:ind w:firstLine="720"/>
        <w:rPr>
          <w:rFonts w:cs="Times New Roman"/>
          <w:b/>
          <w:szCs w:val="24"/>
        </w:rPr>
      </w:pPr>
      <w:r>
        <w:rPr>
          <w:rFonts w:cs="Times New Roman"/>
          <w:szCs w:val="24"/>
        </w:rPr>
        <w:t xml:space="preserve"> </w:t>
      </w:r>
    </w:p>
    <w:p w:rsidR="00F54CB0" w:rsidRDefault="004B09D1"/>
    <w:sectPr w:rsidR="00F5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ED"/>
    <w:rsid w:val="0006704D"/>
    <w:rsid w:val="00071148"/>
    <w:rsid w:val="001064BB"/>
    <w:rsid w:val="002373D4"/>
    <w:rsid w:val="0027559F"/>
    <w:rsid w:val="002A106E"/>
    <w:rsid w:val="002E4CE4"/>
    <w:rsid w:val="004A258F"/>
    <w:rsid w:val="004B09D1"/>
    <w:rsid w:val="0053717D"/>
    <w:rsid w:val="005F587F"/>
    <w:rsid w:val="007112ED"/>
    <w:rsid w:val="007256C4"/>
    <w:rsid w:val="00B34262"/>
    <w:rsid w:val="00B44A59"/>
    <w:rsid w:val="00DE43CE"/>
    <w:rsid w:val="00E543DC"/>
    <w:rsid w:val="00E636E0"/>
    <w:rsid w:val="00ED67A8"/>
    <w:rsid w:val="00F62A97"/>
    <w:rsid w:val="00F87D28"/>
    <w:rsid w:val="00F90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00D1"/>
  <w15:chartTrackingRefBased/>
  <w15:docId w15:val="{86ED5DD6-1051-4C75-B524-14652D78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148"/>
    <w:pPr>
      <w:spacing w:line="360" w:lineRule="auto"/>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4A258F"/>
    <w:rPr>
      <w:rFonts w:cs="Times New Roman"/>
      <w:b/>
    </w:rPr>
  </w:style>
  <w:style w:type="paragraph" w:styleId="NormalWeb">
    <w:name w:val="Normal (Web)"/>
    <w:basedOn w:val="Normal"/>
    <w:uiPriority w:val="99"/>
    <w:unhideWhenUsed/>
    <w:rsid w:val="001064BB"/>
    <w:pPr>
      <w:spacing w:before="100" w:beforeAutospacing="1" w:after="100" w:afterAutospacing="1" w:line="240" w:lineRule="auto"/>
    </w:pPr>
    <w:rPr>
      <w:rFonts w:eastAsia="Times New Roman" w:cs="Times New Roman"/>
      <w:szCs w:val="24"/>
      <w:lang w:eastAsia="en-AU"/>
    </w:rPr>
  </w:style>
  <w:style w:type="paragraph" w:customStyle="1" w:styleId="3MariosLevel3">
    <w:name w:val="3_Marios Level 3"/>
    <w:basedOn w:val="Normal"/>
    <w:link w:val="3MariosLevel3Char"/>
    <w:qFormat/>
    <w:rsid w:val="001064BB"/>
    <w:pPr>
      <w:spacing w:after="240"/>
      <w:ind w:left="720"/>
    </w:pPr>
    <w:rPr>
      <w:rFonts w:eastAsiaTheme="minorEastAsia" w:cs="Times New Roman"/>
      <w:b/>
      <w:i/>
      <w:szCs w:val="24"/>
    </w:rPr>
  </w:style>
  <w:style w:type="character" w:customStyle="1" w:styleId="3MariosLevel3Char">
    <w:name w:val="3_Marios Level 3 Char"/>
    <w:basedOn w:val="DefaultParagraphFont"/>
    <w:link w:val="3MariosLevel3"/>
    <w:rsid w:val="001064BB"/>
    <w:rPr>
      <w:rFonts w:ascii="Times New Roman" w:eastAsiaTheme="minorEastAsia" w:hAnsi="Times New Roman" w:cs="Times New Roman"/>
      <w:b/>
      <w:i/>
      <w:color w:val="000000" w:themeColor="text1"/>
      <w:sz w:val="24"/>
      <w:szCs w:val="24"/>
    </w:rPr>
  </w:style>
  <w:style w:type="paragraph" w:customStyle="1" w:styleId="Tables">
    <w:name w:val="Tables"/>
    <w:basedOn w:val="Normal"/>
    <w:link w:val="TablesChar"/>
    <w:qFormat/>
    <w:rsid w:val="001064BB"/>
    <w:pPr>
      <w:spacing w:after="0" w:line="240" w:lineRule="auto"/>
    </w:pPr>
    <w:rPr>
      <w:rFonts w:eastAsia="Times New Roman" w:cs="Times New Roman"/>
      <w:b/>
      <w:color w:val="000000"/>
      <w:szCs w:val="24"/>
      <w:lang w:eastAsia="en-AU"/>
    </w:rPr>
  </w:style>
  <w:style w:type="character" w:customStyle="1" w:styleId="TablesChar">
    <w:name w:val="Tables Char"/>
    <w:basedOn w:val="DefaultParagraphFont"/>
    <w:link w:val="Tables"/>
    <w:rsid w:val="001064BB"/>
    <w:rPr>
      <w:rFonts w:ascii="Times New Roman" w:eastAsia="Times New Roman" w:hAnsi="Times New Roman" w:cs="Times New Roman"/>
      <w:b/>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43800">
      <w:bodyDiv w:val="1"/>
      <w:marLeft w:val="0"/>
      <w:marRight w:val="0"/>
      <w:marTop w:val="0"/>
      <w:marBottom w:val="0"/>
      <w:divBdr>
        <w:top w:val="none" w:sz="0" w:space="0" w:color="auto"/>
        <w:left w:val="none" w:sz="0" w:space="0" w:color="auto"/>
        <w:bottom w:val="none" w:sz="0" w:space="0" w:color="auto"/>
        <w:right w:val="none" w:sz="0" w:space="0" w:color="auto"/>
      </w:divBdr>
    </w:div>
    <w:div w:id="1204633836">
      <w:bodyDiv w:val="1"/>
      <w:marLeft w:val="0"/>
      <w:marRight w:val="0"/>
      <w:marTop w:val="0"/>
      <w:marBottom w:val="0"/>
      <w:divBdr>
        <w:top w:val="none" w:sz="0" w:space="0" w:color="auto"/>
        <w:left w:val="none" w:sz="0" w:space="0" w:color="auto"/>
        <w:bottom w:val="none" w:sz="0" w:space="0" w:color="auto"/>
        <w:right w:val="none" w:sz="0" w:space="0" w:color="auto"/>
      </w:divBdr>
    </w:div>
    <w:div w:id="15401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15</cp:revision>
  <dcterms:created xsi:type="dcterms:W3CDTF">2016-02-09T14:05:00Z</dcterms:created>
  <dcterms:modified xsi:type="dcterms:W3CDTF">2016-02-16T17:34:00Z</dcterms:modified>
</cp:coreProperties>
</file>