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6A35" w14:textId="054E1CC9" w:rsidR="00551F41" w:rsidRDefault="0090167B">
      <w:r>
        <w:rPr>
          <w:rFonts w:ascii="Arial" w:hAnsi="Arial" w:cs="Arial"/>
          <w:color w:val="222222"/>
          <w:shd w:val="clear" w:color="auto" w:fill="FFFFFF"/>
        </w:rPr>
        <w:t>The lead molecule that you will work with is VK4-116, described first in the attached Kumar et al paper (compound 19). The behavior is described in the You et al paper and I included two recent reviews that focus on D3R as a target for SUD that should be helpful.</w:t>
      </w:r>
    </w:p>
    <w:sectPr w:rsidR="0055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41"/>
    <w:rsid w:val="00551F41"/>
    <w:rsid w:val="009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E9559-F9CC-4034-B378-C7720CF4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2</cp:revision>
  <dcterms:created xsi:type="dcterms:W3CDTF">2021-03-24T19:53:00Z</dcterms:created>
  <dcterms:modified xsi:type="dcterms:W3CDTF">2021-03-24T19:53:00Z</dcterms:modified>
</cp:coreProperties>
</file>