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Pavlovian cue-outcome 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2E0FA755"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(Gardner et al., 2019; Klein-Flugge et al., 2013; Kringelbach, 2005; Murray &amp; Rudebeck, 2018; Rudebeck &amp; Murray,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55C8A"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FA6E1C" w:rsidRPr="00FB0BE9">
        <w:rPr>
          <w:rFonts w:ascii="Times New Roman" w:hAnsi="Times New Roman" w:cs="Times New Roman"/>
          <w:bCs/>
          <w:noProof/>
          <w:sz w:val="24"/>
          <w:szCs w:val="24"/>
          <w:lang w:val="en-GB"/>
        </w:rPr>
        <w:t>(Panayi &amp; Killcross, 2018; Pickens et al., 2005;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ins w:id="0" w:author="Marios Panayi" w:date="2021-01-08T17:07:00Z">
        <w:r w:rsidR="005A6F01">
          <w:rPr>
            <w:rFonts w:ascii="Times New Roman" w:hAnsi="Times New Roman" w:cs="Times New Roman"/>
            <w:bCs/>
            <w:sz w:val="24"/>
            <w:szCs w:val="24"/>
            <w:lang w:val="en-GB"/>
          </w:rPr>
          <w:t xml:space="preserve"> </w:t>
        </w:r>
      </w:ins>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0D05E800"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w:t>
      </w:r>
      <w:del w:id="1" w:author="Marios Panayi" w:date="2021-01-08T17:08:00Z">
        <w:r w:rsidRPr="00FB0BE9" w:rsidDel="00C03720">
          <w:rPr>
            <w:rFonts w:ascii="Times New Roman" w:hAnsi="Times New Roman" w:cs="Times New Roman"/>
            <w:bCs/>
            <w:sz w:val="24"/>
            <w:szCs w:val="24"/>
            <w:lang w:val="en-GB"/>
          </w:rPr>
          <w:delText xml:space="preserve">the </w:delText>
        </w:r>
      </w:del>
      <w:r w:rsidRPr="00FB0BE9">
        <w:rPr>
          <w:rFonts w:ascii="Times New Roman" w:hAnsi="Times New Roman" w:cs="Times New Roman"/>
          <w:bCs/>
          <w:sz w:val="24"/>
          <w:szCs w:val="24"/>
          <w:lang w:val="en-GB"/>
        </w:rPr>
        <w:t xml:space="preserve">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(comprehensively documented by Delamater, 2007; Izquierdo, 2017; Murray et al., 2007; Rudebeck &amp; Murray, 2014; Stalnaker et al., 2015)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w:t>
      </w:r>
      <w:r w:rsidRPr="00FB0BE9">
        <w:rPr>
          <w:rFonts w:ascii="Times New Roman" w:hAnsi="Times New Roman" w:cs="Times New Roman"/>
          <w:bCs/>
          <w:sz w:val="24"/>
          <w:szCs w:val="24"/>
          <w:lang w:val="en-GB"/>
        </w:rPr>
        <w:lastRenderedPageBreak/>
        <w:t xml:space="preserve">or when the value of expected 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(Butter, 1969; Dias et al., 1996; Gallagher et al., 1999; Iversen &amp; Mishkin, 1970;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Delamater, 2007; Schoenbaum et al., 2009,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30919891"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(Boulougouris et al., 2007; Boulougouris &amp; Robbins, 2009; McDannald et al., 2005)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but not in putatively “simple” single CS-US</w:t>
      </w:r>
      <w:ins w:id="2" w:author="Marios Panayi" w:date="2021-01-08T17:11:00Z">
        <w:r w:rsidR="00717F46">
          <w:rPr>
            <w:rFonts w:ascii="Times New Roman" w:hAnsi="Times New Roman" w:cs="Times New Roman"/>
            <w:bCs/>
            <w:sz w:val="24"/>
            <w:szCs w:val="24"/>
            <w:lang w:val="en-GB"/>
          </w:rPr>
          <w:t xml:space="preserve"> (cue-outcome)</w:t>
        </w:r>
      </w:ins>
      <w:r w:rsidRPr="00FB0BE9">
        <w:rPr>
          <w:rFonts w:ascii="Times New Roman" w:hAnsi="Times New Roman" w:cs="Times New Roman"/>
          <w:bCs/>
          <w:sz w:val="24"/>
          <w:szCs w:val="24"/>
          <w:lang w:val="en-GB"/>
        </w:rPr>
        <w:t xml:space="preserve"> learning tasks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Panayi &amp; Killcross, 2018; 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w:t>
      </w:r>
      <w:r w:rsidRPr="00FB0BE9">
        <w:rPr>
          <w:rFonts w:ascii="Times New Roman" w:hAnsi="Times New Roman" w:cs="Times New Roman"/>
          <w:bCs/>
          <w:sz w:val="24"/>
          <w:szCs w:val="24"/>
          <w:lang w:val="en-GB"/>
        </w:rPr>
        <w:lastRenderedPageBreak/>
        <w:t xml:space="preserve">Gallagher et al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4FE9FD5D"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(Murray et al., 2007; Schoenbaum et al., 2009; Stalnaker et al., 2015; Wilson et al., 2014)</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t>
      </w:r>
      <w:del w:id="3" w:author="Marios Panayi" w:date="2021-01-08T17:13:00Z">
        <w:r w:rsidRPr="00FB0BE9" w:rsidDel="00370078">
          <w:rPr>
            <w:rFonts w:ascii="Times New Roman" w:hAnsi="Times New Roman" w:cs="Times New Roman"/>
            <w:bCs/>
            <w:sz w:val="24"/>
            <w:szCs w:val="24"/>
            <w:lang w:val="en-GB"/>
          </w:rPr>
          <w:delText>was left</w:delText>
        </w:r>
      </w:del>
      <w:ins w:id="4" w:author="Marios Panayi" w:date="2021-01-08T17:13:00Z">
        <w:r w:rsidR="00370078">
          <w:rPr>
            <w:rFonts w:ascii="Times New Roman" w:hAnsi="Times New Roman" w:cs="Times New Roman"/>
            <w:bCs/>
            <w:sz w:val="24"/>
            <w:szCs w:val="24"/>
            <w:lang w:val="en-GB"/>
          </w:rPr>
          <w:t>remained</w:t>
        </w:r>
      </w:ins>
      <w:r w:rsidRPr="00FB0BE9">
        <w:rPr>
          <w:rFonts w:ascii="Times New Roman" w:hAnsi="Times New Roman" w:cs="Times New Roman"/>
          <w:bCs/>
          <w:sz w:val="24"/>
          <w:szCs w:val="24"/>
          <w:lang w:val="en-GB"/>
        </w:rPr>
        <w:t xml:space="preserve"> 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64BF09CB" w:rsidR="0036108C" w:rsidRDefault="0036108C" w:rsidP="0036108C">
      <w:pPr>
        <w:spacing w:line="480" w:lineRule="auto"/>
        <w:rPr>
          <w:ins w:id="5" w:author="Marios Panayi" w:date="2021-01-08T18:10:00Z"/>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FE795E7" w14:textId="2F0247B7" w:rsidR="003B5074" w:rsidRPr="00FB0BE9" w:rsidRDefault="003B5074">
      <w:pPr>
        <w:spacing w:line="480" w:lineRule="auto"/>
        <w:jc w:val="center"/>
        <w:rPr>
          <w:rFonts w:ascii="Times New Roman" w:hAnsi="Times New Roman" w:cs="Times New Roman"/>
          <w:b/>
          <w:bCs/>
          <w:sz w:val="24"/>
          <w:szCs w:val="24"/>
          <w:lang w:val="en-GB"/>
        </w:rPr>
        <w:pPrChange w:id="6" w:author="Marios Panayi" w:date="2021-01-08T18:10:00Z">
          <w:pPr>
            <w:spacing w:line="480" w:lineRule="auto"/>
          </w:pPr>
        </w:pPrChange>
      </w:pPr>
      <w:ins w:id="7" w:author="Marios Panayi" w:date="2021-01-08T18:10:00Z">
        <w:r>
          <w:rPr>
            <w:rFonts w:ascii="Times New Roman" w:eastAsia="Times New Roman" w:hAnsi="Times New Roman" w:cs="Times New Roman"/>
            <w:b/>
            <w:color w:val="000000"/>
            <w:sz w:val="24"/>
            <w:szCs w:val="24"/>
            <w:lang w:val="en-GB" w:eastAsia="en-AU"/>
          </w:rPr>
          <w:t>General</w:t>
        </w:r>
      </w:ins>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Pr="00FB0BE9">
        <w:rPr>
          <w:rFonts w:ascii="Times New Roman" w:hAnsi="Times New Roman" w:cs="Times New Roman"/>
          <w:sz w:val="24"/>
          <w:szCs w:val="24"/>
          <w:lang w:val="en-GB"/>
        </w:rPr>
        <w:lastRenderedPageBreak/>
        <w:t xml:space="preserve">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1629AEAD"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w:t>
      </w:r>
      <w:del w:id="8" w:author="Marios Panayi" w:date="2021-01-08T17:15:00Z">
        <w:r w:rsidRPr="00FB0BE9" w:rsidDel="002302E3">
          <w:rPr>
            <w:rFonts w:ascii="Times New Roman" w:hAnsi="Times New Roman" w:cs="Times New Roman"/>
            <w:sz w:val="24"/>
            <w:szCs w:val="24"/>
            <w:lang w:val="en-GB"/>
          </w:rPr>
          <w:delText xml:space="preserve">individually </w:delText>
        </w:r>
      </w:del>
      <w:r w:rsidRPr="00FB0BE9">
        <w:rPr>
          <w:rFonts w:ascii="Times New Roman" w:hAnsi="Times New Roman" w:cs="Times New Roman"/>
          <w:sz w:val="24"/>
          <w:szCs w:val="24"/>
          <w:lang w:val="en-GB"/>
        </w:rPr>
        <w:t xml:space="preserve">placed into an individual cage (33 x 18 x 14 cm clear Perspex cage with a wireframe top). Pellet reinforcers were presented in small glass ramekins inside the box and liquid reinforcers were presented in water bottles with a sipper tube. </w:t>
      </w:r>
      <w:ins w:id="9" w:author="Marios Panayi" w:date="2021-01-08T17:15:00Z">
        <w:r w:rsidR="002302E3">
          <w:rPr>
            <w:rFonts w:ascii="Times New Roman" w:hAnsi="Times New Roman" w:cs="Times New Roman"/>
            <w:sz w:val="24"/>
            <w:szCs w:val="24"/>
            <w:lang w:val="en-GB"/>
          </w:rPr>
          <w:t>One</w:t>
        </w:r>
      </w:ins>
      <w:del w:id="10" w:author="Marios Panayi" w:date="2021-01-08T17:15:00Z">
        <w:r w:rsidRPr="00FB0BE9" w:rsidDel="002302E3">
          <w:rPr>
            <w:rFonts w:ascii="Times New Roman" w:hAnsi="Times New Roman" w:cs="Times New Roman"/>
            <w:sz w:val="24"/>
            <w:szCs w:val="24"/>
            <w:lang w:val="en-GB"/>
          </w:rPr>
          <w:delText>1</w:delText>
        </w:r>
      </w:del>
      <w:r w:rsidRPr="00FB0BE9">
        <w:rPr>
          <w:rFonts w:ascii="Times New Roman" w:hAnsi="Times New Roman" w:cs="Times New Roman"/>
          <w:sz w:val="24"/>
          <w:szCs w:val="24"/>
          <w:lang w:val="en-GB"/>
        </w:rPr>
        <w:t xml:space="preserve">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2E572538"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w:t>
      </w:r>
      <w:r w:rsidRPr="00FB0BE9">
        <w:rPr>
          <w:rFonts w:ascii="Times New Roman" w:hAnsi="Times New Roman" w:cs="Times New Roman"/>
          <w:sz w:val="24"/>
          <w:szCs w:val="24"/>
          <w:lang w:val="en-GB"/>
        </w:rPr>
        <w:lastRenderedPageBreak/>
        <w:t xml:space="preserve">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w:t>
      </w:r>
      <w:del w:id="11" w:author="Marios Panayi" w:date="2021-01-08T17:17:00Z">
        <w:r w:rsidRPr="00FB0BE9" w:rsidDel="009C1F93">
          <w:rPr>
            <w:rFonts w:ascii="Times New Roman" w:hAnsi="Times New Roman" w:cs="Times New Roman"/>
            <w:sz w:val="24"/>
            <w:szCs w:val="24"/>
            <w:lang w:val="en-GB"/>
          </w:rPr>
          <w:delText xml:space="preserve">syringe </w:delText>
        </w:r>
      </w:del>
      <w:ins w:id="12" w:author="Marios Panayi" w:date="2021-01-08T17:17:00Z">
        <w:r w:rsidR="009C1F93">
          <w:rPr>
            <w:rFonts w:ascii="Times New Roman" w:hAnsi="Times New Roman" w:cs="Times New Roman"/>
            <w:sz w:val="24"/>
            <w:szCs w:val="24"/>
            <w:lang w:val="en-GB"/>
          </w:rPr>
          <w:t>needle</w:t>
        </w:r>
        <w:r w:rsidR="009C1F93"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was retracted, and the scalp cleaned and sutured. Sham lesions proceeded identically to excitotoxic lesions except that </w:t>
      </w:r>
      <w:del w:id="13" w:author="Marios Panayi" w:date="2021-01-08T17:17:00Z">
        <w:r w:rsidRPr="00FB0BE9" w:rsidDel="009C1F93">
          <w:rPr>
            <w:rFonts w:ascii="Times New Roman" w:hAnsi="Times New Roman" w:cs="Times New Roman"/>
            <w:sz w:val="24"/>
            <w:szCs w:val="24"/>
            <w:lang w:val="en-GB"/>
          </w:rPr>
          <w:delText xml:space="preserve">no </w:delText>
        </w:r>
      </w:del>
      <w:del w:id="14" w:author="Marios Panayi" w:date="2021-01-08T17:16:00Z">
        <w:r w:rsidRPr="00FB0BE9" w:rsidDel="00E66077">
          <w:rPr>
            <w:rFonts w:ascii="Times New Roman" w:hAnsi="Times New Roman" w:cs="Times New Roman"/>
            <w:sz w:val="24"/>
            <w:szCs w:val="24"/>
            <w:lang w:val="en-GB"/>
          </w:rPr>
          <w:delText xml:space="preserve">drugs were infused </w:delText>
        </w:r>
      </w:del>
      <w:r w:rsidRPr="00FB0BE9">
        <w:rPr>
          <w:rFonts w:ascii="Times New Roman" w:hAnsi="Times New Roman" w:cs="Times New Roman"/>
          <w:sz w:val="24"/>
          <w:szCs w:val="24"/>
          <w:lang w:val="en-GB"/>
        </w:rPr>
        <w:t>during the infusion period</w:t>
      </w:r>
      <w:ins w:id="15" w:author="Marios Panayi" w:date="2021-01-08T17:16:00Z">
        <w:r w:rsidR="00E66077">
          <w:rPr>
            <w:rFonts w:ascii="Times New Roman" w:hAnsi="Times New Roman" w:cs="Times New Roman"/>
            <w:sz w:val="24"/>
            <w:szCs w:val="24"/>
            <w:lang w:val="en-GB"/>
          </w:rPr>
          <w:t xml:space="preserve"> </w:t>
        </w:r>
      </w:ins>
      <w:ins w:id="16" w:author="Marios Panayi" w:date="2021-01-08T17:17:00Z">
        <w:r w:rsidR="00E66077">
          <w:rPr>
            <w:rFonts w:ascii="Times New Roman" w:hAnsi="Times New Roman" w:cs="Times New Roman"/>
            <w:sz w:val="24"/>
            <w:szCs w:val="24"/>
            <w:lang w:val="en-GB"/>
          </w:rPr>
          <w:t>no infusion occurred</w:t>
        </w:r>
      </w:ins>
      <w:r w:rsidRPr="00FB0BE9">
        <w:rPr>
          <w:rFonts w:ascii="Times New Roman" w:hAnsi="Times New Roman" w:cs="Times New Roman"/>
          <w:sz w:val="24"/>
          <w:szCs w:val="24"/>
          <w:lang w:val="en-GB"/>
        </w:rPr>
        <w:t>.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lastRenderedPageBreak/>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4B2DD512"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pellets; Bio-serv, Frenchtown, NJ, USA), </w:t>
      </w:r>
      <w:del w:id="17" w:author="Marios Panayi" w:date="2021-01-08T17:35:00Z">
        <w:r w:rsidRPr="00FB0BE9" w:rsidDel="00F32B1F">
          <w:rPr>
            <w:rFonts w:ascii="Times New Roman" w:hAnsi="Times New Roman" w:cs="Times New Roman"/>
            <w:sz w:val="24"/>
            <w:szCs w:val="24"/>
            <w:lang w:val="en-GB"/>
          </w:rPr>
          <w:delText>20% w/v sucrose solution</w:delText>
        </w:r>
      </w:del>
      <w:ins w:id="18" w:author="Marios Panayi" w:date="2021-01-08T17:35:00Z">
        <w:r w:rsidR="00F32B1F">
          <w:rPr>
            <w:rFonts w:ascii="Times New Roman" w:hAnsi="Times New Roman" w:cs="Times New Roman"/>
            <w:sz w:val="24"/>
            <w:szCs w:val="24"/>
            <w:lang w:val="en-GB"/>
          </w:rPr>
          <w:t>a single</w:t>
        </w:r>
        <w:r w:rsidR="00C57649">
          <w:rPr>
            <w:rFonts w:ascii="Times New Roman" w:hAnsi="Times New Roman" w:cs="Times New Roman"/>
            <w:sz w:val="24"/>
            <w:szCs w:val="24"/>
            <w:lang w:val="en-GB"/>
          </w:rPr>
          <w:t xml:space="preserve"> sucrose pellet </w:t>
        </w:r>
        <w:r w:rsidR="00C57649" w:rsidRPr="00FB0BE9">
          <w:rPr>
            <w:rFonts w:ascii="Times New Roman" w:hAnsi="Times New Roman" w:cs="Times New Roman"/>
            <w:sz w:val="24"/>
            <w:szCs w:val="24"/>
            <w:lang w:val="en-GB"/>
          </w:rPr>
          <w:t xml:space="preserve">(45 mg dustless precision </w:t>
        </w:r>
      </w:ins>
      <w:ins w:id="19" w:author="Marios Panayi" w:date="2021-01-08T17:36:00Z">
        <w:r w:rsidR="00C57649">
          <w:rPr>
            <w:rFonts w:ascii="Times New Roman" w:hAnsi="Times New Roman" w:cs="Times New Roman"/>
            <w:sz w:val="24"/>
            <w:szCs w:val="24"/>
            <w:lang w:val="en-GB"/>
          </w:rPr>
          <w:t>sucrose</w:t>
        </w:r>
      </w:ins>
      <w:ins w:id="20" w:author="Marios Panayi" w:date="2021-01-08T17:35:00Z">
        <w:r w:rsidR="00C57649" w:rsidRPr="00FB0BE9">
          <w:rPr>
            <w:rFonts w:ascii="Times New Roman" w:hAnsi="Times New Roman" w:cs="Times New Roman"/>
            <w:sz w:val="24"/>
            <w:szCs w:val="24"/>
            <w:lang w:val="en-GB"/>
          </w:rPr>
          <w:t xml:space="preserve"> pellets; Bio-serv, Frenchtown, NJ, USA)</w:t>
        </w:r>
      </w:ins>
      <w:r w:rsidRPr="00FB0BE9">
        <w:rPr>
          <w:rFonts w:ascii="Times New Roman" w:hAnsi="Times New Roman" w:cs="Times New Roman"/>
          <w:sz w:val="24"/>
          <w:szCs w:val="24"/>
          <w:lang w:val="en-GB"/>
        </w:rPr>
        <w:t xml:space="preserve"> and 20% w/v maltodextrin solution (</w:t>
      </w:r>
      <w:proofErr w:type="spellStart"/>
      <w:r w:rsidRPr="00FB0BE9">
        <w:rPr>
          <w:rFonts w:ascii="Times New Roman" w:hAnsi="Times New Roman" w:cs="Times New Roman"/>
          <w:sz w:val="24"/>
          <w:szCs w:val="24"/>
          <w:lang w:val="en-GB"/>
        </w:rPr>
        <w:t>Myopure</w:t>
      </w:r>
      <w:proofErr w:type="spellEnd"/>
      <w:r w:rsidRPr="00FB0BE9">
        <w:rPr>
          <w:rFonts w:ascii="Times New Roman" w:hAnsi="Times New Roman" w:cs="Times New Roman"/>
          <w:sz w:val="24"/>
          <w:szCs w:val="24"/>
          <w:lang w:val="en-GB"/>
        </w:rPr>
        <w:t xml:space="preserv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NSW, Australia)</w:t>
      </w:r>
      <w:del w:id="21" w:author="Marios Panayi" w:date="2021-01-08T17:36:00Z">
        <w:r w:rsidRPr="00FB0BE9" w:rsidDel="00C57649">
          <w:rPr>
            <w:rFonts w:ascii="Times New Roman" w:hAnsi="Times New Roman" w:cs="Times New Roman"/>
            <w:sz w:val="24"/>
            <w:szCs w:val="24"/>
            <w:lang w:val="en-GB"/>
          </w:rPr>
          <w:delText>. Liquid reinforcers were</w:delText>
        </w:r>
      </w:del>
      <w:r w:rsidRPr="00FB0BE9">
        <w:rPr>
          <w:rFonts w:ascii="Times New Roman" w:hAnsi="Times New Roman" w:cs="Times New Roman"/>
          <w:sz w:val="24"/>
          <w:szCs w:val="24"/>
          <w:lang w:val="en-GB"/>
        </w:rPr>
        <w:t xml:space="preserve"> flavoured with </w:t>
      </w:r>
      <w:del w:id="22" w:author="Marios Panayi" w:date="2021-01-08T17:36:00Z">
        <w:r w:rsidRPr="00FB0BE9" w:rsidDel="00C57649">
          <w:rPr>
            <w:rFonts w:ascii="Times New Roman" w:hAnsi="Times New Roman" w:cs="Times New Roman"/>
            <w:sz w:val="24"/>
            <w:szCs w:val="24"/>
            <w:lang w:val="en-GB"/>
          </w:rPr>
          <w:delText xml:space="preserve">either </w:delText>
        </w:r>
      </w:del>
      <w:r w:rsidRPr="00FB0BE9">
        <w:rPr>
          <w:rFonts w:ascii="Times New Roman" w:hAnsi="Times New Roman" w:cs="Times New Roman"/>
          <w:sz w:val="24"/>
          <w:szCs w:val="24"/>
          <w:lang w:val="en-GB"/>
        </w:rPr>
        <w:t xml:space="preserve">0.4% v/v concentrated lemon juice (Berri, Melbourne, Victoria, Australia) </w:t>
      </w:r>
      <w:del w:id="23" w:author="Marios Panayi" w:date="2021-01-08T17:36:00Z">
        <w:r w:rsidRPr="00FB0BE9" w:rsidDel="007424E9">
          <w:rPr>
            <w:rFonts w:ascii="Times New Roman" w:hAnsi="Times New Roman" w:cs="Times New Roman"/>
            <w:sz w:val="24"/>
            <w:szCs w:val="24"/>
            <w:lang w:val="en-GB"/>
          </w:rPr>
          <w:delText xml:space="preserve">or 0.2% v/v peppermint extract (Queen Fine Foods, Alderley, QLD, Australia) </w:delText>
        </w:r>
      </w:del>
      <w:r w:rsidRPr="00FB0BE9">
        <w:rPr>
          <w:rFonts w:ascii="Times New Roman" w:hAnsi="Times New Roman" w:cs="Times New Roman"/>
          <w:sz w:val="24"/>
          <w:szCs w:val="24"/>
          <w:lang w:val="en-GB"/>
        </w:rPr>
        <w:t xml:space="preserve">to provide unique sensory properties to </w:t>
      </w:r>
      <w:del w:id="24" w:author="Marios Panayi" w:date="2021-01-08T17:37:00Z">
        <w:r w:rsidRPr="00FB0BE9" w:rsidDel="007424E9">
          <w:rPr>
            <w:rFonts w:ascii="Times New Roman" w:hAnsi="Times New Roman" w:cs="Times New Roman"/>
            <w:sz w:val="24"/>
            <w:szCs w:val="24"/>
            <w:lang w:val="en-GB"/>
          </w:rPr>
          <w:delText xml:space="preserve">each </w:delText>
        </w:r>
      </w:del>
      <w:ins w:id="25" w:author="Marios Panayi" w:date="2021-01-08T17:37:00Z">
        <w:r w:rsidR="007424E9">
          <w:rPr>
            <w:rFonts w:ascii="Times New Roman" w:hAnsi="Times New Roman" w:cs="Times New Roman"/>
            <w:sz w:val="24"/>
            <w:szCs w:val="24"/>
            <w:lang w:val="en-GB"/>
          </w:rPr>
          <w:t>the</w:t>
        </w:r>
        <w:r w:rsidR="007424E9"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reinforcer. Liquids were delivered over a period of 0.33 s via a peristaltic pump which corresponded to a volume of 0.2 mL. The volume and concentration of liquid </w:t>
      </w:r>
      <w:r w:rsidRPr="00FB0BE9">
        <w:rPr>
          <w:rFonts w:ascii="Times New Roman" w:hAnsi="Times New Roman" w:cs="Times New Roman"/>
          <w:sz w:val="24"/>
          <w:szCs w:val="24"/>
          <w:lang w:val="en-GB"/>
        </w:rPr>
        <w:lastRenderedPageBreak/>
        <w:t>reinforcers was chosen to match the calorific value of the corresponding grain</w:t>
      </w:r>
      <w:ins w:id="26" w:author="Marios Panayi" w:date="2021-01-08T17:37:00Z">
        <w:r w:rsidR="00024F94">
          <w:rPr>
            <w:rFonts w:ascii="Times New Roman" w:hAnsi="Times New Roman" w:cs="Times New Roman"/>
            <w:sz w:val="24"/>
            <w:szCs w:val="24"/>
            <w:lang w:val="en-GB"/>
          </w:rPr>
          <w:t xml:space="preserve"> and sucrose</w:t>
        </w:r>
      </w:ins>
      <w:r w:rsidRPr="00FB0BE9">
        <w:rPr>
          <w:rFonts w:ascii="Times New Roman" w:hAnsi="Times New Roman" w:cs="Times New Roman"/>
          <w:sz w:val="24"/>
          <w:szCs w:val="24"/>
          <w:lang w:val="en-GB"/>
        </w:rPr>
        <w:t xml:space="preserve">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77777777"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Pr="00FB0BE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Pr="00FB0BE9">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Experiment 1: Pre-training OFC lesions</w:t>
      </w:r>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lastRenderedPageBreak/>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27" w:name="_Toc417304981"/>
      <w:r w:rsidRPr="00FB0BE9">
        <w:rPr>
          <w:szCs w:val="24"/>
          <w:lang w:val="en-GB"/>
        </w:rPr>
        <w:t>Training</w:t>
      </w:r>
      <w:bookmarkEnd w:id="27"/>
    </w:p>
    <w:p w14:paraId="0F09F900" w14:textId="77777777" w:rsidR="0036108C" w:rsidRPr="00FB0BE9" w:rsidRDefault="0036108C" w:rsidP="0036108C">
      <w:pPr>
        <w:pStyle w:val="3MariosLevel3"/>
        <w:spacing w:line="480" w:lineRule="auto"/>
        <w:rPr>
          <w:lang w:val="en-GB"/>
        </w:rPr>
      </w:pPr>
      <w:bookmarkStart w:id="28" w:name="_Toc417304984"/>
      <w:r w:rsidRPr="00FB0BE9">
        <w:rPr>
          <w:lang w:val="en-GB"/>
        </w:rPr>
        <w:t>Pavlovian Acquisition</w:t>
      </w:r>
      <w:bookmarkEnd w:id="28"/>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29"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29"/>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4ADFB02"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Following initial Pavlovian acquisition of a single CS-US association, a </w:t>
      </w:r>
      <w:ins w:id="30" w:author="Marios Panayi" w:date="2021-01-08T17:25:00Z">
        <w:r w:rsidR="00620B29">
          <w:rPr>
            <w:rFonts w:ascii="Times New Roman" w:hAnsi="Times New Roman" w:cs="Times New Roman"/>
            <w:sz w:val="24"/>
            <w:szCs w:val="24"/>
            <w:lang w:val="en-GB"/>
          </w:rPr>
          <w:t xml:space="preserve">second </w:t>
        </w:r>
      </w:ins>
      <w:r w:rsidRPr="00FB0BE9">
        <w:rPr>
          <w:rFonts w:ascii="Times New Roman" w:hAnsi="Times New Roman" w:cs="Times New Roman"/>
          <w:sz w:val="24"/>
          <w:szCs w:val="24"/>
          <w:lang w:val="en-GB"/>
        </w:rPr>
        <w:t>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31" w:name="_Toc417305005"/>
      <w:r w:rsidRPr="00FB0BE9">
        <w:rPr>
          <w:lang w:val="en-GB"/>
        </w:rPr>
        <w:t>Novel Acquisition</w:t>
      </w:r>
      <w:bookmarkEnd w:id="31"/>
    </w:p>
    <w:p w14:paraId="2ED659FA" w14:textId="3F3DD788"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32" w:name="OLE_LINK2"/>
      <w:r w:rsidRPr="00FB0BE9">
        <w:rPr>
          <w:rFonts w:ascii="Times New Roman" w:hAnsi="Times New Roman" w:cs="Times New Roman"/>
          <w:sz w:val="24"/>
          <w:szCs w:val="24"/>
          <w:lang w:val="en-GB"/>
        </w:rPr>
        <w:t>, 2 session</w:t>
      </w:r>
      <w:ins w:id="33" w:author="Marios Panayi" w:date="2021-01-08T17:26:00Z">
        <w:r w:rsidR="00620B29">
          <w:rPr>
            <w:rFonts w:ascii="Times New Roman" w:hAnsi="Times New Roman" w:cs="Times New Roman"/>
            <w:sz w:val="24"/>
            <w:szCs w:val="24"/>
            <w:lang w:val="en-GB"/>
          </w:rPr>
          <w:t>s</w:t>
        </w:r>
      </w:ins>
      <w:r w:rsidRPr="00FB0BE9">
        <w:rPr>
          <w:rFonts w:ascii="Times New Roman" w:hAnsi="Times New Roman" w:cs="Times New Roman"/>
          <w:sz w:val="24"/>
          <w:szCs w:val="24"/>
          <w:lang w:val="en-GB"/>
        </w:rPr>
        <w:t xml:space="preserve"> per day for 14 days</w:t>
      </w:r>
      <w:bookmarkEnd w:id="32"/>
      <w:del w:id="34" w:author="Marios Panayi" w:date="2021-01-08T17:28:00Z">
        <w:r w:rsidRPr="00FB0BE9" w:rsidDel="000321D1">
          <w:rPr>
            <w:rFonts w:ascii="Times New Roman" w:hAnsi="Times New Roman" w:cs="Times New Roman"/>
            <w:sz w:val="24"/>
            <w:szCs w:val="24"/>
            <w:lang w:val="en-GB"/>
          </w:rPr>
          <w:delText>,</w:delText>
        </w:r>
      </w:del>
      <w:ins w:id="35" w:author="Marios Panayi" w:date="2021-01-08T17:28:00Z">
        <w:r w:rsidR="000321D1">
          <w:rPr>
            <w:rFonts w:ascii="Times New Roman" w:hAnsi="Times New Roman" w:cs="Times New Roman"/>
            <w:sz w:val="24"/>
            <w:szCs w:val="24"/>
            <w:lang w:val="en-GB"/>
          </w:rPr>
          <w:t>.</w:t>
        </w:r>
      </w:ins>
      <w:r w:rsidRPr="00FB0BE9">
        <w:rPr>
          <w:rFonts w:ascii="Times New Roman" w:hAnsi="Times New Roman" w:cs="Times New Roman"/>
          <w:sz w:val="24"/>
          <w:szCs w:val="24"/>
          <w:lang w:val="en-GB"/>
        </w:rPr>
        <w:t xml:space="preserve"> </w:t>
      </w:r>
      <w:ins w:id="36" w:author="Marios Panayi" w:date="2021-01-08T17:28:00Z">
        <w:r w:rsidR="000321D1">
          <w:rPr>
            <w:rFonts w:ascii="Times New Roman" w:hAnsi="Times New Roman" w:cs="Times New Roman"/>
            <w:sz w:val="24"/>
            <w:szCs w:val="24"/>
            <w:lang w:val="en-GB"/>
          </w:rPr>
          <w:t>T</w:t>
        </w:r>
        <w:r w:rsidR="00FF6AB2">
          <w:rPr>
            <w:rFonts w:ascii="Times New Roman" w:hAnsi="Times New Roman" w:cs="Times New Roman"/>
            <w:sz w:val="24"/>
            <w:szCs w:val="24"/>
            <w:lang w:val="en-GB"/>
          </w:rPr>
          <w:t>here</w:t>
        </w:r>
        <w:r w:rsidR="000321D1">
          <w:rPr>
            <w:rFonts w:ascii="Times New Roman" w:hAnsi="Times New Roman" w:cs="Times New Roman"/>
            <w:sz w:val="24"/>
            <w:szCs w:val="24"/>
            <w:lang w:val="en-GB"/>
          </w:rPr>
          <w:t xml:space="preserve"> were</w:t>
        </w:r>
      </w:ins>
      <w:del w:id="37" w:author="Marios Panayi" w:date="2021-01-08T17:28:00Z">
        <w:r w:rsidRPr="00FB0BE9" w:rsidDel="00FF6AB2">
          <w:rPr>
            <w:rFonts w:ascii="Times New Roman" w:hAnsi="Times New Roman" w:cs="Times New Roman"/>
            <w:sz w:val="24"/>
            <w:szCs w:val="24"/>
            <w:lang w:val="en-GB"/>
          </w:rPr>
          <w:delText xml:space="preserve">each session </w:delText>
        </w:r>
      </w:del>
      <w:del w:id="38" w:author="Marios Panayi" w:date="2021-01-08T17:27:00Z">
        <w:r w:rsidRPr="00FB0BE9" w:rsidDel="001B588C">
          <w:rPr>
            <w:rFonts w:ascii="Times New Roman" w:hAnsi="Times New Roman" w:cs="Times New Roman"/>
            <w:sz w:val="24"/>
            <w:szCs w:val="24"/>
            <w:lang w:val="en-GB"/>
          </w:rPr>
          <w:delText>consisting of</w:delText>
        </w:r>
      </w:del>
      <w:r w:rsidRPr="00FB0BE9">
        <w:rPr>
          <w:rFonts w:ascii="Times New Roman" w:hAnsi="Times New Roman" w:cs="Times New Roman"/>
          <w:sz w:val="24"/>
          <w:szCs w:val="24"/>
          <w:lang w:val="en-GB"/>
        </w:rPr>
        <w:t xml:space="preserve"> 16 trials </w:t>
      </w:r>
      <w:ins w:id="39" w:author="Marios Panayi" w:date="2021-01-08T17:28:00Z">
        <w:r w:rsidR="000321D1">
          <w:rPr>
            <w:rFonts w:ascii="Times New Roman" w:hAnsi="Times New Roman" w:cs="Times New Roman"/>
            <w:sz w:val="24"/>
            <w:szCs w:val="24"/>
            <w:lang w:val="en-GB"/>
          </w:rPr>
          <w:t xml:space="preserve">per session </w:t>
        </w:r>
      </w:ins>
      <w:ins w:id="40" w:author="Marios Panayi" w:date="2021-01-08T17:29:00Z">
        <w:r w:rsidR="000321D1">
          <w:rPr>
            <w:rFonts w:ascii="Times New Roman" w:hAnsi="Times New Roman" w:cs="Times New Roman"/>
            <w:sz w:val="24"/>
            <w:szCs w:val="24"/>
            <w:lang w:val="en-GB"/>
          </w:rPr>
          <w:t>separated by</w:t>
        </w:r>
      </w:ins>
      <w:ins w:id="41" w:author="Marios Panayi" w:date="2021-01-08T17:28:00Z">
        <w:r w:rsidR="000321D1" w:rsidRPr="00FB0BE9">
          <w:rPr>
            <w:rFonts w:ascii="Times New Roman" w:hAnsi="Times New Roman" w:cs="Times New Roman"/>
            <w:sz w:val="24"/>
            <w:szCs w:val="24"/>
            <w:lang w:val="en-GB"/>
          </w:rPr>
          <w:t xml:space="preserve"> a vITI90s</w:t>
        </w:r>
        <w:r w:rsidR="000321D1">
          <w:rPr>
            <w:rFonts w:ascii="Times New Roman" w:hAnsi="Times New Roman" w:cs="Times New Roman"/>
            <w:sz w:val="24"/>
            <w:szCs w:val="24"/>
            <w:lang w:val="en-GB"/>
          </w:rPr>
          <w:t xml:space="preserve">, </w:t>
        </w:r>
      </w:ins>
      <w:ins w:id="42" w:author="Marios Panayi" w:date="2021-01-08T17:29:00Z">
        <w:r w:rsidR="000321D1">
          <w:rPr>
            <w:rFonts w:ascii="Times New Roman" w:hAnsi="Times New Roman" w:cs="Times New Roman"/>
            <w:sz w:val="24"/>
            <w:szCs w:val="24"/>
            <w:lang w:val="en-GB"/>
          </w:rPr>
          <w:t xml:space="preserve">with </w:t>
        </w:r>
      </w:ins>
      <w:ins w:id="43" w:author="Marios Panayi" w:date="2021-01-08T17:28:00Z">
        <w:r w:rsidR="000321D1">
          <w:rPr>
            <w:rFonts w:ascii="Times New Roman" w:hAnsi="Times New Roman" w:cs="Times New Roman"/>
            <w:sz w:val="24"/>
            <w:szCs w:val="24"/>
            <w:lang w:val="en-GB"/>
          </w:rPr>
          <w:t xml:space="preserve">each </w:t>
        </w:r>
      </w:ins>
      <w:ins w:id="44" w:author="Marios Panayi" w:date="2021-01-08T17:29:00Z">
        <w:r w:rsidR="000321D1">
          <w:rPr>
            <w:rFonts w:ascii="Times New Roman" w:hAnsi="Times New Roman" w:cs="Times New Roman"/>
            <w:sz w:val="24"/>
            <w:szCs w:val="24"/>
            <w:lang w:val="en-GB"/>
          </w:rPr>
          <w:t xml:space="preserve">trial </w:t>
        </w:r>
      </w:ins>
      <w:r w:rsidRPr="00FB0BE9">
        <w:rPr>
          <w:rFonts w:ascii="Times New Roman" w:hAnsi="Times New Roman" w:cs="Times New Roman"/>
          <w:sz w:val="24"/>
          <w:szCs w:val="24"/>
          <w:lang w:val="en-GB"/>
        </w:rPr>
        <w:t>consisting of a 15s CS co-terminating with reward</w:t>
      </w:r>
      <w:del w:id="45" w:author="Marios Panayi" w:date="2021-01-08T17:29:00Z">
        <w:r w:rsidRPr="00FB0BE9" w:rsidDel="000321D1">
          <w:rPr>
            <w:rFonts w:ascii="Times New Roman" w:hAnsi="Times New Roman" w:cs="Times New Roman"/>
            <w:sz w:val="24"/>
            <w:szCs w:val="24"/>
            <w:lang w:val="en-GB"/>
          </w:rPr>
          <w:delText xml:space="preserve"> </w:delText>
        </w:r>
      </w:del>
      <w:del w:id="46" w:author="Marios Panayi" w:date="2021-01-08T17:27:00Z">
        <w:r w:rsidRPr="00FB0BE9" w:rsidDel="00FF6AB2">
          <w:rPr>
            <w:rFonts w:ascii="Times New Roman" w:hAnsi="Times New Roman" w:cs="Times New Roman"/>
            <w:sz w:val="24"/>
            <w:szCs w:val="24"/>
            <w:lang w:val="en-GB"/>
          </w:rPr>
          <w:delText xml:space="preserve">with </w:delText>
        </w:r>
      </w:del>
      <w:del w:id="47" w:author="Marios Panayi" w:date="2021-01-08T17:28:00Z">
        <w:r w:rsidRPr="00FB0BE9" w:rsidDel="000321D1">
          <w:rPr>
            <w:rFonts w:ascii="Times New Roman" w:hAnsi="Times New Roman" w:cs="Times New Roman"/>
            <w:sz w:val="24"/>
            <w:szCs w:val="24"/>
            <w:lang w:val="en-GB"/>
          </w:rPr>
          <w:delText>a vITI90s</w:delText>
        </w:r>
      </w:del>
      <w:r w:rsidRPr="00FB0BE9">
        <w:rPr>
          <w:rFonts w:ascii="Times New Roman" w:hAnsi="Times New Roman" w:cs="Times New Roman"/>
          <w:sz w:val="24"/>
          <w:szCs w:val="24"/>
          <w:lang w:val="en-GB"/>
        </w:rPr>
        <w:t xml:space="preserve">. Unlike initial acquisition the two CSs were an 80dB white noise and a 2800 Hz, 80 dB tone followed by either </w:t>
      </w:r>
      <w:ins w:id="48" w:author="Marios Panayi" w:date="2021-01-08T17:33:00Z">
        <w:r w:rsidR="00786614">
          <w:rPr>
            <w:rFonts w:ascii="Times New Roman" w:hAnsi="Times New Roman" w:cs="Times New Roman"/>
            <w:sz w:val="24"/>
            <w:szCs w:val="24"/>
            <w:lang w:val="en-GB"/>
          </w:rPr>
          <w:t xml:space="preserve">a </w:t>
        </w:r>
      </w:ins>
      <w:del w:id="49" w:author="Marios Panayi" w:date="2021-01-08T17:30:00Z">
        <w:r w:rsidRPr="00FB0BE9" w:rsidDel="000321D1">
          <w:rPr>
            <w:rFonts w:ascii="Times New Roman" w:hAnsi="Times New Roman" w:cs="Times New Roman"/>
            <w:sz w:val="24"/>
            <w:szCs w:val="24"/>
            <w:lang w:val="en-GB"/>
          </w:rPr>
          <w:delText>a single pellet</w:delText>
        </w:r>
      </w:del>
      <w:ins w:id="50" w:author="Marios Panayi" w:date="2021-01-08T17:30:00Z">
        <w:r w:rsidR="000321D1">
          <w:rPr>
            <w:rFonts w:ascii="Times New Roman" w:hAnsi="Times New Roman" w:cs="Times New Roman"/>
            <w:sz w:val="24"/>
            <w:szCs w:val="24"/>
            <w:lang w:val="en-GB"/>
          </w:rPr>
          <w:t>sucrose</w:t>
        </w:r>
      </w:ins>
      <w:ins w:id="51" w:author="Marios Panayi" w:date="2021-01-08T17:33:00Z">
        <w:r w:rsidR="00786614">
          <w:rPr>
            <w:rFonts w:ascii="Times New Roman" w:hAnsi="Times New Roman" w:cs="Times New Roman"/>
            <w:sz w:val="24"/>
            <w:szCs w:val="24"/>
            <w:lang w:val="en-GB"/>
          </w:rPr>
          <w:t xml:space="preserve"> pellet</w:t>
        </w:r>
      </w:ins>
      <w:r w:rsidRPr="00FB0BE9">
        <w:rPr>
          <w:rFonts w:ascii="Times New Roman" w:hAnsi="Times New Roman" w:cs="Times New Roman"/>
          <w:sz w:val="24"/>
          <w:szCs w:val="24"/>
          <w:lang w:val="en-GB"/>
        </w:rPr>
        <w:t xml:space="preserve"> or </w:t>
      </w:r>
      <w:ins w:id="52" w:author="Marios Panayi" w:date="2021-01-08T17:38:00Z">
        <w:r w:rsidR="00785DD6">
          <w:rPr>
            <w:rFonts w:ascii="Times New Roman" w:hAnsi="Times New Roman" w:cs="Times New Roman"/>
            <w:sz w:val="24"/>
            <w:szCs w:val="24"/>
            <w:lang w:val="en-GB"/>
          </w:rPr>
          <w:t xml:space="preserve">lemon flavoured </w:t>
        </w:r>
      </w:ins>
      <w:del w:id="53" w:author="Marios Panayi" w:date="2021-01-08T17:30:00Z">
        <w:r w:rsidRPr="00FB0BE9" w:rsidDel="000321D1">
          <w:rPr>
            <w:rFonts w:ascii="Times New Roman" w:hAnsi="Times New Roman" w:cs="Times New Roman"/>
            <w:sz w:val="24"/>
            <w:szCs w:val="24"/>
            <w:lang w:val="en-GB"/>
          </w:rPr>
          <w:delText xml:space="preserve">20% w/v </w:delText>
        </w:r>
      </w:del>
      <w:r w:rsidRPr="00FB0BE9">
        <w:rPr>
          <w:rFonts w:ascii="Times New Roman" w:hAnsi="Times New Roman" w:cs="Times New Roman"/>
          <w:sz w:val="24"/>
          <w:szCs w:val="24"/>
          <w:lang w:val="en-GB"/>
        </w:rPr>
        <w:t>maltodextrin liquid</w:t>
      </w:r>
      <w:ins w:id="54" w:author="Marios Panayi" w:date="2021-01-08T17:30:00Z">
        <w:r w:rsidR="000321D1">
          <w:rPr>
            <w:rFonts w:ascii="Times New Roman" w:hAnsi="Times New Roman" w:cs="Times New Roman"/>
            <w:sz w:val="24"/>
            <w:szCs w:val="24"/>
            <w:lang w:val="en-GB"/>
          </w:rPr>
          <w:t xml:space="preserve"> reinforcers</w:t>
        </w:r>
      </w:ins>
      <w:r w:rsidRPr="00FB0BE9">
        <w:rPr>
          <w:rFonts w:ascii="Times New Roman" w:hAnsi="Times New Roman" w:cs="Times New Roman"/>
          <w:sz w:val="24"/>
          <w:szCs w:val="24"/>
          <w:lang w:val="en-GB"/>
        </w:rPr>
        <w:t xml:space="preserve"> (CS-US identities counterbalanced between animals).</w:t>
      </w:r>
    </w:p>
    <w:p w14:paraId="7046AA3A" w14:textId="77777777" w:rsidR="0036108C" w:rsidRPr="00FB0BE9" w:rsidRDefault="0036108C" w:rsidP="0036108C">
      <w:pPr>
        <w:pStyle w:val="3MariosLevel3"/>
        <w:spacing w:line="480" w:lineRule="auto"/>
        <w:rPr>
          <w:lang w:val="en-GB"/>
        </w:rPr>
      </w:pPr>
      <w:bookmarkStart w:id="55" w:name="_Toc417305006"/>
      <w:r w:rsidRPr="00FB0BE9">
        <w:rPr>
          <w:lang w:val="en-GB"/>
        </w:rPr>
        <w:t>Taste Aversion</w:t>
      </w:r>
      <w:bookmarkEnd w:id="55"/>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56" w:name="_Toc417305007"/>
      <w:r w:rsidRPr="00FB0BE9">
        <w:rPr>
          <w:lang w:val="en-GB"/>
        </w:rPr>
        <w:t>Devaluation Test</w:t>
      </w:r>
      <w:bookmarkEnd w:id="56"/>
    </w:p>
    <w:p w14:paraId="78777C23" w14:textId="00F5CE60"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Animals were tested with a single session of CS training except that no rewards were delivered i.e. in extinction. </w:t>
      </w:r>
      <w:del w:id="57" w:author="Marios Panayi" w:date="2021-01-08T17:45:00Z">
        <w:r w:rsidRPr="00FB0BE9" w:rsidDel="00764388">
          <w:rPr>
            <w:rFonts w:ascii="Times New Roman" w:hAnsi="Times New Roman" w:cs="Times New Roman"/>
            <w:sz w:val="24"/>
            <w:szCs w:val="24"/>
            <w:lang w:val="en-GB"/>
          </w:rPr>
          <w:delText>The magazine frequency measure that was available was not as sensitive to devaluation as a measure of duration, so only d</w:delText>
        </w:r>
      </w:del>
      <w:ins w:id="58" w:author="Marios Panayi" w:date="2021-01-08T17:45:00Z">
        <w:r w:rsidR="00764388">
          <w:rPr>
            <w:rFonts w:ascii="Times New Roman" w:hAnsi="Times New Roman" w:cs="Times New Roman"/>
            <w:sz w:val="24"/>
            <w:szCs w:val="24"/>
            <w:lang w:val="en-GB"/>
          </w:rPr>
          <w:t>D</w:t>
        </w:r>
      </w:ins>
      <w:r w:rsidRPr="00FB0BE9">
        <w:rPr>
          <w:rFonts w:ascii="Times New Roman" w:hAnsi="Times New Roman" w:cs="Times New Roman"/>
          <w:sz w:val="24"/>
          <w:szCs w:val="24"/>
          <w:lang w:val="en-GB"/>
        </w:rPr>
        <w:t>ata from the first trial was analysed at test.</w:t>
      </w:r>
    </w:p>
    <w:p w14:paraId="1AE24813" w14:textId="77777777" w:rsidR="0036108C" w:rsidRPr="00FB0BE9" w:rsidRDefault="0036108C" w:rsidP="0036108C">
      <w:pPr>
        <w:pStyle w:val="3MariosLevel3"/>
        <w:spacing w:line="480" w:lineRule="auto"/>
        <w:rPr>
          <w:lang w:val="en-GB"/>
        </w:rPr>
      </w:pPr>
      <w:bookmarkStart w:id="59" w:name="_Toc417304986"/>
      <w:r w:rsidRPr="00FB0BE9">
        <w:rPr>
          <w:lang w:val="en-GB"/>
        </w:rPr>
        <w:t>Locomotor Activity</w:t>
      </w:r>
      <w:bookmarkEnd w:id="59"/>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5C34063B" w14:textId="77777777" w:rsidR="0036108C" w:rsidRPr="00FB0BE9" w:rsidRDefault="0036108C" w:rsidP="0036108C">
      <w:pPr>
        <w:pStyle w:val="BodyText"/>
        <w:spacing w:line="480" w:lineRule="auto"/>
        <w:jc w:val="center"/>
        <w:rPr>
          <w:lang w:val="en-GB"/>
        </w:rPr>
      </w:pPr>
      <w:bookmarkStart w:id="60" w:name="_Toc417305020"/>
      <w:r w:rsidRPr="00FB0BE9">
        <w:rPr>
          <w:b/>
          <w:lang w:val="en-GB"/>
        </w:rPr>
        <w:t>Experiment 2: Post-training muscimol inactivation</w:t>
      </w:r>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60"/>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1" w:name="_Toc417305025"/>
      <w:r w:rsidRPr="00FB0BE9">
        <w:rPr>
          <w:rFonts w:ascii="Times New Roman" w:eastAsia="Times New Roman" w:hAnsi="Times New Roman" w:cs="Times New Roman"/>
          <w:b/>
          <w:i/>
          <w:color w:val="000000"/>
          <w:sz w:val="24"/>
          <w:szCs w:val="24"/>
          <w:lang w:val="en-GB"/>
        </w:rPr>
        <w:t>Pavlovian Acquisition</w:t>
      </w:r>
      <w:bookmarkEnd w:id="61"/>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62" w:name="_Toc417305026"/>
      <w:r w:rsidRPr="00FB0BE9">
        <w:rPr>
          <w:rFonts w:ascii="Times New Roman" w:eastAsia="Calibri" w:hAnsi="Times New Roman" w:cs="Times New Roman"/>
          <w:b/>
          <w:color w:val="000000"/>
          <w:sz w:val="24"/>
          <w:szCs w:val="24"/>
          <w:lang w:val="en-GB"/>
        </w:rPr>
        <w:t>Post-Training</w:t>
      </w:r>
      <w:bookmarkEnd w:id="62"/>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3" w:name="_Toc417305027"/>
      <w:r w:rsidRPr="00FB0BE9">
        <w:rPr>
          <w:rFonts w:ascii="Times New Roman" w:eastAsia="Times New Roman" w:hAnsi="Times New Roman" w:cs="Times New Roman"/>
          <w:b/>
          <w:i/>
          <w:color w:val="000000"/>
          <w:sz w:val="24"/>
          <w:szCs w:val="24"/>
          <w:lang w:val="en-GB"/>
        </w:rPr>
        <w:t>Pre-Infusion</w:t>
      </w:r>
      <w:bookmarkEnd w:id="63"/>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4" w:name="_Toc417305028"/>
      <w:r w:rsidRPr="00FB0BE9">
        <w:rPr>
          <w:rFonts w:ascii="Times New Roman" w:eastAsia="Times New Roman" w:hAnsi="Times New Roman" w:cs="Times New Roman"/>
          <w:b/>
          <w:i/>
          <w:color w:val="000000"/>
          <w:sz w:val="24"/>
          <w:szCs w:val="24"/>
          <w:lang w:val="en-GB"/>
        </w:rPr>
        <w:t>Infusion</w:t>
      </w:r>
      <w:bookmarkEnd w:id="64"/>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5" w:name="_Toc417305029"/>
      <w:r w:rsidRPr="00FB0BE9">
        <w:rPr>
          <w:rFonts w:ascii="Times New Roman" w:eastAsia="Times New Roman" w:hAnsi="Times New Roman" w:cs="Times New Roman"/>
          <w:b/>
          <w:i/>
          <w:color w:val="000000"/>
          <w:sz w:val="24"/>
          <w:szCs w:val="24"/>
          <w:lang w:val="en-GB"/>
        </w:rPr>
        <w:t>Post-Infusion</w:t>
      </w:r>
      <w:bookmarkEnd w:id="65"/>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2F393D06" w14:textId="22E261FB" w:rsidR="0036108C" w:rsidRPr="00FB0BE9" w:rsidDel="006A6F42" w:rsidRDefault="0036108C" w:rsidP="0036108C">
      <w:pPr>
        <w:spacing w:line="480" w:lineRule="auto"/>
        <w:rPr>
          <w:del w:id="66" w:author="Marios Panayi" w:date="2021-01-09T16:40:00Z"/>
          <w:rFonts w:ascii="Times New Roman" w:eastAsia="Calibri" w:hAnsi="Times New Roman" w:cs="Times New Roman"/>
          <w:b/>
          <w:color w:val="000000"/>
          <w:sz w:val="24"/>
          <w:szCs w:val="24"/>
          <w:lang w:val="en-GB"/>
        </w:rPr>
      </w:pPr>
      <w:bookmarkStart w:id="67" w:name="_Toc417305032"/>
      <w:del w:id="68" w:author="Marios Panayi" w:date="2021-01-09T16:40:00Z">
        <w:r w:rsidRPr="00FB0BE9" w:rsidDel="006A6F42">
          <w:rPr>
            <w:rFonts w:ascii="Times New Roman" w:eastAsia="Calibri" w:hAnsi="Times New Roman" w:cs="Times New Roman"/>
            <w:b/>
            <w:color w:val="000000"/>
            <w:sz w:val="24"/>
            <w:szCs w:val="24"/>
            <w:lang w:val="en-GB"/>
          </w:rPr>
          <w:delText>Histology and Group Allocation</w:delText>
        </w:r>
        <w:bookmarkEnd w:id="67"/>
      </w:del>
    </w:p>
    <w:p w14:paraId="41E6E2CD" w14:textId="04322EEC" w:rsidR="0036108C" w:rsidRPr="00FB0BE9" w:rsidDel="006A6F42" w:rsidRDefault="0036108C" w:rsidP="0036108C">
      <w:pPr>
        <w:spacing w:line="480" w:lineRule="auto"/>
        <w:rPr>
          <w:del w:id="69" w:author="Marios Panayi" w:date="2021-01-09T16:40:00Z"/>
          <w:rFonts w:ascii="Times New Roman" w:eastAsia="Calibri" w:hAnsi="Times New Roman" w:cs="Times New Roman"/>
          <w:color w:val="000000"/>
          <w:sz w:val="24"/>
          <w:szCs w:val="24"/>
          <w:lang w:val="en-GB"/>
        </w:rPr>
      </w:pPr>
      <w:del w:id="70" w:author="Marios Panayi" w:date="2021-01-09T16:40:00Z">
        <w:r w:rsidRPr="00FB0BE9" w:rsidDel="006A6F42">
          <w:rPr>
            <w:rFonts w:ascii="Times New Roman" w:eastAsia="Calibri" w:hAnsi="Times New Roman" w:cs="Times New Roman"/>
            <w:color w:val="000000"/>
            <w:sz w:val="24"/>
            <w:szCs w:val="24"/>
            <w:lang w:val="en-GB"/>
          </w:rPr>
          <w:delText xml:space="preserve">Cannulae placements are illustrated </w:delText>
        </w:r>
        <w:r w:rsidRPr="00FB0BE9" w:rsidDel="006A6F42">
          <w:rPr>
            <w:rFonts w:ascii="Times New Roman" w:eastAsia="Calibri" w:hAnsi="Times New Roman" w:cs="Times New Roman"/>
            <w:sz w:val="24"/>
            <w:szCs w:val="24"/>
            <w:lang w:val="en-GB"/>
          </w:rPr>
          <w:delText xml:space="preserve">in </w:delText>
        </w:r>
        <w:r w:rsidRPr="00FB0BE9" w:rsidDel="006A6F42">
          <w:rPr>
            <w:rFonts w:ascii="Times New Roman" w:eastAsia="Calibri" w:hAnsi="Times New Roman" w:cs="Times New Roman"/>
            <w:color w:val="000000"/>
            <w:sz w:val="24"/>
            <w:szCs w:val="24"/>
            <w:lang w:val="en-GB"/>
          </w:rPr>
          <w:delText>Figure 2-figure supplement 2</w:delText>
        </w:r>
        <w:r w:rsidRPr="00FB0BE9" w:rsidDel="006A6F42">
          <w:rPr>
            <w:rFonts w:ascii="Times New Roman" w:eastAsia="Calibri" w:hAnsi="Times New Roman" w:cs="Times New Roman"/>
            <w:sz w:val="24"/>
            <w:szCs w:val="24"/>
            <w:lang w:val="en-GB"/>
          </w:rPr>
          <w:delText xml:space="preserve">. One animal </w:delText>
        </w:r>
        <w:r w:rsidRPr="00FB0BE9" w:rsidDel="006A6F42">
          <w:rPr>
            <w:rFonts w:ascii="Times New Roman" w:eastAsia="Calibri" w:hAnsi="Times New Roman" w:cs="Times New Roman"/>
            <w:color w:val="000000"/>
            <w:sz w:val="24"/>
            <w:szCs w:val="24"/>
            <w:lang w:val="en-GB"/>
          </w:rPr>
          <w:delTex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24 (saline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 muscimol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w:delText>
        </w:r>
      </w:del>
    </w:p>
    <w:p w14:paraId="5197A139" w14:textId="294CCD06" w:rsidR="0036108C" w:rsidRPr="00FB0BE9" w:rsidDel="006A6F42" w:rsidRDefault="0036108C" w:rsidP="0036108C">
      <w:pPr>
        <w:spacing w:line="480" w:lineRule="auto"/>
        <w:rPr>
          <w:del w:id="71" w:author="Marios Panayi" w:date="2021-01-09T16:40:00Z"/>
          <w:rFonts w:ascii="Times New Roman" w:eastAsia="Calibri" w:hAnsi="Times New Roman" w:cs="Times New Roman"/>
          <w:b/>
          <w:color w:val="000000"/>
          <w:sz w:val="24"/>
          <w:szCs w:val="24"/>
          <w:lang w:val="en-GB"/>
        </w:rPr>
      </w:pPr>
      <w:bookmarkStart w:id="72" w:name="_Toc417305033"/>
      <w:del w:id="73" w:author="Marios Panayi" w:date="2021-01-09T16:40:00Z">
        <w:r w:rsidRPr="00FB0BE9" w:rsidDel="006A6F42">
          <w:rPr>
            <w:rFonts w:ascii="Times New Roman" w:eastAsia="Calibri" w:hAnsi="Times New Roman" w:cs="Times New Roman"/>
            <w:b/>
            <w:color w:val="000000"/>
            <w:sz w:val="24"/>
            <w:szCs w:val="24"/>
            <w:lang w:val="en-GB"/>
          </w:rPr>
          <w:delText>PreCS Rates</w:delText>
        </w:r>
        <w:bookmarkEnd w:id="72"/>
      </w:del>
    </w:p>
    <w:p w14:paraId="4110DDE0" w14:textId="28DD3A73" w:rsidR="0036108C" w:rsidRPr="00FB0BE9" w:rsidDel="006A6F42" w:rsidRDefault="0036108C" w:rsidP="0036108C">
      <w:pPr>
        <w:spacing w:after="240" w:line="480" w:lineRule="auto"/>
        <w:rPr>
          <w:del w:id="74" w:author="Marios Panayi" w:date="2021-01-09T16:40:00Z"/>
          <w:rFonts w:ascii="Times New Roman" w:eastAsia="Calibri" w:hAnsi="Times New Roman" w:cs="Times New Roman"/>
          <w:color w:val="000000"/>
          <w:sz w:val="24"/>
          <w:szCs w:val="24"/>
          <w:lang w:val="en-GB"/>
        </w:rPr>
      </w:pPr>
      <w:del w:id="75" w:author="Marios Panayi" w:date="2021-01-09T16:40:00Z">
        <w:r w:rsidRPr="00FB0BE9" w:rsidDel="006A6F42">
          <w:rPr>
            <w:rFonts w:ascii="Times New Roman" w:eastAsia="Calibri" w:hAnsi="Times New Roman" w:cs="Times New Roman"/>
            <w:color w:val="000000"/>
            <w:sz w:val="24"/>
            <w:szCs w:val="24"/>
            <w:lang w:val="en-GB"/>
          </w:rPr>
          <w:lastRenderedPageBreak/>
          <w:delText xml:space="preserve">PreCS baseline responding did not differ between infusion groups across training. In particular, during the infusion period a Group x Day (4 days) mixed ANOVA on preCS responses revealed a significant effect of Day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5.95,</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Times New Roman" w:hAnsi="Times New Roman" w:cs="Times New Roman"/>
            <w:color w:val="000000"/>
            <w:sz w:val="24"/>
            <w:szCs w:val="24"/>
            <w:lang w:val="en-GB"/>
          </w:rPr>
          <w:delText xml:space="preserve">) but no significant effect of Group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(1, 22)</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.93</w:delText>
        </w:r>
        <w:r w:rsidRPr="00FB0BE9" w:rsidDel="006A6F42">
          <w:rPr>
            <w:rFonts w:ascii="Times New Roman" w:eastAsia="Times New Roman" w:hAnsi="Times New Roman" w:cs="Times New Roman"/>
            <w:color w:val="000000"/>
            <w:sz w:val="24"/>
            <w:szCs w:val="24"/>
            <w:lang w:val="en-GB"/>
          </w:rPr>
          <w:delText xml:space="preserve">) or Group x Day interaction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0.41,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.741</w:delText>
        </w:r>
        <w:r w:rsidRPr="00FB0BE9" w:rsidDel="006A6F42">
          <w:rPr>
            <w:rFonts w:ascii="Times New Roman" w:eastAsia="Times New Roman" w:hAnsi="Times New Roman" w:cs="Times New Roman"/>
            <w:color w:val="000000"/>
            <w:sz w:val="24"/>
            <w:szCs w:val="24"/>
            <w:lang w:val="en-GB"/>
          </w:rPr>
          <w:delText xml:space="preserve">). PreCS response rates on these days were, saline </w:delText>
        </w:r>
        <w:r w:rsidRPr="00FB0BE9" w:rsidDel="006A6F42">
          <w:rPr>
            <w:rFonts w:ascii="Times New Roman" w:eastAsia="Times New Roman" w:hAnsi="Times New Roman" w:cs="Times New Roman"/>
            <w:i/>
            <w:color w:val="000000"/>
            <w:sz w:val="24"/>
            <w:szCs w:val="24"/>
            <w:lang w:val="en-GB"/>
          </w:rPr>
          <w:delText>M</w:delText>
        </w:r>
        <w:r w:rsidRPr="00FB0BE9" w:rsidDel="006A6F42">
          <w:rPr>
            <w:rFonts w:ascii="Times New Roman" w:eastAsia="Times New Roman" w:hAnsi="Times New Roman" w:cs="Times New Roman"/>
            <w:color w:val="000000"/>
            <w:sz w:val="24"/>
            <w:szCs w:val="24"/>
            <w:lang w:val="en-GB"/>
          </w:rPr>
          <w:delText xml:space="preserve"> = 0.70,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 muscimol</w:delText>
        </w:r>
        <w:r w:rsidRPr="00FB0BE9" w:rsidDel="006A6F42">
          <w:rPr>
            <w:rFonts w:ascii="Times New Roman" w:eastAsia="Times New Roman" w:hAnsi="Times New Roman" w:cs="Times New Roman"/>
            <w:i/>
            <w:color w:val="000000"/>
            <w:sz w:val="24"/>
            <w:szCs w:val="24"/>
            <w:lang w:val="en-GB"/>
          </w:rPr>
          <w:delText xml:space="preserve"> M</w:delText>
        </w:r>
        <w:r w:rsidRPr="00FB0BE9" w:rsidDel="006A6F42">
          <w:rPr>
            <w:rFonts w:ascii="Times New Roman" w:eastAsia="Times New Roman" w:hAnsi="Times New Roman" w:cs="Times New Roman"/>
            <w:color w:val="000000"/>
            <w:sz w:val="24"/>
            <w:szCs w:val="24"/>
            <w:lang w:val="en-GB"/>
          </w:rPr>
          <w:delText xml:space="preserve"> = 0.72,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w:delText>
        </w:r>
      </w:del>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76" w:name="_Toc417305042"/>
      <w:bookmarkStart w:id="77" w:name="_Toc417312604"/>
      <w:r w:rsidRPr="00FB0BE9">
        <w:rPr>
          <w:rFonts w:ascii="Times New Roman" w:eastAsia="Calibri" w:hAnsi="Times New Roman" w:cs="Times New Roman"/>
          <w:b/>
          <w:color w:val="000000"/>
          <w:sz w:val="24"/>
          <w:szCs w:val="24"/>
          <w:lang w:val="en-GB"/>
        </w:rPr>
        <w:t>Methods</w:t>
      </w:r>
      <w:bookmarkEnd w:id="76"/>
      <w:bookmarkEnd w:id="77"/>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8" w:name="_Toc417305043"/>
      <w:r w:rsidRPr="00FB0BE9">
        <w:rPr>
          <w:rFonts w:ascii="Times New Roman" w:eastAsia="Calibri" w:hAnsi="Times New Roman" w:cs="Times New Roman"/>
          <w:b/>
          <w:color w:val="000000"/>
          <w:sz w:val="24"/>
          <w:szCs w:val="24"/>
          <w:lang w:val="en-GB"/>
        </w:rPr>
        <w:t>Subjects</w:t>
      </w:r>
      <w:bookmarkEnd w:id="78"/>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9" w:name="_Toc417305046"/>
      <w:r w:rsidRPr="00FB0BE9">
        <w:rPr>
          <w:rFonts w:ascii="Times New Roman" w:eastAsia="Calibri" w:hAnsi="Times New Roman" w:cs="Times New Roman"/>
          <w:b/>
          <w:color w:val="000000"/>
          <w:sz w:val="24"/>
          <w:szCs w:val="24"/>
          <w:lang w:val="en-GB"/>
        </w:rPr>
        <w:t>Pre-lesion Training</w:t>
      </w:r>
      <w:bookmarkEnd w:id="79"/>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0" w:name="_Toc417305048"/>
      <w:r w:rsidRPr="00FB0BE9">
        <w:rPr>
          <w:rFonts w:ascii="Times New Roman" w:eastAsia="Times New Roman" w:hAnsi="Times New Roman" w:cs="Times New Roman"/>
          <w:b/>
          <w:i/>
          <w:color w:val="000000"/>
          <w:sz w:val="24"/>
          <w:szCs w:val="24"/>
          <w:lang w:val="en-GB"/>
        </w:rPr>
        <w:t>Pavlovian Acquisition</w:t>
      </w:r>
      <w:bookmarkEnd w:id="80"/>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81" w:name="_Toc417305049"/>
      <w:r w:rsidRPr="00FB0BE9">
        <w:rPr>
          <w:rFonts w:ascii="Times New Roman" w:eastAsia="Calibri" w:hAnsi="Times New Roman" w:cs="Times New Roman"/>
          <w:b/>
          <w:color w:val="000000"/>
          <w:sz w:val="24"/>
          <w:szCs w:val="24"/>
          <w:lang w:val="en-GB"/>
        </w:rPr>
        <w:t>Post-lesion Training</w:t>
      </w:r>
      <w:bookmarkEnd w:id="81"/>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2" w:name="_Toc417305050"/>
      <w:r w:rsidRPr="00FB0BE9">
        <w:rPr>
          <w:rFonts w:ascii="Times New Roman" w:eastAsia="Times New Roman" w:hAnsi="Times New Roman" w:cs="Times New Roman"/>
          <w:b/>
          <w:i/>
          <w:color w:val="000000"/>
          <w:sz w:val="24"/>
          <w:szCs w:val="24"/>
          <w:lang w:val="en-GB"/>
        </w:rPr>
        <w:t>Pavlovian Acquisition</w:t>
      </w:r>
      <w:bookmarkEnd w:id="82"/>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Following post-operative recovery all animals were returned to food restriction for 24 hrs before receiving an additional 9 days of acquisition training.</w:t>
      </w:r>
    </w:p>
    <w:p w14:paraId="71CB903D" w14:textId="5CE870FB" w:rsidR="0036108C" w:rsidRPr="00FB0BE9" w:rsidDel="00D77087" w:rsidRDefault="0036108C" w:rsidP="0036108C">
      <w:pPr>
        <w:spacing w:line="480" w:lineRule="auto"/>
        <w:rPr>
          <w:del w:id="83" w:author="Marios Panayi" w:date="2021-01-09T16:43:00Z"/>
          <w:rFonts w:ascii="Times New Roman" w:eastAsia="Calibri" w:hAnsi="Times New Roman" w:cs="Times New Roman"/>
          <w:b/>
          <w:color w:val="000000"/>
          <w:sz w:val="24"/>
          <w:szCs w:val="24"/>
          <w:lang w:val="en-GB"/>
        </w:rPr>
      </w:pPr>
      <w:bookmarkStart w:id="84" w:name="_Toc417305053"/>
      <w:del w:id="85" w:author="Marios Panayi" w:date="2021-01-09T16:43:00Z">
        <w:r w:rsidRPr="00FB0BE9" w:rsidDel="00D77087">
          <w:rPr>
            <w:rFonts w:ascii="Times New Roman" w:eastAsia="Calibri" w:hAnsi="Times New Roman" w:cs="Times New Roman"/>
            <w:b/>
            <w:color w:val="000000"/>
            <w:sz w:val="24"/>
            <w:szCs w:val="24"/>
            <w:lang w:val="en-GB"/>
          </w:rPr>
          <w:delText>Histology and Group Allocation</w:delText>
        </w:r>
        <w:bookmarkEnd w:id="84"/>
      </w:del>
    </w:p>
    <w:p w14:paraId="29696F45" w14:textId="3B28B754" w:rsidR="0036108C" w:rsidRPr="00FB0BE9" w:rsidDel="00D77087" w:rsidRDefault="0036108C" w:rsidP="0036108C">
      <w:pPr>
        <w:spacing w:after="240" w:line="480" w:lineRule="auto"/>
        <w:rPr>
          <w:del w:id="86" w:author="Marios Panayi" w:date="2021-01-09T16:43:00Z"/>
          <w:rFonts w:ascii="Times New Roman" w:eastAsia="Times New Roman" w:hAnsi="Times New Roman" w:cs="Times New Roman"/>
          <w:color w:val="000000"/>
          <w:sz w:val="24"/>
          <w:szCs w:val="24"/>
          <w:lang w:val="en-GB" w:eastAsia="en-AU"/>
        </w:rPr>
      </w:pPr>
      <w:del w:id="87" w:author="Marios Panayi" w:date="2021-01-09T16:43:00Z">
        <w:r w:rsidRPr="00FB0BE9" w:rsidDel="00D77087">
          <w:rPr>
            <w:rFonts w:ascii="Times New Roman" w:eastAsia="Calibri" w:hAnsi="Times New Roman" w:cs="Times New Roman"/>
            <w:color w:val="000000"/>
            <w:sz w:val="24"/>
            <w:szCs w:val="24"/>
            <w:lang w:val="en-GB"/>
          </w:rPr>
          <w:delText xml:space="preserve">Lesion damage is depicted </w:delText>
        </w:r>
        <w:r w:rsidRPr="00FB0BE9" w:rsidDel="00D77087">
          <w:rPr>
            <w:rFonts w:ascii="Times New Roman" w:eastAsia="Calibri" w:hAnsi="Times New Roman" w:cs="Times New Roman"/>
            <w:sz w:val="24"/>
            <w:szCs w:val="24"/>
            <w:lang w:val="en-GB"/>
          </w:rPr>
          <w:delText xml:space="preserve">in </w:delText>
        </w:r>
        <w:r w:rsidRPr="00FB0BE9" w:rsidDel="00D77087">
          <w:rPr>
            <w:rFonts w:ascii="Times New Roman" w:eastAsia="Calibri" w:hAnsi="Times New Roman" w:cs="Times New Roman"/>
            <w:color w:val="000000"/>
            <w:sz w:val="24"/>
            <w:szCs w:val="24"/>
            <w:lang w:val="en-GB"/>
          </w:rPr>
          <w:delText>Figure 2-figure supplement 3</w:delText>
        </w:r>
        <w:r w:rsidRPr="00FB0BE9" w:rsidDel="00D77087">
          <w:rPr>
            <w:rFonts w:ascii="Times New Roman" w:eastAsia="Calibri" w:hAnsi="Times New Roman" w:cs="Times New Roman"/>
            <w:sz w:val="24"/>
            <w:szCs w:val="24"/>
            <w:lang w:val="en-GB"/>
          </w:rPr>
          <w:delText xml:space="preserve">. Lesion </w:delText>
        </w:r>
        <w:r w:rsidRPr="00FB0BE9" w:rsidDel="00D77087">
          <w:rPr>
            <w:rFonts w:ascii="Times New Roman" w:eastAsia="Calibri" w:hAnsi="Times New Roman" w:cs="Times New Roman"/>
            <w:color w:val="000000"/>
            <w:sz w:val="24"/>
            <w:szCs w:val="24"/>
            <w:lang w:val="en-GB"/>
          </w:rPr>
          <w:delText xml:space="preserve">extent was judged by a trained observer blind to group allocation. A lesion was retained if there was evidence of significant bilateral damage constrained to LO or DLO. Animals were excluded if there was only unilateral LO/DLO damage, evidence of damage to the </w:delText>
        </w:r>
        <w:r w:rsidRPr="00FB0BE9" w:rsidDel="00D77087">
          <w:rPr>
            <w:rFonts w:ascii="Times New Roman" w:eastAsia="Times New Roman" w:hAnsi="Times New Roman" w:cs="Times New Roman"/>
            <w:color w:val="000000"/>
            <w:sz w:val="24"/>
            <w:szCs w:val="24"/>
            <w:lang w:val="en-GB" w:eastAsia="en-AU"/>
          </w:rPr>
          <w:delText xml:space="preserve">dorsal part of the anterior olfactory nucleus ventral to LO/DLO or if there was extensive damage to the white matter of the forceps minor of the corpus callosum. Three lesion animals had only unilateral OFC damage and were excluded from analysis (final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21; sham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12, lesion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9).</w:delText>
        </w:r>
      </w:del>
    </w:p>
    <w:p w14:paraId="4CDE6E53" w14:textId="561255B7" w:rsidR="0036108C" w:rsidRPr="00FB0BE9" w:rsidDel="00D77087" w:rsidRDefault="0036108C" w:rsidP="0036108C">
      <w:pPr>
        <w:spacing w:line="480" w:lineRule="auto"/>
        <w:rPr>
          <w:del w:id="88" w:author="Marios Panayi" w:date="2021-01-09T16:43:00Z"/>
          <w:rFonts w:ascii="Times New Roman" w:eastAsia="Calibri" w:hAnsi="Times New Roman" w:cs="Times New Roman"/>
          <w:b/>
          <w:color w:val="000000"/>
          <w:sz w:val="24"/>
          <w:szCs w:val="24"/>
          <w:lang w:val="en-GB"/>
        </w:rPr>
      </w:pPr>
      <w:bookmarkStart w:id="89" w:name="_Toc417305054"/>
      <w:del w:id="90" w:author="Marios Panayi" w:date="2021-01-09T16:43:00Z">
        <w:r w:rsidRPr="00FB0BE9" w:rsidDel="00D77087">
          <w:rPr>
            <w:rFonts w:ascii="Times New Roman" w:eastAsia="Calibri" w:hAnsi="Times New Roman" w:cs="Times New Roman"/>
            <w:b/>
            <w:color w:val="000000"/>
            <w:sz w:val="24"/>
            <w:szCs w:val="24"/>
            <w:lang w:val="en-GB"/>
          </w:rPr>
          <w:delText>PreCS Responding</w:delText>
        </w:r>
        <w:bookmarkEnd w:id="89"/>
      </w:del>
    </w:p>
    <w:p w14:paraId="0C3B5234" w14:textId="06460A7A" w:rsidR="0036108C" w:rsidRPr="00FB0BE9" w:rsidDel="00D77087" w:rsidRDefault="0036108C" w:rsidP="0036108C">
      <w:pPr>
        <w:spacing w:after="240" w:line="480" w:lineRule="auto"/>
        <w:rPr>
          <w:del w:id="91" w:author="Marios Panayi" w:date="2021-01-09T16:43:00Z"/>
          <w:rFonts w:ascii="Times New Roman" w:eastAsia="Calibri" w:hAnsi="Times New Roman" w:cs="Times New Roman"/>
          <w:color w:val="000000"/>
          <w:sz w:val="24"/>
          <w:szCs w:val="24"/>
          <w:lang w:val="en-GB"/>
        </w:rPr>
      </w:pPr>
      <w:del w:id="92" w:author="Marios Panayi" w:date="2021-01-09T16:43:00Z">
        <w:r w:rsidRPr="00FB0BE9" w:rsidDel="00D77087">
          <w:rPr>
            <w:rFonts w:ascii="Times New Roman" w:eastAsia="Calibri" w:hAnsi="Times New Roman" w:cs="Times New Roman"/>
            <w:color w:val="000000"/>
            <w:sz w:val="24"/>
            <w:szCs w:val="24"/>
            <w:lang w:val="en-GB"/>
          </w:rPr>
          <w:delText xml:space="preserve">PreCS levels of responding did not differ between groups across days of training, and on the final block of 3 days (post-operative) response rates (15s) were sham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2.55,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2.03, lesion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2.74,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0.94. A mixed Group x DayBlock (6 blocks of 3 days) ANOVA on preCS responding supported this observation with only a significant main effect of DayBlock </w:delText>
        </w:r>
        <w:r w:rsidRPr="00FB0BE9" w:rsidDel="00D77087">
          <w:rPr>
            <w:rFonts w:ascii="Times New Roman" w:eastAsia="Times New Roman" w:hAnsi="Times New Roman" w:cs="Times New Roman"/>
            <w:color w:val="000000"/>
            <w:sz w:val="24"/>
            <w:szCs w:val="24"/>
            <w:lang w:val="en-GB" w:eastAsia="en-AU"/>
          </w:rPr>
          <w:delText>(</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vertAlign w:val="subscript"/>
            <w:lang w:val="en-GB"/>
          </w:rPr>
          <w:delText>(5, 95)</w:delText>
        </w:r>
        <w:r w:rsidRPr="00FB0BE9" w:rsidDel="00D77087">
          <w:rPr>
            <w:rFonts w:ascii="Times New Roman" w:eastAsia="Calibri" w:hAnsi="Times New Roman" w:cs="Times New Roman"/>
            <w:color w:val="000000"/>
            <w:sz w:val="24"/>
            <w:szCs w:val="24"/>
            <w:lang w:val="en-GB"/>
          </w:rPr>
          <w:delText xml:space="preserve"> = 11.52,</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&lt; .001</w:delText>
        </w:r>
        <w:r w:rsidRPr="00FB0BE9" w:rsidDel="00D77087">
          <w:rPr>
            <w:rFonts w:ascii="Times New Roman" w:eastAsia="Times New Roman" w:hAnsi="Times New Roman" w:cs="Times New Roman"/>
            <w:color w:val="000000"/>
            <w:sz w:val="24"/>
            <w:szCs w:val="24"/>
            <w:lang w:val="en-GB"/>
          </w:rPr>
          <w:delText xml:space="preserve">, effect of Group and Group x DayBlock interaction </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lang w:val="en-GB"/>
          </w:rPr>
          <w:delText xml:space="preserve"> &lt; 1.00,</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&gt; .81</w:delText>
        </w:r>
        <w:r w:rsidRPr="00FB0BE9" w:rsidDel="00D77087">
          <w:rPr>
            <w:rFonts w:ascii="Times New Roman" w:eastAsia="Times New Roman" w:hAnsi="Times New Roman" w:cs="Times New Roman"/>
            <w:color w:val="000000"/>
            <w:sz w:val="24"/>
            <w:szCs w:val="24"/>
            <w:lang w:val="en-GB"/>
          </w:rPr>
          <w:delText>)</w:delText>
        </w:r>
        <w:r w:rsidRPr="00FB0BE9" w:rsidDel="00D77087">
          <w:rPr>
            <w:rFonts w:ascii="Times New Roman" w:eastAsia="Calibri" w:hAnsi="Times New Roman" w:cs="Times New Roman"/>
            <w:color w:val="000000"/>
            <w:sz w:val="24"/>
            <w:szCs w:val="24"/>
            <w:lang w:val="en-GB"/>
          </w:rPr>
          <w:delText xml:space="preserve">. </w:delText>
        </w:r>
      </w:del>
    </w:p>
    <w:p w14:paraId="5ACD4585" w14:textId="77777777" w:rsidR="0036108C" w:rsidRPr="00FB0BE9" w:rsidRDefault="0036108C" w:rsidP="0036108C">
      <w:pPr>
        <w:pStyle w:val="BodyText"/>
        <w:spacing w:line="480" w:lineRule="auto"/>
        <w:jc w:val="center"/>
        <w:rPr>
          <w:lang w:val="en-GB"/>
        </w:rPr>
      </w:pPr>
      <w:bookmarkStart w:id="93"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93"/>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94" w:name="_Toc417305063"/>
      <w:r w:rsidRPr="00FB0BE9">
        <w:rPr>
          <w:rFonts w:ascii="Times New Roman" w:eastAsia="Calibri" w:hAnsi="Times New Roman" w:cs="Times New Roman"/>
          <w:b/>
          <w:color w:val="000000"/>
          <w:sz w:val="24"/>
          <w:szCs w:val="24"/>
          <w:lang w:val="en-GB"/>
        </w:rPr>
        <w:lastRenderedPageBreak/>
        <w:t>Surgery</w:t>
      </w:r>
      <w:bookmarkEnd w:id="94"/>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sessions, 1 session per day. Briefly, each session consisted of a VI 200s ITI with 16 trials consisting of a 10s light CS (illumination of the house light at the back of the chamber) co-terminating with a single pellet US. Subjects received mock infusions on days 3 and 4, and either Saline or Muscimol was infused prior to entering the chamber on days 5-9. On day 10 all animals received a mock infusion.</w:t>
      </w:r>
    </w:p>
    <w:p w14:paraId="3EC8741D" w14:textId="6E753525" w:rsidR="0036108C" w:rsidRPr="00FB0BE9" w:rsidDel="00A72A64" w:rsidRDefault="0036108C" w:rsidP="0036108C">
      <w:pPr>
        <w:spacing w:after="240" w:line="480" w:lineRule="auto"/>
        <w:rPr>
          <w:del w:id="95" w:author="Marios Panayi" w:date="2021-01-09T16:47:00Z"/>
          <w:rFonts w:ascii="Times New Roman" w:eastAsia="Calibri" w:hAnsi="Times New Roman" w:cs="Times New Roman"/>
          <w:b/>
          <w:color w:val="000000"/>
          <w:sz w:val="24"/>
          <w:szCs w:val="24"/>
          <w:lang w:val="en-GB"/>
        </w:rPr>
      </w:pPr>
      <w:del w:id="96" w:author="Marios Panayi" w:date="2021-01-09T16:47:00Z">
        <w:r w:rsidRPr="00FB0BE9" w:rsidDel="00A72A64">
          <w:rPr>
            <w:rFonts w:ascii="Times New Roman" w:eastAsia="Calibri" w:hAnsi="Times New Roman" w:cs="Times New Roman"/>
            <w:b/>
            <w:color w:val="000000"/>
            <w:sz w:val="24"/>
            <w:szCs w:val="24"/>
            <w:lang w:val="en-GB"/>
          </w:rPr>
          <w:delText>Histology and exclusions</w:delText>
        </w:r>
      </w:del>
    </w:p>
    <w:p w14:paraId="2B1B5B19" w14:textId="7421D24D" w:rsidR="0036108C" w:rsidRPr="00FB0BE9" w:rsidDel="00A72A64" w:rsidRDefault="0036108C" w:rsidP="0036108C">
      <w:pPr>
        <w:spacing w:line="480" w:lineRule="auto"/>
        <w:rPr>
          <w:del w:id="97" w:author="Marios Panayi" w:date="2021-01-09T16:47:00Z"/>
          <w:rFonts w:ascii="Times New Roman" w:eastAsia="Calibri" w:hAnsi="Times New Roman" w:cs="Times New Roman"/>
          <w:sz w:val="24"/>
          <w:szCs w:val="24"/>
          <w:lang w:val="en-GB"/>
        </w:rPr>
      </w:pPr>
      <w:del w:id="98" w:author="Marios Panayi" w:date="2021-01-09T16:47:00Z">
        <w:r w:rsidRPr="00FB0BE9" w:rsidDel="00A72A64">
          <w:rPr>
            <w:rFonts w:ascii="Times New Roman" w:eastAsia="Calibri" w:hAnsi="Times New Roman" w:cs="Times New Roman"/>
            <w:color w:val="000000"/>
            <w:sz w:val="24"/>
            <w:szCs w:val="24"/>
            <w:lang w:val="en-GB"/>
          </w:rPr>
          <w:delText xml:space="preserve">Cannulae placements are illustrated </w:delText>
        </w:r>
        <w:r w:rsidRPr="00FB0BE9" w:rsidDel="00A72A64">
          <w:rPr>
            <w:rFonts w:ascii="Times New Roman" w:eastAsia="Calibri" w:hAnsi="Times New Roman" w:cs="Times New Roman"/>
            <w:sz w:val="24"/>
            <w:szCs w:val="24"/>
            <w:lang w:val="en-GB"/>
          </w:rPr>
          <w:delText xml:space="preserve">in </w:delText>
        </w:r>
        <w:r w:rsidRPr="00FB0BE9" w:rsidDel="00A72A64">
          <w:rPr>
            <w:rFonts w:ascii="Times New Roman" w:eastAsia="Calibri" w:hAnsi="Times New Roman" w:cs="Times New Roman"/>
            <w:color w:val="000000"/>
            <w:sz w:val="24"/>
            <w:szCs w:val="24"/>
            <w:lang w:val="en-GB"/>
          </w:rPr>
          <w:delText>Figure 3-figure supplement 1</w:delText>
        </w:r>
        <w:r w:rsidRPr="00FB0BE9" w:rsidDel="00A72A64">
          <w:rPr>
            <w:rFonts w:ascii="Times New Roman" w:eastAsia="Calibri" w:hAnsi="Times New Roman" w:cs="Times New Roman"/>
            <w:sz w:val="24"/>
            <w:szCs w:val="24"/>
            <w:lang w:val="en-GB"/>
          </w:rPr>
          <w:delText>. One rat in the Muscimol condition had a blocked guide cannulae and was excluded from experimental analysis. Final numbers N = 15 (Muscimol n = 7, Saline n = 8).</w:delText>
        </w:r>
      </w:del>
    </w:p>
    <w:p w14:paraId="53828A66" w14:textId="6C2E52CC" w:rsidR="0036108C" w:rsidRPr="00FB0BE9" w:rsidDel="00A72A64" w:rsidRDefault="0036108C" w:rsidP="0036108C">
      <w:pPr>
        <w:spacing w:line="480" w:lineRule="auto"/>
        <w:rPr>
          <w:del w:id="99" w:author="Marios Panayi" w:date="2021-01-09T16:47:00Z"/>
          <w:rFonts w:ascii="Times New Roman" w:eastAsia="Calibri" w:hAnsi="Times New Roman" w:cs="Times New Roman"/>
          <w:b/>
          <w:sz w:val="24"/>
          <w:szCs w:val="24"/>
          <w:lang w:val="en-GB"/>
        </w:rPr>
      </w:pPr>
      <w:del w:id="100" w:author="Marios Panayi" w:date="2021-01-09T16:47:00Z">
        <w:r w:rsidRPr="00FB0BE9" w:rsidDel="00A72A64">
          <w:rPr>
            <w:rFonts w:ascii="Times New Roman" w:eastAsia="Calibri" w:hAnsi="Times New Roman" w:cs="Times New Roman"/>
            <w:b/>
            <w:sz w:val="24"/>
            <w:szCs w:val="24"/>
            <w:lang w:val="en-GB"/>
          </w:rPr>
          <w:delText>PreCS Rates</w:delText>
        </w:r>
      </w:del>
    </w:p>
    <w:p w14:paraId="52044D5C" w14:textId="1C842EF9" w:rsidR="0036108C" w:rsidRPr="00FB0BE9" w:rsidDel="00A72A64" w:rsidRDefault="0036108C" w:rsidP="0036108C">
      <w:pPr>
        <w:spacing w:line="480" w:lineRule="auto"/>
        <w:rPr>
          <w:del w:id="101" w:author="Marios Panayi" w:date="2021-01-09T16:47:00Z"/>
          <w:rFonts w:ascii="Times New Roman" w:hAnsi="Times New Roman" w:cs="Times New Roman"/>
          <w:sz w:val="24"/>
          <w:szCs w:val="24"/>
          <w:lang w:val="en-GB"/>
        </w:rPr>
      </w:pPr>
      <w:del w:id="102" w:author="Marios Panayi" w:date="2021-01-09T16:47:00Z">
        <w:r w:rsidRPr="00FB0BE9" w:rsidDel="00A72A64">
          <w:rPr>
            <w:rFonts w:ascii="Times New Roman" w:hAnsi="Times New Roman" w:cs="Times New Roman"/>
            <w:sz w:val="24"/>
            <w:szCs w:val="24"/>
            <w:lang w:val="en-GB"/>
          </w:rPr>
          <w:delText xml:space="preserve">PreCS responding did not differ between infusion groups across the 10 days of Pavlovian conditioning (Group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1,13</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.12;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1.49,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.16; Group x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.25).</w:delText>
        </w:r>
      </w:del>
    </w:p>
    <w:p w14:paraId="0A18A841" w14:textId="77777777" w:rsidR="0036108C" w:rsidRPr="00FB0BE9" w:rsidRDefault="0036108C" w:rsidP="0036108C">
      <w:pPr>
        <w:pStyle w:val="BodyText"/>
        <w:spacing w:line="480" w:lineRule="auto"/>
        <w:jc w:val="center"/>
        <w:rPr>
          <w:lang w:val="en-GB"/>
        </w:rPr>
      </w:pPr>
      <w:r w:rsidRPr="00FB0BE9">
        <w:rPr>
          <w:b/>
          <w:lang w:val="en-GB"/>
        </w:rPr>
        <w:t>Experiment 3: OFC inactivation prior to associative blocking</w:t>
      </w:r>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03" w:name="_Toc417305064"/>
      <w:r w:rsidRPr="00FB0BE9">
        <w:rPr>
          <w:rFonts w:ascii="Times New Roman" w:eastAsia="Calibri" w:hAnsi="Times New Roman" w:cs="Times New Roman"/>
          <w:b/>
          <w:color w:val="000000"/>
          <w:sz w:val="24"/>
          <w:szCs w:val="24"/>
          <w:lang w:val="en-GB"/>
        </w:rPr>
        <w:t>Training</w:t>
      </w:r>
      <w:bookmarkEnd w:id="103"/>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4" w:name="_Toc417305065"/>
      <w:r w:rsidRPr="00FB0BE9">
        <w:rPr>
          <w:rFonts w:ascii="Times New Roman" w:eastAsia="Times New Roman" w:hAnsi="Times New Roman" w:cs="Times New Roman"/>
          <w:b/>
          <w:i/>
          <w:color w:val="000000"/>
          <w:sz w:val="24"/>
          <w:szCs w:val="24"/>
          <w:lang w:val="en-GB"/>
        </w:rPr>
        <w:t>Food Restriction and Magazine Training</w:t>
      </w:r>
      <w:bookmarkEnd w:id="104"/>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5" w:name="_Toc417305066"/>
      <w:r w:rsidRPr="00FB0BE9">
        <w:rPr>
          <w:rFonts w:ascii="Times New Roman" w:eastAsia="Times New Roman" w:hAnsi="Times New Roman" w:cs="Times New Roman"/>
          <w:b/>
          <w:i/>
          <w:color w:val="000000"/>
          <w:sz w:val="24"/>
          <w:szCs w:val="24"/>
          <w:lang w:val="en-GB"/>
        </w:rPr>
        <w:t>Stage 1</w:t>
      </w:r>
      <w:bookmarkEnd w:id="105"/>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6" w:name="_Toc417305067"/>
      <w:r w:rsidRPr="00FB0BE9">
        <w:rPr>
          <w:rFonts w:ascii="Times New Roman" w:eastAsia="Times New Roman" w:hAnsi="Times New Roman" w:cs="Times New Roman"/>
          <w:b/>
          <w:i/>
          <w:color w:val="000000"/>
          <w:sz w:val="24"/>
          <w:szCs w:val="24"/>
          <w:lang w:val="en-GB"/>
        </w:rPr>
        <w:t>Pre-exposure</w:t>
      </w:r>
      <w:bookmarkEnd w:id="106"/>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7" w:name="_Toc417305068"/>
      <w:r w:rsidRPr="00FB0BE9">
        <w:rPr>
          <w:rFonts w:ascii="Times New Roman" w:eastAsia="Times New Roman" w:hAnsi="Times New Roman" w:cs="Times New Roman"/>
          <w:b/>
          <w:i/>
          <w:color w:val="000000"/>
          <w:sz w:val="24"/>
          <w:szCs w:val="24"/>
          <w:lang w:val="en-GB"/>
        </w:rPr>
        <w:t>Stage 2</w:t>
      </w:r>
      <w:bookmarkEnd w:id="107"/>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8" w:name="_Toc417305069"/>
      <w:r w:rsidRPr="00FB0BE9">
        <w:rPr>
          <w:rFonts w:ascii="Times New Roman" w:eastAsia="Times New Roman" w:hAnsi="Times New Roman" w:cs="Times New Roman"/>
          <w:b/>
          <w:i/>
          <w:color w:val="000000"/>
          <w:sz w:val="24"/>
          <w:szCs w:val="24"/>
          <w:lang w:val="en-GB"/>
        </w:rPr>
        <w:t>Test</w:t>
      </w:r>
      <w:bookmarkEnd w:id="108"/>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9" w:name="_Toc417305070"/>
      <w:r w:rsidRPr="00FB0BE9">
        <w:rPr>
          <w:rFonts w:ascii="Times New Roman" w:eastAsia="Times New Roman" w:hAnsi="Times New Roman" w:cs="Times New Roman"/>
          <w:b/>
          <w:i/>
          <w:color w:val="000000"/>
          <w:sz w:val="24"/>
          <w:szCs w:val="24"/>
          <w:lang w:val="en-GB"/>
        </w:rPr>
        <w:t>Re-acquisition</w:t>
      </w:r>
      <w:bookmarkEnd w:id="109"/>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10" w:name="_Toc417305071"/>
      <w:bookmarkStart w:id="111" w:name="_Toc417312609"/>
      <w:r w:rsidRPr="00FB0BE9">
        <w:rPr>
          <w:rFonts w:ascii="Times New Roman" w:eastAsia="Calibri" w:hAnsi="Times New Roman" w:cs="Times New Roman"/>
          <w:b/>
          <w:color w:val="000000"/>
          <w:sz w:val="24"/>
          <w:szCs w:val="24"/>
          <w:lang w:val="en-GB"/>
        </w:rPr>
        <w:t>Results</w:t>
      </w:r>
      <w:bookmarkEnd w:id="110"/>
      <w:bookmarkEnd w:id="111"/>
    </w:p>
    <w:p w14:paraId="520A7232" w14:textId="6B56BC11" w:rsidR="0036108C" w:rsidRPr="00FB0BE9" w:rsidDel="004815FF" w:rsidRDefault="0036108C" w:rsidP="0036108C">
      <w:pPr>
        <w:spacing w:line="480" w:lineRule="auto"/>
        <w:rPr>
          <w:del w:id="112" w:author="Marios Panayi" w:date="2021-01-09T16:49:00Z"/>
          <w:rFonts w:ascii="Times New Roman" w:eastAsia="Calibri" w:hAnsi="Times New Roman" w:cs="Times New Roman"/>
          <w:b/>
          <w:color w:val="000000"/>
          <w:sz w:val="24"/>
          <w:szCs w:val="24"/>
          <w:lang w:val="en-GB"/>
        </w:rPr>
      </w:pPr>
      <w:bookmarkStart w:id="113" w:name="_Toc417305073"/>
      <w:del w:id="114" w:author="Marios Panayi" w:date="2021-01-09T16:49:00Z">
        <w:r w:rsidRPr="00FB0BE9" w:rsidDel="004815FF">
          <w:rPr>
            <w:rFonts w:ascii="Times New Roman" w:eastAsia="Calibri" w:hAnsi="Times New Roman" w:cs="Times New Roman"/>
            <w:b/>
            <w:color w:val="000000"/>
            <w:sz w:val="24"/>
            <w:szCs w:val="24"/>
            <w:lang w:val="en-GB"/>
          </w:rPr>
          <w:delText>Histology and Group Allocation</w:delText>
        </w:r>
        <w:bookmarkEnd w:id="113"/>
      </w:del>
    </w:p>
    <w:p w14:paraId="75CBD87B" w14:textId="30CC9A9C" w:rsidR="0036108C" w:rsidRPr="00FB0BE9" w:rsidDel="004815FF" w:rsidRDefault="0036108C" w:rsidP="0036108C">
      <w:pPr>
        <w:spacing w:after="0" w:line="480" w:lineRule="auto"/>
        <w:rPr>
          <w:del w:id="115" w:author="Marios Panayi" w:date="2021-01-09T16:49:00Z"/>
          <w:rFonts w:ascii="Times New Roman" w:eastAsia="Times New Roman" w:hAnsi="Times New Roman" w:cs="Times New Roman"/>
          <w:color w:val="000000"/>
          <w:sz w:val="24"/>
          <w:szCs w:val="24"/>
          <w:lang w:val="en-GB" w:eastAsia="en-AU"/>
        </w:rPr>
      </w:pPr>
      <w:del w:id="116" w:author="Marios Panayi" w:date="2021-01-09T16:49:00Z">
        <w:r w:rsidRPr="00FB0BE9" w:rsidDel="004815FF">
          <w:rPr>
            <w:rFonts w:ascii="Times New Roman" w:eastAsia="Calibri" w:hAnsi="Times New Roman" w:cs="Times New Roman"/>
            <w:color w:val="000000"/>
            <w:sz w:val="24"/>
            <w:szCs w:val="24"/>
            <w:lang w:val="en-GB"/>
          </w:rPr>
          <w:delText xml:space="preserve">Cannulae placements are illustrated </w:delText>
        </w:r>
        <w:r w:rsidRPr="00FB0BE9" w:rsidDel="004815FF">
          <w:rPr>
            <w:rFonts w:ascii="Times New Roman" w:eastAsia="Calibri" w:hAnsi="Times New Roman" w:cs="Times New Roman"/>
            <w:sz w:val="24"/>
            <w:szCs w:val="24"/>
            <w:lang w:val="en-GB"/>
          </w:rPr>
          <w:delText xml:space="preserve">in </w:delText>
        </w:r>
        <w:r w:rsidRPr="00FB0BE9" w:rsidDel="004815FF">
          <w:rPr>
            <w:rFonts w:ascii="Times New Roman" w:eastAsia="Calibri" w:hAnsi="Times New Roman" w:cs="Times New Roman"/>
            <w:color w:val="000000"/>
            <w:sz w:val="24"/>
            <w:szCs w:val="24"/>
            <w:lang w:val="en-GB"/>
          </w:rPr>
          <w:delText>Figure 3-figure supplement 3</w:delText>
        </w:r>
        <w:r w:rsidRPr="00FB0BE9" w:rsidDel="004815FF">
          <w:rPr>
            <w:rFonts w:ascii="Times New Roman" w:eastAsia="Times New Roman" w:hAnsi="Times New Roman" w:cs="Times New Roman"/>
            <w:color w:val="000000"/>
            <w:sz w:val="24"/>
            <w:szCs w:val="24"/>
            <w:lang w:val="en-GB" w:eastAsia="en-AU"/>
          </w:rPr>
          <w:delTex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26 (saline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 muscimol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w:delText>
        </w:r>
      </w:del>
    </w:p>
    <w:p w14:paraId="283CCB3D" w14:textId="7530B541" w:rsidR="0036108C" w:rsidRPr="00FB0BE9" w:rsidDel="004815FF" w:rsidRDefault="0036108C" w:rsidP="0036108C">
      <w:pPr>
        <w:spacing w:line="480" w:lineRule="auto"/>
        <w:rPr>
          <w:del w:id="117" w:author="Marios Panayi" w:date="2021-01-09T16:49:00Z"/>
          <w:rFonts w:ascii="Times New Roman" w:eastAsia="Times New Roman" w:hAnsi="Times New Roman" w:cs="Times New Roman"/>
          <w:color w:val="000000"/>
          <w:sz w:val="24"/>
          <w:szCs w:val="24"/>
          <w:lang w:val="en-GB" w:eastAsia="en-AU"/>
        </w:rPr>
      </w:pPr>
      <w:bookmarkStart w:id="118" w:name="_Toc417305074"/>
      <w:del w:id="119" w:author="Marios Panayi" w:date="2021-01-09T16:49:00Z">
        <w:r w:rsidRPr="00FB0BE9" w:rsidDel="004815FF">
          <w:rPr>
            <w:rFonts w:ascii="Times New Roman" w:eastAsia="Calibri" w:hAnsi="Times New Roman" w:cs="Times New Roman"/>
            <w:b/>
            <w:color w:val="000000"/>
            <w:sz w:val="24"/>
            <w:szCs w:val="24"/>
            <w:lang w:val="en-GB"/>
          </w:rPr>
          <w:delText>PreCS Responding</w:delText>
        </w:r>
        <w:bookmarkEnd w:id="118"/>
      </w:del>
    </w:p>
    <w:p w14:paraId="3F4DB402" w14:textId="33A72C5A" w:rsidR="0036108C" w:rsidRPr="00FB0BE9" w:rsidDel="004815FF" w:rsidRDefault="0036108C" w:rsidP="0036108C">
      <w:pPr>
        <w:spacing w:line="480" w:lineRule="auto"/>
        <w:rPr>
          <w:del w:id="120" w:author="Marios Panayi" w:date="2021-01-09T16:49:00Z"/>
          <w:rFonts w:ascii="Times New Roman" w:eastAsia="Calibri" w:hAnsi="Times New Roman" w:cs="Times New Roman"/>
          <w:sz w:val="24"/>
          <w:szCs w:val="24"/>
          <w:lang w:val="en-GB"/>
        </w:rPr>
      </w:pPr>
      <w:del w:id="121" w:author="Marios Panayi" w:date="2021-01-09T16:49:00Z">
        <w:r w:rsidRPr="00FB0BE9" w:rsidDel="004815FF">
          <w:rPr>
            <w:rFonts w:ascii="Times New Roman" w:eastAsia="Calibri" w:hAnsi="Times New Roman" w:cs="Times New Roman"/>
            <w:color w:val="000000"/>
            <w:sz w:val="24"/>
            <w:szCs w:val="24"/>
            <w:lang w:val="en-GB"/>
          </w:rPr>
          <w:delText xml:space="preserve">Baseline levels of responding did not differ between groups during training, and on the final day of infusions (day 10 of stage 1) preCS response rates (10s) were saline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0.122,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0.24, muscimol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0.67,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0.87. These observations were supported by mixed Group x Day ANOVAs on preCS responding in stage1 suggesting that there were no group differences on </w:delText>
        </w:r>
        <w:r w:rsidRPr="00FB0BE9" w:rsidDel="004815FF">
          <w:rPr>
            <w:rFonts w:ascii="Times New Roman" w:eastAsia="Calibri" w:hAnsi="Times New Roman" w:cs="Times New Roman"/>
            <w:color w:val="000000"/>
            <w:sz w:val="24"/>
            <w:szCs w:val="24"/>
            <w:lang w:val="en-GB"/>
          </w:rPr>
          <w:lastRenderedPageBreak/>
          <w:delText xml:space="preserve">days 1-4 prior to infusion (all </w:delText>
        </w:r>
        <w:r w:rsidRPr="00FB0BE9" w:rsidDel="004815FF">
          <w:rPr>
            <w:rFonts w:ascii="Times New Roman" w:eastAsia="Calibri" w:hAnsi="Times New Roman" w:cs="Times New Roman"/>
            <w:i/>
            <w:color w:val="000000"/>
            <w:sz w:val="24"/>
            <w:szCs w:val="24"/>
            <w:lang w:val="en-GB"/>
          </w:rPr>
          <w:delText xml:space="preserve">F </w:delText>
        </w:r>
        <w:r w:rsidRPr="00FB0BE9" w:rsidDel="004815FF">
          <w:rPr>
            <w:rFonts w:ascii="Times New Roman" w:eastAsia="Calibri" w:hAnsi="Times New Roman" w:cs="Times New Roman"/>
            <w:color w:val="000000"/>
            <w:sz w:val="24"/>
            <w:szCs w:val="24"/>
            <w:lang w:val="en-GB"/>
          </w:rPr>
          <w:delText xml:space="preserve">&lt; 1.69, </w:delText>
        </w:r>
        <w:r w:rsidRPr="00FB0BE9" w:rsidDel="004815FF">
          <w:rPr>
            <w:rFonts w:ascii="Times New Roman" w:eastAsia="Calibri" w:hAnsi="Times New Roman" w:cs="Times New Roman"/>
            <w:i/>
            <w:color w:val="000000"/>
            <w:sz w:val="24"/>
            <w:szCs w:val="24"/>
            <w:lang w:val="en-GB"/>
          </w:rPr>
          <w:delText>p</w:delText>
        </w:r>
        <w:r w:rsidRPr="00FB0BE9" w:rsidDel="004815FF">
          <w:rPr>
            <w:rFonts w:ascii="Times New Roman" w:eastAsia="Calibri" w:hAnsi="Times New Roman" w:cs="Times New Roman"/>
            <w:color w:val="000000"/>
            <w:sz w:val="24"/>
            <w:szCs w:val="24"/>
            <w:lang w:val="en-GB"/>
          </w:rPr>
          <w:delText xml:space="preserve"> &gt; .21) or on days 5-10 during infusions (significant main effect of Day </w:delText>
        </w:r>
        <w:r w:rsidRPr="00FB0BE9" w:rsidDel="004815FF">
          <w:rPr>
            <w:rFonts w:ascii="Times New Roman" w:eastAsia="Calibri" w:hAnsi="Times New Roman" w:cs="Times New Roman"/>
            <w:i/>
            <w:iCs/>
            <w:color w:val="000000"/>
            <w:sz w:val="24"/>
            <w:szCs w:val="24"/>
            <w:lang w:val="en-GB"/>
          </w:rPr>
          <w:delText>F</w:delText>
        </w:r>
        <w:r w:rsidRPr="00FB0BE9" w:rsidDel="004815FF">
          <w:rPr>
            <w:rFonts w:ascii="Times New Roman" w:eastAsia="Calibri" w:hAnsi="Times New Roman" w:cs="Times New Roman"/>
            <w:color w:val="000000"/>
            <w:sz w:val="24"/>
            <w:szCs w:val="24"/>
            <w:vertAlign w:val="subscript"/>
            <w:lang w:val="en-GB"/>
          </w:rPr>
          <w:delText>(5, 120)</w:delText>
        </w:r>
        <w:r w:rsidRPr="00FB0BE9" w:rsidDel="004815FF">
          <w:rPr>
            <w:rFonts w:ascii="Times New Roman" w:eastAsia="Calibri" w:hAnsi="Times New Roman" w:cs="Times New Roman"/>
            <w:color w:val="000000"/>
            <w:sz w:val="24"/>
            <w:szCs w:val="24"/>
            <w:lang w:val="en-GB"/>
          </w:rPr>
          <w:delText xml:space="preserve"> = 15.21,</w:delText>
        </w:r>
        <w:r w:rsidRPr="00FB0BE9" w:rsidDel="004815FF">
          <w:rPr>
            <w:rFonts w:ascii="Times New Roman" w:eastAsia="Calibri" w:hAnsi="Times New Roman" w:cs="Times New Roman"/>
            <w:i/>
            <w:iCs/>
            <w:color w:val="000000"/>
            <w:sz w:val="24"/>
            <w:szCs w:val="24"/>
            <w:lang w:val="en-GB"/>
          </w:rPr>
          <w:delText xml:space="preserve"> p</w:delText>
        </w:r>
        <w:r w:rsidRPr="00FB0BE9" w:rsidDel="004815FF">
          <w:rPr>
            <w:rFonts w:ascii="Times New Roman" w:eastAsia="Calibri" w:hAnsi="Times New Roman" w:cs="Times New Roman"/>
            <w:color w:val="000000"/>
            <w:sz w:val="24"/>
            <w:szCs w:val="24"/>
            <w:lang w:val="en-GB"/>
          </w:rPr>
          <w:delText xml:space="preserve"> &lt; .001, all </w:delText>
        </w:r>
        <w:r w:rsidRPr="00FB0BE9" w:rsidDel="004815FF">
          <w:rPr>
            <w:rFonts w:ascii="Times New Roman" w:eastAsia="Calibri" w:hAnsi="Times New Roman" w:cs="Times New Roman"/>
            <w:sz w:val="24"/>
            <w:szCs w:val="24"/>
            <w:lang w:val="en-GB"/>
          </w:rPr>
          <w:delText xml:space="preserve">remaining </w:delText>
        </w:r>
        <w:r w:rsidRPr="00FB0BE9" w:rsidDel="004815FF">
          <w:rPr>
            <w:rFonts w:ascii="Times New Roman" w:eastAsia="Calibri" w:hAnsi="Times New Roman" w:cs="Times New Roman"/>
            <w:i/>
            <w:sz w:val="24"/>
            <w:szCs w:val="24"/>
            <w:lang w:val="en-GB"/>
          </w:rPr>
          <w:delText xml:space="preserve">F </w:delText>
        </w:r>
        <w:r w:rsidRPr="00FB0BE9" w:rsidDel="004815FF">
          <w:rPr>
            <w:rFonts w:ascii="Times New Roman" w:eastAsia="Calibri" w:hAnsi="Times New Roman" w:cs="Times New Roman"/>
            <w:sz w:val="24"/>
            <w:szCs w:val="24"/>
            <w:lang w:val="en-GB"/>
          </w:rPr>
          <w:delText xml:space="preserve">&lt; 1.00, </w:delText>
        </w:r>
        <w:r w:rsidRPr="00FB0BE9" w:rsidDel="004815FF">
          <w:rPr>
            <w:rFonts w:ascii="Times New Roman" w:eastAsia="Calibri" w:hAnsi="Times New Roman" w:cs="Times New Roman"/>
            <w:i/>
            <w:sz w:val="24"/>
            <w:szCs w:val="24"/>
            <w:lang w:val="en-GB"/>
          </w:rPr>
          <w:delText>p</w:delText>
        </w:r>
        <w:r w:rsidRPr="00FB0BE9" w:rsidDel="004815FF">
          <w:rPr>
            <w:rFonts w:ascii="Times New Roman" w:eastAsia="Calibri" w:hAnsi="Times New Roman" w:cs="Times New Roman"/>
            <w:sz w:val="24"/>
            <w:szCs w:val="24"/>
            <w:lang w:val="en-GB"/>
          </w:rPr>
          <w:delText xml:space="preserve"> &gt; .50).</w:delText>
        </w:r>
      </w:del>
    </w:p>
    <w:p w14:paraId="2FE55AAB" w14:textId="53318EDB" w:rsidR="003F53B9" w:rsidRDefault="003F53B9" w:rsidP="00F04D98">
      <w:pPr>
        <w:spacing w:line="480" w:lineRule="auto"/>
        <w:rPr>
          <w:ins w:id="122" w:author="Marios Panayi" w:date="2021-01-09T16:38:00Z"/>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lesions </w:t>
      </w:r>
    </w:p>
    <w:p w14:paraId="71150D64" w14:textId="77777777" w:rsidR="00F07B1D" w:rsidRPr="00FB0BE9" w:rsidRDefault="00F07B1D" w:rsidP="00F07B1D">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4FAFB5FB" w14:textId="77777777" w:rsidR="00F07B1D" w:rsidRPr="00FB0BE9" w:rsidRDefault="00F07B1D" w:rsidP="00F07B1D">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22E53361" w14:textId="77777777" w:rsidR="00F07B1D" w:rsidRPr="00FB0BE9" w:rsidRDefault="00F07B1D" w:rsidP="00F07B1D">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4DF0D7DF" w14:textId="77777777" w:rsidR="00F07B1D" w:rsidRPr="00FB0BE9" w:rsidDel="00F07B1D" w:rsidRDefault="00F07B1D" w:rsidP="00F07B1D">
      <w:pPr>
        <w:spacing w:line="480" w:lineRule="auto"/>
        <w:rPr>
          <w:del w:id="123" w:author="Marios Panayi" w:date="2021-01-09T16:38:00Z"/>
          <w:rFonts w:ascii="Times New Roman" w:eastAsia="Times New Roman" w:hAnsi="Times New Roman" w:cs="Times New Roman"/>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w:t>
      </w:r>
      <w:r w:rsidRPr="00FB0BE9">
        <w:rPr>
          <w:rFonts w:ascii="Times New Roman" w:eastAsia="Times New Roman" w:hAnsi="Times New Roman" w:cs="Times New Roman"/>
          <w:color w:val="000000"/>
          <w:sz w:val="24"/>
          <w:szCs w:val="24"/>
          <w:lang w:val="en-GB" w:eastAsia="en-AU"/>
        </w:rPr>
        <w:lastRenderedPageBreak/>
        <w:t xml:space="preserve">0.90), by the final block PreCS responding was higher in the Lesion group (M = 4.30, SD = 1.95) than the </w:t>
      </w:r>
      <w:r>
        <w:rPr>
          <w:rFonts w:ascii="Times New Roman" w:eastAsia="Times New Roman" w:hAnsi="Times New Roman" w:cs="Times New Roman"/>
          <w:color w:val="000000"/>
          <w:sz w:val="24"/>
          <w:szCs w:val="24"/>
          <w:lang w:val="en-GB" w:eastAsia="en-AU"/>
        </w:rPr>
        <w:t>S</w:t>
      </w:r>
      <w:r w:rsidRPr="00FB0BE9">
        <w:rPr>
          <w:rFonts w:ascii="Times New Roman" w:eastAsia="Times New Roman" w:hAnsi="Times New Roman" w:cs="Times New Roman"/>
          <w:color w:val="000000"/>
          <w:sz w:val="24"/>
          <w:szCs w:val="24"/>
          <w:lang w:val="en-GB" w:eastAsia="en-AU"/>
        </w:rPr>
        <w:t>ham group (M = 2.76, SD = 2.30).</w:t>
      </w:r>
    </w:p>
    <w:p w14:paraId="2F425721" w14:textId="77777777" w:rsidR="00F07B1D" w:rsidRPr="00FB0BE9" w:rsidRDefault="00F07B1D" w:rsidP="00F04D98">
      <w:pPr>
        <w:spacing w:line="480" w:lineRule="auto"/>
        <w:rPr>
          <w:rFonts w:ascii="Times New Roman" w:eastAsia="Times New Roman" w:hAnsi="Times New Roman" w:cs="Times New Roman"/>
          <w:b/>
          <w:color w:val="000000"/>
          <w:sz w:val="24"/>
          <w:szCs w:val="24"/>
          <w:lang w:val="en-GB" w:eastAsia="en-AU"/>
        </w:rPr>
      </w:pP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7F0C2BA2"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However locomotor activity (Figure 1C) </w:t>
      </w:r>
      <w:r w:rsidRPr="00FB0BE9">
        <w:rPr>
          <w:lang w:val="en-GB"/>
        </w:rPr>
        <w:lastRenderedPageBreak/>
        <w:t xml:space="preserve">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75381C" w:rsidRPr="00FB0BE9">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rsidRPr="00FB0BE9">
        <w:rPr>
          <w:lang w:val="en-GB"/>
        </w:rPr>
        <w:fldChar w:fldCharType="separate"/>
      </w:r>
      <w:r w:rsidR="00334182" w:rsidRPr="00FB0BE9">
        <w:rPr>
          <w:noProof/>
          <w:lang w:val="en-GB"/>
        </w:rPr>
        <w:t>(e.g. Lasseter et al., 2009; Panayi &amp;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2AA794CB"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i.e.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Pr="00FB0BE9">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Pr="00FB0BE9">
        <w:rPr>
          <w:lang w:val="en-GB"/>
        </w:rPr>
        <w:fldChar w:fldCharType="separate"/>
      </w:r>
      <w:r w:rsidRPr="00FB0BE9">
        <w:rPr>
          <w:noProof/>
          <w:lang w:val="en-GB"/>
        </w:rPr>
        <w:t>(Dickinson &amp;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334182" w:rsidRPr="00FB0BE9">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7F12A9" w:rsidRPr="00FB0BE9">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lastRenderedPageBreak/>
        <w:t>Devaluation Test</w:t>
      </w:r>
    </w:p>
    <w:p w14:paraId="2B730167" w14:textId="64DC9804"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345306B9" w:rsidR="003F53B9" w:rsidRPr="00FB0BE9" w:rsidRDefault="003F53B9" w:rsidP="00F04D98">
      <w:pPr>
        <w:pStyle w:val="BodyText"/>
        <w:spacing w:line="480" w:lineRule="auto"/>
        <w:rPr>
          <w:lang w:val="en-GB"/>
        </w:rPr>
      </w:pPr>
      <w:r w:rsidRPr="00FB0BE9">
        <w:rPr>
          <w:lang w:val="en-GB"/>
        </w:rPr>
        <w:t>Finally, during a devaluation test (Figure 1D), the two cues were presented in extinction. The sham group showed a significant devaluation effect, i.e.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FB0BE9" w:rsidRDefault="00070894" w:rsidP="00F04D98">
      <w:pPr>
        <w:spacing w:line="480" w:lineRule="auto"/>
        <w:rPr>
          <w:rFonts w:cstheme="minorHAnsi"/>
          <w:b/>
          <w:sz w:val="24"/>
          <w:szCs w:val="24"/>
          <w:lang w:val="en-GB"/>
        </w:rPr>
      </w:pP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(i.e.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xml:space="preserve">) Locomotor activity (as reflected by infra-red beam breaks in a novel </w:t>
      </w:r>
      <w:proofErr w:type="gramStart"/>
      <w:r w:rsidRPr="00FB0BE9">
        <w:rPr>
          <w:rFonts w:eastAsia="Times New Roman" w:cstheme="minorHAnsi"/>
          <w:sz w:val="24"/>
          <w:szCs w:val="24"/>
          <w:lang w:val="en-GB" w:eastAsia="en-AU"/>
        </w:rPr>
        <w:t>open-field</w:t>
      </w:r>
      <w:proofErr w:type="gramEnd"/>
      <w:r w:rsidRPr="00FB0BE9">
        <w:rPr>
          <w:rFonts w:eastAsia="Times New Roman" w:cstheme="minorHAnsi"/>
          <w:sz w:val="24"/>
          <w:szCs w:val="24"/>
          <w:lang w:val="en-GB" w:eastAsia="en-AU"/>
        </w:rPr>
        <w:t>)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w:t>
      </w:r>
      <w:r w:rsidRPr="00FB0BE9">
        <w:rPr>
          <w:rFonts w:eastAsia="Times New Roman" w:cstheme="minorHAnsi"/>
          <w:sz w:val="24"/>
          <w:szCs w:val="24"/>
          <w:lang w:val="en-GB" w:eastAsia="en-AU"/>
        </w:rPr>
        <w:lastRenderedPageBreak/>
        <w:t>outcome was paired with injections of LiCl to establish an outcome specific taste aversion (</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51E51A1B" w:rsidR="008C0345" w:rsidRDefault="008C0345" w:rsidP="00F04D98">
      <w:pPr>
        <w:pStyle w:val="BodyText"/>
        <w:spacing w:line="480" w:lineRule="auto"/>
        <w:rPr>
          <w:ins w:id="124" w:author="Marios Panayi" w:date="2021-01-09T16:42:00Z"/>
          <w:b/>
          <w:lang w:val="en-GB"/>
        </w:rPr>
      </w:pPr>
      <w:r w:rsidRPr="00FB0BE9">
        <w:rPr>
          <w:b/>
          <w:lang w:val="en-GB"/>
        </w:rPr>
        <w:lastRenderedPageBreak/>
        <w:t>Experiment 2: Post-training muscimol inactivation</w:t>
      </w:r>
    </w:p>
    <w:p w14:paraId="4B543637" w14:textId="77777777" w:rsidR="00D77087" w:rsidRPr="00FB0BE9" w:rsidRDefault="00D77087" w:rsidP="00D77087">
      <w:pPr>
        <w:spacing w:line="480" w:lineRule="auto"/>
        <w:rPr>
          <w:ins w:id="125" w:author="Marios Panayi" w:date="2021-01-09T16:42:00Z"/>
          <w:rFonts w:ascii="Times New Roman" w:eastAsia="Calibri" w:hAnsi="Times New Roman" w:cs="Times New Roman"/>
          <w:b/>
          <w:color w:val="000000"/>
          <w:sz w:val="24"/>
          <w:szCs w:val="24"/>
          <w:lang w:val="en-GB"/>
        </w:rPr>
      </w:pPr>
      <w:ins w:id="126" w:author="Marios Panayi" w:date="2021-01-09T16:42:00Z">
        <w:r w:rsidRPr="00FB0BE9">
          <w:rPr>
            <w:rFonts w:ascii="Times New Roman" w:eastAsia="Calibri" w:hAnsi="Times New Roman" w:cs="Times New Roman"/>
            <w:b/>
            <w:color w:val="000000"/>
            <w:sz w:val="24"/>
            <w:szCs w:val="24"/>
            <w:lang w:val="en-GB"/>
          </w:rPr>
          <w:t>Histology and Group Allocation</w:t>
        </w:r>
      </w:ins>
    </w:p>
    <w:p w14:paraId="78B0B8F7" w14:textId="77777777" w:rsidR="00D77087" w:rsidRPr="00FB0BE9" w:rsidRDefault="00D77087" w:rsidP="00D77087">
      <w:pPr>
        <w:spacing w:line="480" w:lineRule="auto"/>
        <w:rPr>
          <w:ins w:id="127" w:author="Marios Panayi" w:date="2021-01-09T16:42:00Z"/>
          <w:rFonts w:ascii="Times New Roman" w:eastAsia="Calibri" w:hAnsi="Times New Roman" w:cs="Times New Roman"/>
          <w:color w:val="000000"/>
          <w:sz w:val="24"/>
          <w:szCs w:val="24"/>
          <w:lang w:val="en-GB"/>
        </w:rPr>
      </w:pPr>
      <w:ins w:id="128" w:author="Marios Panayi" w:date="2021-01-09T16:4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2-figure supplement 2</w:t>
        </w:r>
        <w:r w:rsidRPr="00FB0BE9">
          <w:rPr>
            <w:rFonts w:ascii="Times New Roman" w:eastAsia="Calibri" w:hAnsi="Times New Roman" w:cs="Times New Roman"/>
            <w:sz w:val="24"/>
            <w:szCs w:val="24"/>
            <w:lang w:val="en-GB"/>
          </w:rPr>
          <w:t xml:space="preserve">. One animal </w:t>
        </w:r>
        <w:r w:rsidRPr="00FB0BE9">
          <w:rPr>
            <w:rFonts w:ascii="Times New Roman" w:eastAsia="Calibri" w:hAnsi="Times New Roman" w:cs="Times New Roman"/>
            <w:color w:val="000000"/>
            <w:sz w:val="24"/>
            <w:szCs w:val="24"/>
            <w:lang w:val="en-GB"/>
          </w:rPr>
          <w: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24 (saline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 muscimol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w:t>
        </w:r>
      </w:ins>
    </w:p>
    <w:p w14:paraId="2EB4C588" w14:textId="77777777" w:rsidR="00D77087" w:rsidRPr="00FB0BE9" w:rsidRDefault="00D77087" w:rsidP="00D77087">
      <w:pPr>
        <w:spacing w:line="480" w:lineRule="auto"/>
        <w:rPr>
          <w:ins w:id="129" w:author="Marios Panayi" w:date="2021-01-09T16:42:00Z"/>
          <w:rFonts w:ascii="Times New Roman" w:eastAsia="Calibri" w:hAnsi="Times New Roman" w:cs="Times New Roman"/>
          <w:b/>
          <w:color w:val="000000"/>
          <w:sz w:val="24"/>
          <w:szCs w:val="24"/>
          <w:lang w:val="en-GB"/>
        </w:rPr>
      </w:pPr>
      <w:ins w:id="130" w:author="Marios Panayi" w:date="2021-01-09T16:42:00Z">
        <w:r w:rsidRPr="00FB0BE9">
          <w:rPr>
            <w:rFonts w:ascii="Times New Roman" w:eastAsia="Calibri" w:hAnsi="Times New Roman" w:cs="Times New Roman"/>
            <w:b/>
            <w:color w:val="000000"/>
            <w:sz w:val="24"/>
            <w:szCs w:val="24"/>
            <w:lang w:val="en-GB"/>
          </w:rPr>
          <w:t>PreCS Rates</w:t>
        </w:r>
      </w:ins>
    </w:p>
    <w:p w14:paraId="5D2764D5" w14:textId="1E1797A6" w:rsidR="00D77087" w:rsidRPr="00D77087" w:rsidRDefault="00D77087" w:rsidP="00D77087">
      <w:pPr>
        <w:spacing w:after="240" w:line="480" w:lineRule="auto"/>
        <w:rPr>
          <w:rFonts w:ascii="Times New Roman" w:eastAsia="Calibri" w:hAnsi="Times New Roman" w:cs="Times New Roman"/>
          <w:color w:val="000000"/>
          <w:sz w:val="24"/>
          <w:szCs w:val="24"/>
          <w:lang w:val="en-GB"/>
        </w:rPr>
      </w:pPr>
      <w:ins w:id="131" w:author="Marios Panayi" w:date="2021-01-09T16:42:00Z">
        <w:r w:rsidRPr="00FB0BE9">
          <w:rPr>
            <w:rFonts w:ascii="Times New Roman" w:eastAsia="Calibri" w:hAnsi="Times New Roman" w:cs="Times New Roman"/>
            <w:color w:val="000000"/>
            <w:sz w:val="24"/>
            <w:szCs w:val="24"/>
            <w:lang w:val="en-GB"/>
          </w:rPr>
          <w:t xml:space="preserve">PreCS baseline responding did not differ between infusion groups across training. In particular, during the infusion period a Group x Day (4 days) mixed ANOVA on </w:t>
        </w:r>
        <w:del w:id="132" w:author="Panayi, Marios (NIH/NIDA) [F]" w:date="2021-01-21T16:06:00Z">
          <w:r w:rsidRPr="00FB0BE9" w:rsidDel="00200865">
            <w:rPr>
              <w:rFonts w:ascii="Times New Roman" w:eastAsia="Calibri" w:hAnsi="Times New Roman" w:cs="Times New Roman"/>
              <w:color w:val="000000"/>
              <w:sz w:val="24"/>
              <w:szCs w:val="24"/>
              <w:lang w:val="en-GB"/>
            </w:rPr>
            <w:delText>p</w:delText>
          </w:r>
        </w:del>
      </w:ins>
      <w:proofErr w:type="spellStart"/>
      <w:ins w:id="133" w:author="Panayi, Marios (NIH/NIDA) [F]" w:date="2021-01-21T16:06:00Z">
        <w:r w:rsidR="00200865">
          <w:rPr>
            <w:rFonts w:ascii="Times New Roman" w:eastAsia="Calibri" w:hAnsi="Times New Roman" w:cs="Times New Roman"/>
            <w:color w:val="000000"/>
            <w:sz w:val="24"/>
            <w:szCs w:val="24"/>
            <w:lang w:val="en-GB"/>
          </w:rPr>
          <w:t>P</w:t>
        </w:r>
      </w:ins>
      <w:ins w:id="134" w:author="Marios Panayi" w:date="2021-01-09T16:42:00Z">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responses revealed a significant effect of Day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5.95,</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.001</w:t>
        </w:r>
        <w:r w:rsidRPr="00FB0BE9">
          <w:rPr>
            <w:rFonts w:ascii="Times New Roman" w:eastAsia="Times New Roman" w:hAnsi="Times New Roman" w:cs="Times New Roman"/>
            <w:color w:val="000000"/>
            <w:sz w:val="24"/>
            <w:szCs w:val="24"/>
            <w:lang w:val="en-GB"/>
          </w:rPr>
          <w:t xml:space="preserve">) but no significant effect of Group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(1, 22)</w:t>
        </w:r>
        <w:r w:rsidRPr="00FB0BE9">
          <w:rPr>
            <w:rFonts w:ascii="Times New Roman" w:eastAsia="Calibri" w:hAnsi="Times New Roman" w:cs="Times New Roman"/>
            <w:color w:val="000000"/>
            <w:sz w:val="24"/>
            <w:szCs w:val="24"/>
            <w:lang w:val="en-GB"/>
          </w:rPr>
          <w:t xml:space="preserve"> = 0.01,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.93</w:t>
        </w:r>
        <w:r w:rsidRPr="00FB0BE9">
          <w:rPr>
            <w:rFonts w:ascii="Times New Roman" w:eastAsia="Times New Roman" w:hAnsi="Times New Roman" w:cs="Times New Roman"/>
            <w:color w:val="000000"/>
            <w:sz w:val="24"/>
            <w:szCs w:val="24"/>
            <w:lang w:val="en-GB"/>
          </w:rPr>
          <w:t xml:space="preserve">) or Group x Day interaction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0.41,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.741</w:t>
        </w:r>
        <w:r w:rsidRPr="00FB0BE9">
          <w:rPr>
            <w:rFonts w:ascii="Times New Roman" w:eastAsia="Times New Roman" w:hAnsi="Times New Roman" w:cs="Times New Roman"/>
            <w:color w:val="000000"/>
            <w:sz w:val="24"/>
            <w:szCs w:val="24"/>
            <w:lang w:val="en-GB"/>
          </w:rPr>
          <w:t xml:space="preserve">). PreCS response rates on these days were, saline </w:t>
        </w:r>
        <w:r w:rsidRPr="00FB0BE9">
          <w:rPr>
            <w:rFonts w:ascii="Times New Roman" w:eastAsia="Times New Roman" w:hAnsi="Times New Roman" w:cs="Times New Roman"/>
            <w:i/>
            <w:color w:val="000000"/>
            <w:sz w:val="24"/>
            <w:szCs w:val="24"/>
            <w:lang w:val="en-GB"/>
          </w:rPr>
          <w:t>M</w:t>
        </w:r>
        <w:r w:rsidRPr="00FB0BE9">
          <w:rPr>
            <w:rFonts w:ascii="Times New Roman" w:eastAsia="Times New Roman" w:hAnsi="Times New Roman" w:cs="Times New Roman"/>
            <w:color w:val="000000"/>
            <w:sz w:val="24"/>
            <w:szCs w:val="24"/>
            <w:lang w:val="en-GB"/>
          </w:rPr>
          <w:t xml:space="preserve"> = 0.70,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 muscimol</w:t>
        </w:r>
        <w:r w:rsidRPr="00FB0BE9">
          <w:rPr>
            <w:rFonts w:ascii="Times New Roman" w:eastAsia="Times New Roman" w:hAnsi="Times New Roman" w:cs="Times New Roman"/>
            <w:i/>
            <w:color w:val="000000"/>
            <w:sz w:val="24"/>
            <w:szCs w:val="24"/>
            <w:lang w:val="en-GB"/>
          </w:rPr>
          <w:t xml:space="preserve"> M</w:t>
        </w:r>
        <w:r w:rsidRPr="00FB0BE9">
          <w:rPr>
            <w:rFonts w:ascii="Times New Roman" w:eastAsia="Times New Roman" w:hAnsi="Times New Roman" w:cs="Times New Roman"/>
            <w:color w:val="000000"/>
            <w:sz w:val="24"/>
            <w:szCs w:val="24"/>
            <w:lang w:val="en-GB"/>
          </w:rPr>
          <w:t xml:space="preserve"> = 0.72,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w:t>
        </w:r>
      </w:ins>
    </w:p>
    <w:p w14:paraId="7516EF58" w14:textId="41D92C53"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305542" w:rsidRPr="00FB0BE9">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Pr="00FB0BE9">
        <w:rPr>
          <w:lang w:val="en-GB"/>
        </w:rPr>
        <w:fldChar w:fldCharType="separate"/>
      </w:r>
      <w:r w:rsidRPr="00FB0BE9">
        <w:rPr>
          <w:noProof/>
          <w:lang w:val="en-GB"/>
        </w:rPr>
        <w:t xml:space="preserve">(Esber &amp; Haselgrove, 2011; LePelley, 2004; Mackintosh, 1975; Nasser et al., 2017; Pearce &amp; Hall, 1980; Rescorla &amp; Wagner, 1972; </w:t>
      </w:r>
      <w:r w:rsidRPr="00FB0BE9">
        <w:rPr>
          <w:noProof/>
          <w:lang w:val="en-GB"/>
        </w:rPr>
        <w:lastRenderedPageBreak/>
        <w:t>Sutton &amp; Barto, 1998)</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234420" w:rsidRPr="00FB0BE9">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Pr="00FB0BE9">
        <w:rPr>
          <w:lang w:val="en-GB"/>
        </w:rPr>
        <w:fldChar w:fldCharType="separate"/>
      </w:r>
      <w:r w:rsidR="00305542" w:rsidRPr="00FB0BE9">
        <w:rPr>
          <w:noProof/>
          <w:lang w:val="en-GB"/>
        </w:rPr>
        <w:t>(Baxter et al., 2000; Pears et al., 2003; Schoenbaum et al., 2009; Takahashi et al., 2009,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lastRenderedPageBreak/>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p>
    <w:p w14:paraId="3026A682" w14:textId="7EB96041" w:rsidR="004003BA" w:rsidRPr="00FB0BE9" w:rsidRDefault="004003BA" w:rsidP="00F04D98">
      <w:pPr>
        <w:pStyle w:val="BodyText"/>
        <w:spacing w:line="480" w:lineRule="auto"/>
        <w:rPr>
          <w:lang w:val="en-GB"/>
        </w:rPr>
      </w:pPr>
      <w:bookmarkStart w:id="135" w:name="_Hlk62138445"/>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bookmarkEnd w:id="135"/>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r w:rsidRPr="00FB0BE9">
        <w:rPr>
          <w:lang w:val="en-GB"/>
        </w:rPr>
        <w:t>Furthermore,</w:t>
      </w:r>
      <w:r w:rsidR="00E64E7F" w:rsidRPr="00FB0BE9">
        <w:rPr>
          <w:lang w:val="en-GB"/>
        </w:rPr>
        <w:t xml:space="preserve"> </w:t>
      </w:r>
      <w:r w:rsidR="000138A9" w:rsidRPr="00FB0BE9">
        <w:rPr>
          <w:lang w:val="en-GB"/>
        </w:rPr>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OFC inactivation prior to associative blocking</w:t>
      </w:r>
    </w:p>
    <w:p w14:paraId="6680AAE6" w14:textId="0C7F4391"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8650FB" w:rsidRPr="00FB0BE9">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rsidRPr="00FB0BE9">
        <w:rPr>
          <w:lang w:val="en-GB"/>
        </w:rPr>
        <w:fldChar w:fldCharType="separate"/>
      </w:r>
      <w:r w:rsidRPr="00FB0BE9">
        <w:rPr>
          <w:noProof/>
          <w:lang w:val="en-GB"/>
        </w:rPr>
        <w:t>(Mackintosh, 1975; Pearce &amp; Hall, 1980; Rescorla &amp; Wagner, 1972; Sutton &amp; Barto, 1998; Wagner, 1981)</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Pr="00FB0BE9">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Pr="00FB0BE9">
        <w:rPr>
          <w:noProof/>
          <w:lang w:val="en-GB"/>
        </w:rPr>
        <w:t>(Kamin, 1969)</w:t>
      </w:r>
      <w:r w:rsidRPr="00FB0BE9">
        <w:rPr>
          <w:lang w:val="en-GB"/>
        </w:rPr>
        <w:fldChar w:fldCharType="end"/>
      </w:r>
      <w:r w:rsidRPr="00FB0BE9">
        <w:rPr>
          <w:lang w:val="en-GB"/>
        </w:rPr>
        <w:t xml:space="preserve">. However, if learning about cue A is insufficient, then </w:t>
      </w:r>
      <w:r w:rsidRPr="00FB0BE9">
        <w:rPr>
          <w:lang w:val="en-GB"/>
        </w:rPr>
        <w:lastRenderedPageBreak/>
        <w:t>learning about cue B should not be blocked. We predicted that if OFC inactivation is disrupting learning, then OFC inactivation during initial learning about cue A should disrupt the blocking effect.</w:t>
      </w:r>
    </w:p>
    <w:p w14:paraId="330D2688" w14:textId="7AE0004D" w:rsidR="00500651" w:rsidRDefault="000546A3" w:rsidP="00F04D98">
      <w:pPr>
        <w:pStyle w:val="BodyText"/>
        <w:spacing w:line="480" w:lineRule="auto"/>
        <w:rPr>
          <w:ins w:id="136" w:author="Marios Panayi" w:date="2021-01-09T16:51:00Z"/>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w:t>
      </w:r>
      <w:ins w:id="137" w:author="Panayi, Marios (NIH/NIDA) [F]" w:date="2021-01-21T16:16:00Z">
        <w:r w:rsidR="00BB591D">
          <w:rPr>
            <w:lang w:val="en-GB"/>
          </w:rPr>
          <w:t>9</w:t>
        </w:r>
      </w:ins>
      <w:del w:id="138" w:author="Panayi, Marios (NIH/NIDA) [F]" w:date="2021-01-21T16:16:00Z">
        <w:r w:rsidR="00454E31" w:rsidRPr="00FB0BE9" w:rsidDel="00BB591D">
          <w:rPr>
            <w:lang w:val="en-GB"/>
          </w:rPr>
          <w:delText>10</w:delText>
        </w:r>
      </w:del>
      <w:r w:rsidR="00454E31" w:rsidRPr="00FB0BE9">
        <w:rPr>
          <w:lang w:val="en-GB"/>
        </w:rPr>
        <w:t xml:space="preserve">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38765929" w14:textId="36564012" w:rsidR="00FF7AFD" w:rsidRPr="00FF7AFD" w:rsidRDefault="00FF7AFD" w:rsidP="00F04D98">
      <w:pPr>
        <w:pStyle w:val="BodyText"/>
        <w:spacing w:line="480" w:lineRule="auto"/>
        <w:rPr>
          <w:b/>
          <w:bCs/>
          <w:lang w:val="en-GB"/>
        </w:rPr>
      </w:pPr>
      <w:ins w:id="139" w:author="Marios Panayi" w:date="2021-01-09T16:51:00Z">
        <w:r w:rsidRPr="00FF7AFD">
          <w:rPr>
            <w:b/>
            <w:bCs/>
            <w:lang w:val="en-GB"/>
          </w:rPr>
          <w:t>Associative Blocking</w:t>
        </w:r>
      </w:ins>
    </w:p>
    <w:p w14:paraId="719318BF" w14:textId="630B2057" w:rsidR="00354550" w:rsidRDefault="0068482A" w:rsidP="00F04D98">
      <w:pPr>
        <w:pStyle w:val="BodyText"/>
        <w:spacing w:line="480" w:lineRule="auto"/>
        <w:rPr>
          <w:ins w:id="140" w:author="Marios Panayi" w:date="2021-01-09T16:52:00Z"/>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del w:id="141" w:author="Marios Panayi" w:date="2021-01-09T16:52:00Z">
        <w:r w:rsidR="006E63CD" w:rsidRPr="00FB0BE9" w:rsidDel="00354550">
          <w:rPr>
            <w:lang w:val="en-GB"/>
          </w:rPr>
          <w:delText xml:space="preserve"> (cannula</w:delText>
        </w:r>
        <w:r w:rsidR="00B12723" w:rsidRPr="00FB0BE9" w:rsidDel="00354550">
          <w:rPr>
            <w:lang w:val="en-GB"/>
          </w:rPr>
          <w:delText xml:space="preserve"> placements</w:delText>
        </w:r>
        <w:r w:rsidR="006E63CD" w:rsidRPr="00FB0BE9" w:rsidDel="00354550">
          <w:rPr>
            <w:lang w:val="en-GB"/>
          </w:rPr>
          <w:delText xml:space="preserve"> depicted in </w:delText>
        </w:r>
        <w:r w:rsidR="006E63CD" w:rsidRPr="00FB0BE9" w:rsidDel="00354550">
          <w:rPr>
            <w:iCs/>
            <w:lang w:val="en-GB"/>
          </w:rPr>
          <w:delText>Figure 3-figure supplement 3</w:delText>
        </w:r>
        <w:r w:rsidR="006E63CD" w:rsidRPr="00FB0BE9" w:rsidDel="00354550">
          <w:rPr>
            <w:lang w:val="en-GB"/>
          </w:rPr>
          <w:delText>)</w:delText>
        </w:r>
      </w:del>
      <w:r w:rsidRPr="00FB0BE9">
        <w:rPr>
          <w:lang w:val="en-GB"/>
        </w:rPr>
        <w:t>.</w:t>
      </w:r>
    </w:p>
    <w:p w14:paraId="141D0506" w14:textId="77777777" w:rsidR="00354550" w:rsidRPr="00FB0BE9" w:rsidRDefault="00354550" w:rsidP="00354550">
      <w:pPr>
        <w:spacing w:line="480" w:lineRule="auto"/>
        <w:rPr>
          <w:ins w:id="142" w:author="Marios Panayi" w:date="2021-01-09T16:52:00Z"/>
          <w:rFonts w:ascii="Times New Roman" w:eastAsia="Calibri" w:hAnsi="Times New Roman" w:cs="Times New Roman"/>
          <w:b/>
          <w:color w:val="000000"/>
          <w:sz w:val="24"/>
          <w:szCs w:val="24"/>
          <w:lang w:val="en-GB"/>
        </w:rPr>
      </w:pPr>
      <w:ins w:id="143" w:author="Marios Panayi" w:date="2021-01-09T16:52:00Z">
        <w:r w:rsidRPr="00FB0BE9">
          <w:rPr>
            <w:rFonts w:ascii="Times New Roman" w:eastAsia="Calibri" w:hAnsi="Times New Roman" w:cs="Times New Roman"/>
            <w:b/>
            <w:color w:val="000000"/>
            <w:sz w:val="24"/>
            <w:szCs w:val="24"/>
            <w:lang w:val="en-GB"/>
          </w:rPr>
          <w:t>Histology and Group Allocation</w:t>
        </w:r>
      </w:ins>
    </w:p>
    <w:p w14:paraId="38567359" w14:textId="77777777" w:rsidR="00354550" w:rsidRPr="00FB0BE9" w:rsidRDefault="00354550" w:rsidP="00354550">
      <w:pPr>
        <w:spacing w:after="0" w:line="480" w:lineRule="auto"/>
        <w:rPr>
          <w:ins w:id="144" w:author="Marios Panayi" w:date="2021-01-09T16:52:00Z"/>
          <w:rFonts w:ascii="Times New Roman" w:eastAsia="Times New Roman" w:hAnsi="Times New Roman" w:cs="Times New Roman"/>
          <w:color w:val="000000"/>
          <w:sz w:val="24"/>
          <w:szCs w:val="24"/>
          <w:lang w:val="en-GB" w:eastAsia="en-AU"/>
        </w:rPr>
      </w:pPr>
      <w:ins w:id="145" w:author="Marios Panayi" w:date="2021-01-09T16:5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3-figure supplement 3</w:t>
        </w:r>
        <w:r w:rsidRPr="00FB0BE9">
          <w:rPr>
            <w:rFonts w:ascii="Times New Roman" w:eastAsia="Times New Roman" w:hAnsi="Times New Roman" w:cs="Times New Roman"/>
            <w:color w:val="00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26 (saline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muscimol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w:t>
        </w:r>
      </w:ins>
    </w:p>
    <w:p w14:paraId="6793F1B3" w14:textId="77777777" w:rsidR="00354550" w:rsidRPr="00FB0BE9" w:rsidRDefault="00354550" w:rsidP="00354550">
      <w:pPr>
        <w:spacing w:line="480" w:lineRule="auto"/>
        <w:rPr>
          <w:ins w:id="146" w:author="Marios Panayi" w:date="2021-01-09T16:52:00Z"/>
          <w:rFonts w:ascii="Times New Roman" w:eastAsia="Times New Roman" w:hAnsi="Times New Roman" w:cs="Times New Roman"/>
          <w:color w:val="000000"/>
          <w:sz w:val="24"/>
          <w:szCs w:val="24"/>
          <w:lang w:val="en-GB" w:eastAsia="en-AU"/>
        </w:rPr>
      </w:pPr>
      <w:ins w:id="147" w:author="Marios Panayi" w:date="2021-01-09T16:52:00Z">
        <w:r w:rsidRPr="00FB0BE9">
          <w:rPr>
            <w:rFonts w:ascii="Times New Roman" w:eastAsia="Calibri" w:hAnsi="Times New Roman" w:cs="Times New Roman"/>
            <w:b/>
            <w:color w:val="000000"/>
            <w:sz w:val="24"/>
            <w:szCs w:val="24"/>
            <w:lang w:val="en-GB"/>
          </w:rPr>
          <w:lastRenderedPageBreak/>
          <w:t>PreCS Responding</w:t>
        </w:r>
      </w:ins>
    </w:p>
    <w:p w14:paraId="31AC4E19" w14:textId="415B8C8B" w:rsidR="00354550" w:rsidRPr="00FB0BE9" w:rsidRDefault="00354550" w:rsidP="00354550">
      <w:pPr>
        <w:spacing w:line="480" w:lineRule="auto"/>
        <w:rPr>
          <w:ins w:id="148" w:author="Marios Panayi" w:date="2021-01-09T16:52:00Z"/>
          <w:rFonts w:ascii="Times New Roman" w:eastAsia="Calibri" w:hAnsi="Times New Roman" w:cs="Times New Roman"/>
          <w:sz w:val="24"/>
          <w:szCs w:val="24"/>
          <w:lang w:val="en-GB"/>
        </w:rPr>
      </w:pPr>
      <w:ins w:id="149" w:author="Marios Panayi" w:date="2021-01-09T16:52:00Z">
        <w:r w:rsidRPr="00FB0BE9">
          <w:rPr>
            <w:rFonts w:ascii="Times New Roman" w:eastAsia="Calibri" w:hAnsi="Times New Roman" w:cs="Times New Roman"/>
            <w:color w:val="000000"/>
            <w:sz w:val="24"/>
            <w:szCs w:val="24"/>
            <w:lang w:val="en-GB"/>
          </w:rPr>
          <w:t xml:space="preserve">Baseline levels of responding did not differ between groups during training, and on the final day of infusions (day 10 of stage 1) </w:t>
        </w:r>
      </w:ins>
      <w:proofErr w:type="spellStart"/>
      <w:ins w:id="150" w:author="Panayi, Marios (NIH/NIDA) [F]" w:date="2021-01-21T16:06:00Z">
        <w:r w:rsidR="00200865">
          <w:rPr>
            <w:rFonts w:ascii="Times New Roman" w:eastAsia="Calibri" w:hAnsi="Times New Roman" w:cs="Times New Roman"/>
            <w:color w:val="000000"/>
            <w:sz w:val="24"/>
            <w:szCs w:val="24"/>
            <w:lang w:val="en-GB"/>
          </w:rPr>
          <w:t>P</w:t>
        </w:r>
      </w:ins>
      <w:ins w:id="151" w:author="Marios Panayi" w:date="2021-01-09T16:52:00Z">
        <w:del w:id="152" w:author="Panayi, Marios (NIH/NIDA) [F]" w:date="2021-01-21T16:06:00Z">
          <w:r w:rsidRPr="00FB0BE9" w:rsidDel="00200865">
            <w:rPr>
              <w:rFonts w:ascii="Times New Roman" w:eastAsia="Calibri" w:hAnsi="Times New Roman" w:cs="Times New Roman"/>
              <w:color w:val="000000"/>
              <w:sz w:val="24"/>
              <w:szCs w:val="24"/>
              <w:lang w:val="en-GB"/>
            </w:rPr>
            <w:delText>p</w:delText>
          </w:r>
        </w:del>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response rates (10s) were saline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0.122,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0.24, muscimol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0.67,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0.87. These observations were supported by mixed Group x Day ANOVAs on </w:t>
        </w:r>
      </w:ins>
      <w:proofErr w:type="spellStart"/>
      <w:ins w:id="153" w:author="Panayi, Marios (NIH/NIDA) [F]" w:date="2021-01-21T16:06:00Z">
        <w:r w:rsidR="00200865">
          <w:rPr>
            <w:rFonts w:ascii="Times New Roman" w:eastAsia="Calibri" w:hAnsi="Times New Roman" w:cs="Times New Roman"/>
            <w:color w:val="000000"/>
            <w:sz w:val="24"/>
            <w:szCs w:val="24"/>
            <w:lang w:val="en-GB"/>
          </w:rPr>
          <w:t>P</w:t>
        </w:r>
      </w:ins>
      <w:ins w:id="154" w:author="Marios Panayi" w:date="2021-01-09T16:52:00Z">
        <w:del w:id="155" w:author="Panayi, Marios (NIH/NIDA) [F]" w:date="2021-01-21T16:06:00Z">
          <w:r w:rsidRPr="00FB0BE9" w:rsidDel="00200865">
            <w:rPr>
              <w:rFonts w:ascii="Times New Roman" w:eastAsia="Calibri" w:hAnsi="Times New Roman" w:cs="Times New Roman"/>
              <w:color w:val="000000"/>
              <w:sz w:val="24"/>
              <w:szCs w:val="24"/>
              <w:lang w:val="en-GB"/>
            </w:rPr>
            <w:delText>p</w:delText>
          </w:r>
        </w:del>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responding in stage1 suggesting that there were no group differences on days 1-4 prior to infusion (all </w:t>
        </w:r>
        <w:r w:rsidRPr="00FB0BE9">
          <w:rPr>
            <w:rFonts w:ascii="Times New Roman" w:eastAsia="Calibri" w:hAnsi="Times New Roman" w:cs="Times New Roman"/>
            <w:i/>
            <w:color w:val="000000"/>
            <w:sz w:val="24"/>
            <w:szCs w:val="24"/>
            <w:lang w:val="en-GB"/>
          </w:rPr>
          <w:t xml:space="preserve">F </w:t>
        </w:r>
        <w:r w:rsidRPr="00FB0BE9">
          <w:rPr>
            <w:rFonts w:ascii="Times New Roman" w:eastAsia="Calibri" w:hAnsi="Times New Roman" w:cs="Times New Roman"/>
            <w:color w:val="000000"/>
            <w:sz w:val="24"/>
            <w:szCs w:val="24"/>
            <w:lang w:val="en-GB"/>
          </w:rPr>
          <w:t xml:space="preserve">&lt; 1.69, </w:t>
        </w:r>
        <w:r w:rsidRPr="00FB0BE9">
          <w:rPr>
            <w:rFonts w:ascii="Times New Roman" w:eastAsia="Calibri" w:hAnsi="Times New Roman" w:cs="Times New Roman"/>
            <w:i/>
            <w:color w:val="000000"/>
            <w:sz w:val="24"/>
            <w:szCs w:val="24"/>
            <w:lang w:val="en-GB"/>
          </w:rPr>
          <w:t>p</w:t>
        </w:r>
        <w:r w:rsidRPr="00FB0BE9">
          <w:rPr>
            <w:rFonts w:ascii="Times New Roman" w:eastAsia="Calibri" w:hAnsi="Times New Roman" w:cs="Times New Roman"/>
            <w:color w:val="000000"/>
            <w:sz w:val="24"/>
            <w:szCs w:val="24"/>
            <w:lang w:val="en-GB"/>
          </w:rPr>
          <w:t xml:space="preserve"> &gt; .21) or on days 5-10 during infusions (significant main effect of Day </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(5, 120)</w:t>
        </w:r>
        <w:r w:rsidRPr="00FB0BE9">
          <w:rPr>
            <w:rFonts w:ascii="Times New Roman" w:eastAsia="Calibri" w:hAnsi="Times New Roman" w:cs="Times New Roman"/>
            <w:color w:val="000000"/>
            <w:sz w:val="24"/>
            <w:szCs w:val="24"/>
            <w:lang w:val="en-GB"/>
          </w:rPr>
          <w:t xml:space="preserve"> = 15.21,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&lt; .001, all </w:t>
        </w:r>
        <w:r w:rsidRPr="00FB0BE9">
          <w:rPr>
            <w:rFonts w:ascii="Times New Roman" w:eastAsia="Calibri" w:hAnsi="Times New Roman" w:cs="Times New Roman"/>
            <w:sz w:val="24"/>
            <w:szCs w:val="24"/>
            <w:lang w:val="en-GB"/>
          </w:rPr>
          <w:t xml:space="preserve">remaining </w:t>
        </w:r>
        <w:r w:rsidRPr="00FB0BE9">
          <w:rPr>
            <w:rFonts w:ascii="Times New Roman" w:eastAsia="Calibri" w:hAnsi="Times New Roman" w:cs="Times New Roman"/>
            <w:i/>
            <w:sz w:val="24"/>
            <w:szCs w:val="24"/>
            <w:lang w:val="en-GB"/>
          </w:rPr>
          <w:t xml:space="preserve">F </w:t>
        </w:r>
        <w:r w:rsidRPr="00FB0BE9">
          <w:rPr>
            <w:rFonts w:ascii="Times New Roman" w:eastAsia="Calibri" w:hAnsi="Times New Roman" w:cs="Times New Roman"/>
            <w:sz w:val="24"/>
            <w:szCs w:val="24"/>
            <w:lang w:val="en-GB"/>
          </w:rPr>
          <w:t xml:space="preserve">&lt; 1.00, </w:t>
        </w:r>
        <w:r w:rsidRPr="00FB0BE9">
          <w:rPr>
            <w:rFonts w:ascii="Times New Roman" w:eastAsia="Calibri" w:hAnsi="Times New Roman" w:cs="Times New Roman"/>
            <w:i/>
            <w:sz w:val="24"/>
            <w:szCs w:val="24"/>
            <w:lang w:val="en-GB"/>
          </w:rPr>
          <w:t>p</w:t>
        </w:r>
        <w:r w:rsidRPr="00FB0BE9">
          <w:rPr>
            <w:rFonts w:ascii="Times New Roman" w:eastAsia="Calibri" w:hAnsi="Times New Roman" w:cs="Times New Roman"/>
            <w:sz w:val="24"/>
            <w:szCs w:val="24"/>
            <w:lang w:val="en-GB"/>
          </w:rPr>
          <w:t xml:space="preserve"> &gt; .50).</w:t>
        </w:r>
      </w:ins>
    </w:p>
    <w:p w14:paraId="522C4388" w14:textId="5FA0C21B" w:rsidR="00354550" w:rsidRPr="00354550" w:rsidRDefault="00354550" w:rsidP="00F04D98">
      <w:pPr>
        <w:pStyle w:val="BodyText"/>
        <w:spacing w:line="480" w:lineRule="auto"/>
        <w:rPr>
          <w:ins w:id="156" w:author="Marios Panayi" w:date="2021-01-09T16:52:00Z"/>
          <w:lang w:val="en-GB"/>
        </w:rPr>
      </w:pPr>
      <w:ins w:id="157" w:author="Marios Panayi" w:date="2021-01-09T16:52:00Z">
        <w:r w:rsidRPr="00354550">
          <w:rPr>
            <w:lang w:val="en-GB"/>
          </w:rPr>
          <w:t>Stage 1</w:t>
        </w:r>
      </w:ins>
    </w:p>
    <w:p w14:paraId="5DA2FF82" w14:textId="35437F10" w:rsidR="0068482A" w:rsidRDefault="0068482A" w:rsidP="00F04D98">
      <w:pPr>
        <w:pStyle w:val="BodyText"/>
        <w:spacing w:line="480" w:lineRule="auto"/>
        <w:rPr>
          <w:ins w:id="158" w:author="Marios Panayi" w:date="2021-01-09T16:52:00Z"/>
          <w:lang w:val="en-GB"/>
        </w:rPr>
      </w:pPr>
      <w:del w:id="159" w:author="Panayi, Marios (NIH/NIDA) [F]" w:date="2021-01-21T16:05:00Z">
        <w:r w:rsidRPr="00FB0BE9" w:rsidDel="00AA6C7D">
          <w:rPr>
            <w:lang w:val="en-GB"/>
          </w:rPr>
          <w:delText xml:space="preserve"> </w:delText>
        </w:r>
      </w:del>
      <w:r w:rsidRPr="00FB0BE9">
        <w:rPr>
          <w:lang w:val="en-GB"/>
        </w:rPr>
        <w:t xml:space="preserve">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796E56BC" w14:textId="1C99AA3E" w:rsidR="00354550" w:rsidRPr="00354550" w:rsidRDefault="00354550" w:rsidP="00F04D98">
      <w:pPr>
        <w:pStyle w:val="BodyText"/>
        <w:spacing w:line="480" w:lineRule="auto"/>
        <w:rPr>
          <w:b/>
          <w:bCs/>
          <w:lang w:val="en-GB"/>
        </w:rPr>
      </w:pPr>
      <w:ins w:id="160" w:author="Marios Panayi" w:date="2021-01-09T16:52:00Z">
        <w:r w:rsidRPr="00354550">
          <w:rPr>
            <w:b/>
            <w:bCs/>
            <w:lang w:val="en-GB"/>
          </w:rPr>
          <w:t>Stage 2</w:t>
        </w:r>
      </w:ins>
    </w:p>
    <w:p w14:paraId="15FA990F" w14:textId="52345778" w:rsidR="000E75D6" w:rsidRDefault="000E75D6" w:rsidP="00F04D98">
      <w:pPr>
        <w:pStyle w:val="BodyText"/>
        <w:spacing w:line="480" w:lineRule="auto"/>
        <w:rPr>
          <w:ins w:id="161" w:author="Marios Panayi" w:date="2021-01-09T16:53:00Z"/>
          <w:lang w:val="en-GB"/>
        </w:rPr>
      </w:pPr>
      <w:r w:rsidRPr="00FB0BE9">
        <w:rPr>
          <w:lang w:val="en-GB"/>
        </w:rPr>
        <w:t xml:space="preserve">Next, animals were trained such that compounds AB and CD also predicted reward (Figure 3C, Stage 2), importantly OFC function was intact in all animals i.e. no infusions. Responding in both </w:t>
      </w:r>
      <w:r w:rsidRPr="00FB0BE9">
        <w:rPr>
          <w:lang w:val="en-GB"/>
        </w:rPr>
        <w:lastRenderedPageBreak/>
        <w:t xml:space="preserve">the saline and muscimol groups was initially lower to the novel compound CD than to AB (Significant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xml:space="preserve">). Furthermore, Within-session changes over trials on Day 12 revealed rapid within-session acquisition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w:t>
      </w:r>
      <w:proofErr w:type="gramStart"/>
      <w:r w:rsidRPr="00FB0BE9">
        <w:rPr>
          <w:lang w:val="en-GB"/>
        </w:rPr>
        <w:t>similar to</w:t>
      </w:r>
      <w:proofErr w:type="gramEnd"/>
      <w:r w:rsidRPr="00FB0BE9">
        <w:rPr>
          <w:lang w:val="en-GB"/>
        </w:rPr>
        <w:t xml:space="preserve"> levels of responding to the novel compound CD in the saline group. This would suggest that learning about cue A in the muscimol group was impaired in stage 1, and therefore cue A should not effectively block learning to cue B in stage 2. </w:t>
      </w:r>
    </w:p>
    <w:p w14:paraId="3D0C784D" w14:textId="5E111810" w:rsidR="009662CE" w:rsidRPr="009662CE" w:rsidRDefault="009662CE" w:rsidP="00F04D98">
      <w:pPr>
        <w:pStyle w:val="BodyText"/>
        <w:spacing w:line="480" w:lineRule="auto"/>
        <w:rPr>
          <w:b/>
          <w:bCs/>
          <w:lang w:val="en-GB"/>
        </w:rPr>
      </w:pPr>
      <w:ins w:id="162" w:author="Marios Panayi" w:date="2021-01-09T16:53:00Z">
        <w:r w:rsidRPr="009662CE">
          <w:rPr>
            <w:b/>
            <w:bCs/>
            <w:lang w:val="en-GB"/>
          </w:rPr>
          <w:t>Test</w:t>
        </w:r>
      </w:ins>
    </w:p>
    <w:p w14:paraId="49CE91BE" w14:textId="0C1146CF" w:rsidR="001B11FA" w:rsidRPr="00FB0BE9" w:rsidRDefault="000E75D6" w:rsidP="00F04D98">
      <w:pPr>
        <w:pStyle w:val="BodyText"/>
        <w:spacing w:line="480" w:lineRule="auto"/>
        <w:rPr>
          <w:lang w:val="en-GB"/>
        </w:rPr>
      </w:pPr>
      <w:r w:rsidRPr="00FB0BE9">
        <w:rPr>
          <w:lang w:val="en-GB"/>
        </w:rPr>
        <w:lastRenderedPageBreak/>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Lateral OFC is necessary for simple Pavlovian acquisition</w:t>
      </w:r>
    </w:p>
    <w:p w14:paraId="5081E70D" w14:textId="721C21AA"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234420" w:rsidRPr="00FB0BE9">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(e.g. Burke et al., 2008; Gallagher et al., 1999; Schoenbaum et al., 2002; Stalnaker et al., 2007)</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Pr="00FB0BE9">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(e.g. Ramirez &amp;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305542" w:rsidRPr="00FB0BE9">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Pr="00FB0BE9">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(Chudasama &amp;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Pr="00FB0BE9">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(Panayi &amp;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toward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163"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163"/>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A82C299"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234420" w:rsidRPr="00FB0BE9">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305542" w:rsidRPr="00FB0BE9">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(Takahashi et al., 2009,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2017a; Steinberg et al., 2013)</w:t>
      </w:r>
      <w:r w:rsidRPr="00FB0BE9">
        <w:rPr>
          <w:sz w:val="24"/>
          <w:szCs w:val="24"/>
          <w:lang w:val="en-GB"/>
        </w:rPr>
        <w:fldChar w:fldCharType="end"/>
      </w:r>
      <w:r w:rsidRPr="00FB0BE9">
        <w:rPr>
          <w:sz w:val="24"/>
          <w:szCs w:val="24"/>
          <w:lang w:val="en-GB"/>
        </w:rPr>
        <w:t xml:space="preserve">. </w:t>
      </w:r>
    </w:p>
    <w:p w14:paraId="4DA2E57E" w14:textId="529502E1"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Pr="00FB0BE9">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Pr="00FB0BE9">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(Rescorla, 2002a, 2002b)</w:t>
      </w:r>
      <w:r w:rsidRPr="00FB0BE9">
        <w:rPr>
          <w:sz w:val="24"/>
          <w:szCs w:val="24"/>
          <w:lang w:val="en-GB"/>
        </w:rPr>
        <w:fldChar w:fldCharType="end"/>
      </w:r>
      <w:r w:rsidRPr="00FB0BE9">
        <w:rPr>
          <w:sz w:val="24"/>
          <w:szCs w:val="24"/>
          <w:lang w:val="en-GB"/>
        </w:rPr>
        <w:t xml:space="preserve"> to assess disrupted acquisition effects. </w:t>
      </w:r>
    </w:p>
    <w:p w14:paraId="7D4AEE68" w14:textId="096D2AA7"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2017b; e.g. Steinberg et al., 2013)</w:t>
      </w:r>
      <w:r w:rsidRPr="00FB0BE9">
        <w:rPr>
          <w:sz w:val="24"/>
          <w:szCs w:val="24"/>
          <w:lang w:val="en-GB"/>
        </w:rPr>
        <w:fldChar w:fldCharType="end"/>
      </w:r>
      <w:r w:rsidRPr="00FB0BE9">
        <w:rPr>
          <w:sz w:val="24"/>
          <w:szCs w:val="24"/>
          <w:lang w:val="en-GB"/>
        </w:rPr>
        <w:t xml:space="preserve">, suggesting that the OFC is not necessary for this </w:t>
      </w:r>
      <w:r w:rsidRPr="00FB0BE9">
        <w:rPr>
          <w:sz w:val="24"/>
          <w:szCs w:val="24"/>
          <w:lang w:val="en-GB"/>
        </w:rPr>
        <w:lastRenderedPageBreak/>
        <w:t xml:space="preserve">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305542" w:rsidRPr="00FB0BE9">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2007; Delamater &amp;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845961">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2011)","previouslyFormattedCitation":"(McDannald et al., 2011)"},"properties":{"noteIndex":0},"schema":"https://github.com/citation-style-language/schema/raw/master/csl-citation.json"}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5E4B43">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unblocking","type":"article-journal","volume":"3"},"uris":["http://www.mendeley.com/documents/?uuid=26c04324-62dd-43b0-8b10-78b8d5d615ae"]}],"mendeley":{"formattedCitation":"(Lopatina et al., 2015; McDannald et al., 2014)","plainTextFormattedCitation":"(Lopatina et al., 2015; McDannald et al., 2014)","previouslyFormattedCitation":"(Lopatina et al., 2015; McDannald et al., 2014)"},"properties":{"noteIndex":0},"schema":"https://github.com/citation-style-language/schema/raw/master/csl-citation.json"}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(Lopatina et al., 2015; McDannald et al., 2014)</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77777777"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Pr="00FB0BE9">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Pr="00FB0BE9">
        <w:rPr>
          <w:lang w:val="en-GB"/>
        </w:rPr>
        <w:fldChar w:fldCharType="separate"/>
      </w:r>
      <w:r w:rsidRPr="00FB0BE9">
        <w:rPr>
          <w:noProof/>
          <w:lang w:val="en-GB"/>
        </w:rPr>
        <w:t>(Boulougouris et al., 2007; Boulougouris &amp;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Pr="00FB0BE9">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Pr="00FB0BE9">
        <w:rPr>
          <w:lang w:val="en-GB"/>
        </w:rPr>
        <w:fldChar w:fldCharType="separate"/>
      </w:r>
      <w:r w:rsidRPr="00FB0BE9">
        <w:rPr>
          <w:noProof/>
          <w:lang w:val="en-GB"/>
        </w:rPr>
        <w:t>(Balleine et al., 2011; Ostlund &amp; Balleine, 2007)</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w:t>
      </w:r>
      <w:r w:rsidRPr="00FB0BE9">
        <w:rPr>
          <w:lang w:val="en-GB"/>
        </w:rPr>
        <w:lastRenderedPageBreak/>
        <w:t xml:space="preserve">of OFC lesions on simple Pavlovian acquisition </w:t>
      </w:r>
      <w:r w:rsidRPr="00FB0BE9">
        <w:rPr>
          <w:i/>
          <w:iCs/>
          <w:lang w:val="en-GB"/>
        </w:rPr>
        <w:t>a priori</w:t>
      </w:r>
      <w:r w:rsidRPr="00FB0BE9">
        <w:rPr>
          <w:lang w:val="en-GB"/>
        </w:rPr>
        <w:t>, and therefore require additional assumptions to account for the present data.</w:t>
      </w:r>
    </w:p>
    <w:p w14:paraId="4DBAC3FB" w14:textId="101B1162" w:rsidR="00686D47" w:rsidRPr="00FB0BE9" w:rsidRDefault="00686D47" w:rsidP="00F04D98">
      <w:pPr>
        <w:pStyle w:val="BodyText"/>
        <w:spacing w:line="480" w:lineRule="auto"/>
        <w:ind w:firstLine="720"/>
        <w:rPr>
          <w:lang w:val="en-GB"/>
        </w:rPr>
      </w:pPr>
      <w:r w:rsidRPr="00FB0BE9">
        <w:rPr>
          <w:lang w:val="en-GB"/>
        </w:rPr>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Pr="00FB0BE9">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Pr="00FB0BE9">
        <w:rPr>
          <w:lang w:val="en-GB"/>
        </w:rPr>
        <w:fldChar w:fldCharType="separate"/>
      </w:r>
      <w:r w:rsidRPr="00FB0BE9">
        <w:rPr>
          <w:noProof/>
          <w:lang w:val="en-GB"/>
        </w:rPr>
        <w:t>(Dickinson, 1980; Hall, 2002; Holland, 1977; Konorski, 1967; Mackintosh, 1974; Rescorla, 1988)</w:t>
      </w:r>
      <w:r w:rsidRPr="00FB0BE9">
        <w:rPr>
          <w:lang w:val="en-GB"/>
        </w:rPr>
        <w:fldChar w:fldCharType="end"/>
      </w:r>
      <w:r w:rsidRPr="00FB0BE9">
        <w:rPr>
          <w:lang w:val="en-GB"/>
        </w:rPr>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Pr="00FB0BE9">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Pr="00FB0BE9">
        <w:rPr>
          <w:lang w:val="en-GB"/>
        </w:rPr>
        <w:fldChar w:fldCharType="separate"/>
      </w:r>
      <w:r w:rsidRPr="00FB0BE9">
        <w:rPr>
          <w:noProof/>
          <w:lang w:val="en-GB"/>
        </w:rPr>
        <w:t>(for review see Delamater &amp;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305542" w:rsidRPr="00FB0BE9">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Pr="00FB0BE9">
        <w:rPr>
          <w:noProof/>
          <w:lang w:val="en-GB"/>
        </w:rPr>
        <w:t>(Burke et al., 2007; Delamater, 2007)</w:t>
      </w:r>
      <w:r w:rsidRPr="00FB0BE9">
        <w:rPr>
          <w:lang w:val="en-GB"/>
        </w:rPr>
        <w:fldChar w:fldCharType="end"/>
      </w:r>
      <w:r w:rsidRPr="00FB0BE9">
        <w:rPr>
          <w:lang w:val="en-GB"/>
        </w:rPr>
        <w:t xml:space="preserve">. </w:t>
      </w:r>
    </w:p>
    <w:p w14:paraId="10FD56F1" w14:textId="6B6B04FF"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w:t>
      </w:r>
      <w:bookmarkStart w:id="164" w:name="_Hlk62211122"/>
      <w:r w:rsidRPr="00FB0BE9">
        <w:rPr>
          <w:lang w:val="en-GB"/>
        </w:rPr>
        <w:t xml:space="preserve">Following pre-training lesions, this may lead to an unconstrained habit learning system </w:t>
      </w:r>
      <w:r w:rsidRPr="00FB0BE9">
        <w:rPr>
          <w:lang w:val="en-GB"/>
        </w:rPr>
        <w:fldChar w:fldCharType="begin" w:fldLock="1"/>
      </w:r>
      <w:r w:rsidRPr="00FB0BE9">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FB0BE9">
        <w:rPr>
          <w:lang w:val="en-GB"/>
        </w:rPr>
        <w:fldChar w:fldCharType="separate"/>
      </w:r>
      <w:r w:rsidRPr="00FB0BE9">
        <w:rPr>
          <w:noProof/>
          <w:lang w:val="en-GB"/>
        </w:rPr>
        <w:t>(Coutureau &amp; Killcross, 2003; Dickinson, 1985; Dolan &amp; Dayan, 2013; Killcross &amp; Coutureau, 2003)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 </w:t>
      </w:r>
      <w:bookmarkStart w:id="165" w:name="_Hlk62212108"/>
      <w:bookmarkStart w:id="166" w:name="_GoBack"/>
      <w:bookmarkEnd w:id="164"/>
      <w:ins w:id="167" w:author="Panayi, Marios (NIH/NIDA) [F]" w:date="2021-01-22T12:43:00Z">
        <w:r w:rsidR="0042600B" w:rsidRPr="0042600B">
          <w:rPr>
            <w:lang w:val="en-GB"/>
          </w:rPr>
          <w:t xml:space="preserve">This is consistent with evidence that a stimulus-response habit like system develops in Pavlovian conditioning paradigms </w:t>
        </w:r>
      </w:ins>
      <w:ins w:id="168" w:author="Panayi, Marios (NIH/NIDA) [F]" w:date="2021-01-22T12:45:00Z">
        <w:r w:rsidR="00845961">
          <w:rPr>
            <w:lang w:val="en-GB"/>
          </w:rPr>
          <w:fldChar w:fldCharType="begin" w:fldLock="1"/>
        </w:r>
      </w:ins>
      <w:r w:rsidR="00845961">
        <w:rPr>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&amp; Blundell, 2002; Parkinson et al., 2005)","plainTextFormattedCitation":"(Hall, 2002; Killcross &amp; Blundell, 2002; Parkinson et al., 2005)","previouslyFormattedCitation":"(Hall, 2002; Killcross &amp; Blundell, 2002; Parkinson et al., 2005)"},"properties":{"noteIndex":0},"schema":"https://github.com/citation-style-language/schema/raw/master/csl-citation.json"}</w:instrText>
      </w:r>
      <w:r w:rsidR="00845961">
        <w:rPr>
          <w:lang w:val="en-GB"/>
        </w:rPr>
        <w:fldChar w:fldCharType="separate"/>
      </w:r>
      <w:r w:rsidR="00845961" w:rsidRPr="00845961">
        <w:rPr>
          <w:noProof/>
          <w:lang w:val="en-GB"/>
        </w:rPr>
        <w:t>(Hall, 2002; Killcross &amp; Blundell, 2002; Parkinson et al., 2005)</w:t>
      </w:r>
      <w:ins w:id="169" w:author="Panayi, Marios (NIH/NIDA) [F]" w:date="2021-01-22T12:45:00Z">
        <w:r w:rsidR="00845961">
          <w:rPr>
            <w:lang w:val="en-GB"/>
          </w:rPr>
          <w:fldChar w:fldCharType="end"/>
        </w:r>
      </w:ins>
      <w:ins w:id="170" w:author="Panayi, Marios (NIH/NIDA) [F]" w:date="2021-01-22T12:43:00Z">
        <w:r w:rsidR="0042600B" w:rsidRPr="0042600B">
          <w:rPr>
            <w:lang w:val="en-GB"/>
          </w:rPr>
          <w:t xml:space="preserve">, and is likely to interact and compete with stimulus-outcome learning </w:t>
        </w:r>
        <w:r w:rsidR="0042600B" w:rsidRPr="0042600B">
          <w:rPr>
            <w:lang w:val="en-GB"/>
          </w:rPr>
          <w:lastRenderedPageBreak/>
          <w:t xml:space="preserve">systems for behavioural control, similar to the interaction found between instrumental habit and goal-directed systems </w:t>
        </w:r>
      </w:ins>
      <w:ins w:id="171" w:author="Panayi, Marios (NIH/NIDA) [F]" w:date="2021-01-22T12:47:00Z">
        <w:r w:rsidR="00845961">
          <w:rPr>
            <w:lang w:val="en-GB"/>
          </w:rPr>
          <w:fldChar w:fldCharType="begin" w:fldLock="1"/>
        </w:r>
      </w:ins>
      <w:r w:rsidR="00845961">
        <w:rPr>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learning","type":"article-journal"},"uris":["http://www.mendeley.com/documents/?uuid=83b987fe-c30a-40d3-bff1-90ab853c0a1d"]}],"mendeley":{"formattedCitation":"(Balleine &amp; Killcross, 2006; Coutureau &amp; Killcross, 2003; Killcross &amp; Coutureau, 2003; Kim et al., 2019; Lee et al., 2014; Yin et al., 2005, 2006)","plainTextFormattedCitation":"(Balleine &amp; Killcross, 2006; Coutureau &amp; Killcross, 2003; Killcross &amp; Coutureau, 2003; Kim et al., 2019; Lee et al., 2014; Yin et al., 2005, 2006)"},"properties":{"noteIndex":0},"schema":"https://github.com/citation-style-language/schema/raw/master/csl-citation.json"}</w:instrText>
      </w:r>
      <w:r w:rsidR="00845961">
        <w:rPr>
          <w:lang w:val="en-GB"/>
        </w:rPr>
        <w:fldChar w:fldCharType="separate"/>
      </w:r>
      <w:r w:rsidR="00845961" w:rsidRPr="00845961">
        <w:rPr>
          <w:noProof/>
          <w:lang w:val="en-GB"/>
        </w:rPr>
        <w:t>(Balleine &amp; Killcross, 2006; Coutureau &amp; Killcross, 2003; Killcross &amp; Coutureau, 2003; Kim et al., 2019; Lee et al., 2014; Yin et al., 2005, 2006)</w:t>
      </w:r>
      <w:ins w:id="172" w:author="Panayi, Marios (NIH/NIDA) [F]" w:date="2021-01-22T12:47:00Z">
        <w:r w:rsidR="00845961">
          <w:rPr>
            <w:lang w:val="en-GB"/>
          </w:rPr>
          <w:fldChar w:fldCharType="end"/>
        </w:r>
      </w:ins>
      <w:ins w:id="173" w:author="Panayi, Marios (NIH/NIDA) [F]" w:date="2021-01-22T12:43:00Z">
        <w:r w:rsidR="0042600B" w:rsidRPr="0042600B">
          <w:rPr>
            <w:lang w:val="en-GB"/>
          </w:rPr>
          <w:t>.</w:t>
        </w:r>
      </w:ins>
      <w:ins w:id="174" w:author="Panayi, Marios (NIH/NIDA) [F]" w:date="2021-01-22T12:45:00Z">
        <w:r w:rsidR="00845961">
          <w:rPr>
            <w:lang w:val="en-GB"/>
          </w:rPr>
          <w:t xml:space="preserve"> </w:t>
        </w:r>
      </w:ins>
      <w:bookmarkEnd w:id="165"/>
      <w:bookmarkEnd w:id="166"/>
      <w:r w:rsidRPr="00FB0BE9">
        <w:rPr>
          <w:lang w:val="en-GB"/>
        </w:rPr>
        <w:t xml:space="preserve">However, once initial learning occurs with an intact OFC, the encoding of the identity of the expected outcome is likely to have occurred </w:t>
      </w:r>
      <w:r w:rsidRPr="00FB0BE9">
        <w:rPr>
          <w:lang w:val="en-GB"/>
        </w:rPr>
        <w:fldChar w:fldCharType="begin" w:fldLock="1"/>
      </w:r>
      <w:r w:rsidRPr="00FB0BE9">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Pr="00FB0BE9">
        <w:rPr>
          <w:lang w:val="en-GB"/>
        </w:rPr>
        <w:fldChar w:fldCharType="separate"/>
      </w:r>
      <w:r w:rsidRPr="00FB0BE9">
        <w:rPr>
          <w:noProof/>
          <w:lang w:val="en-GB"/>
        </w:rPr>
        <w:t>(e.g. Delamater &amp; Holland, 2008)</w:t>
      </w:r>
      <w:r w:rsidRPr="00FB0BE9">
        <w:rPr>
          <w:lang w:val="en-GB"/>
        </w:rPr>
        <w:fldChar w:fldCharType="end"/>
      </w:r>
      <w:r w:rsidRPr="00FB0BE9">
        <w:rPr>
          <w:lang w:val="en-GB"/>
        </w:rPr>
        <w:t>. Subsequently, a post-training lesion or inactivation of the OFC is likely to affect the subsequent updating of this information. Therefore, one possible account</w:t>
      </w:r>
      <w:r w:rsidR="00D161F9" w:rsidRPr="00FB0BE9">
        <w:rPr>
          <w:lang w:val="en-GB"/>
        </w:rPr>
        <w:t xml:space="preserve"> is that</w:t>
      </w:r>
      <w:r w:rsidRPr="00FB0BE9">
        <w:rPr>
          <w:lang w:val="en-GB"/>
        </w:rPr>
        <w:t xml:space="preserve"> the impaired acquisition behaviour we observed following post-training inactivation reflects an inability to update the current motivational value of the specific outcome that is expected.</w:t>
      </w:r>
    </w:p>
    <w:p w14:paraId="61FD1E76" w14:textId="39F13B8F"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5E4B43">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Pr="00FB0BE9">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Pr="00FB0BE9">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Pr="00FB0BE9">
        <w:rPr>
          <w:noProof/>
          <w:lang w:val="en-GB"/>
        </w:rPr>
        <w:t>(Niv, 2019)</w:t>
      </w:r>
      <w:r w:rsidRPr="00FB0BE9">
        <w:rPr>
          <w:lang w:val="en-GB"/>
        </w:rPr>
        <w:fldChar w:fldCharType="end"/>
      </w:r>
      <w:r w:rsidRPr="00FB0BE9">
        <w:rPr>
          <w:lang w:val="en-GB"/>
        </w:rPr>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e.g. the ambient noises, odours, temperature of the context, the location and intensity of the light cue based on where the rat happens to be located when it turns on, and the gradual onset of sensory specific satiety to the </w:t>
      </w:r>
      <w:r w:rsidRPr="00FB0BE9">
        <w:rPr>
          <w:lang w:val="en-GB"/>
        </w:rPr>
        <w:lastRenderedPageBreak/>
        <w:t>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21BEB4C9"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acquisition. However, in a task with multiple or uncertain cue-outcome contingencies pretraining OFC lesions might impair acquisition </w:t>
      </w:r>
      <w:r w:rsidRPr="00FB0BE9">
        <w:rPr>
          <w:lang w:val="en-GB"/>
        </w:rPr>
        <w:fldChar w:fldCharType="begin" w:fldLock="1"/>
      </w:r>
      <w:r w:rsidR="005E4B43">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Pr="00FB0BE9">
        <w:rPr>
          <w:lang w:val="en-GB"/>
        </w:rPr>
        <w:fldChar w:fldCharType="separate"/>
      </w:r>
      <w:r w:rsidRPr="00FB0BE9">
        <w:rPr>
          <w:noProof/>
          <w:lang w:val="en-GB"/>
        </w:rPr>
        <w:t>(Stolyarova &amp; Izquierdo, 2017; Walton et al., 2010)</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3CA35D1E" w:rsidR="003A29DA" w:rsidRPr="00FB0BE9"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lastRenderedPageBreak/>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5E4B43">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","uris":["http://www.mendeley.com/documents/?uuid=c1b33c74-ba5f-4ab9-b6ed-9a7de9e622d5"]}],"mendeley":{"formattedCitation":"(e.g. Kool et al., 2018)","plainTextFormattedCitation":"(e.g. Kool et al., 2018)","previouslyFormattedCitation":"(e.g. Kool et al., 2018)"},"properties":{"noteIndex":0},"schema":"https://github.com/citation-style-language/schema/raw/master/csl-citation.json"}</w:instrText>
      </w:r>
      <w:r w:rsidR="00BD54A1" w:rsidRPr="00FB0BE9">
        <w:rPr>
          <w:sz w:val="24"/>
          <w:szCs w:val="24"/>
          <w:lang w:val="en-GB"/>
        </w:rPr>
        <w:fldChar w:fldCharType="separate"/>
      </w:r>
      <w:r w:rsidR="00BD54A1" w:rsidRPr="00FB0BE9">
        <w:rPr>
          <w:noProof/>
          <w:sz w:val="24"/>
          <w:szCs w:val="24"/>
          <w:lang w:val="en-GB"/>
        </w:rPr>
        <w:t>(e.g. Kool et al., 2018)</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BD54A1" w:rsidRPr="00FB0BE9">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sidRPr="00FB0BE9">
        <w:rPr>
          <w:sz w:val="24"/>
          <w:szCs w:val="24"/>
          <w:lang w:val="en-GB"/>
        </w:rPr>
        <w:fldChar w:fldCharType="separate"/>
      </w:r>
      <w:r w:rsidR="00234420" w:rsidRPr="00FB0BE9">
        <w:rPr>
          <w:noProof/>
          <w:sz w:val="24"/>
          <w:szCs w:val="24"/>
          <w:lang w:val="en-GB"/>
        </w:rPr>
        <w:t>(Collins &amp; Cockburn, 2020)</w:t>
      </w:r>
      <w:r w:rsidR="00234420" w:rsidRPr="00FB0BE9">
        <w:rPr>
          <w:sz w:val="24"/>
          <w:szCs w:val="24"/>
          <w:lang w:val="en-GB"/>
        </w:rPr>
        <w:fldChar w:fldCharType="end"/>
      </w:r>
      <w:r w:rsidR="00234420" w:rsidRPr="00FB0BE9">
        <w:rPr>
          <w:sz w:val="24"/>
          <w:szCs w:val="24"/>
          <w:lang w:val="en-GB"/>
        </w:rPr>
        <w:t>.</w:t>
      </w:r>
    </w:p>
    <w:p w14:paraId="67AF9A73" w14:textId="77777777" w:rsidR="005462BD" w:rsidRPr="00FB0BE9" w:rsidRDefault="008D77D0" w:rsidP="00F04D98">
      <w:pPr>
        <w:spacing w:line="480" w:lineRule="auto"/>
        <w:ind w:firstLine="720"/>
        <w:rPr>
          <w:sz w:val="24"/>
          <w:szCs w:val="24"/>
          <w:lang w:val="en-GB"/>
        </w:rPr>
      </w:pPr>
      <w:r w:rsidRPr="00FB0BE9">
        <w:rPr>
          <w:sz w:val="24"/>
          <w:szCs w:val="24"/>
          <w:lang w:val="en-GB"/>
        </w:rPr>
        <w:t xml:space="preserve">While the OFC has often been found not to be necessary for initial acquisition learning, recently there have been reports that simple Pavlovian acquisition is significantly impaired rather than enhanced following optogenetic inhibition of OFC function in head fixed mice </w:t>
      </w:r>
      <w:r w:rsidRPr="00FB0BE9">
        <w:rPr>
          <w:sz w:val="24"/>
          <w:szCs w:val="24"/>
          <w:lang w:val="en-GB"/>
        </w:rPr>
        <w:fldChar w:fldCharType="begin" w:fldLock="1"/>
      </w:r>
      <w:r w:rsidR="00AF2A51" w:rsidRPr="00FB0BE9">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(Namboodiri et al., 2019;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305542" w:rsidRPr="00FB0BE9">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(Barreiros et al., 2020, 2021; Bradfield &amp; Hart, 2020; Sharpe et al., 2015)</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Pavlovian whereas medial OFC lesions disrupt instrumental behavioural control </w:t>
      </w:r>
      <w:r w:rsidRPr="00FB0BE9">
        <w:rPr>
          <w:sz w:val="24"/>
          <w:szCs w:val="24"/>
          <w:lang w:val="en-GB"/>
        </w:rPr>
        <w:fldChar w:fldCharType="begin" w:fldLock="1"/>
      </w:r>
      <w:r w:rsidR="00305542" w:rsidRPr="00FB0BE9">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(Bradfield et al., 2015, 2018; Gardner et al., 2017, 2018; McDannald et al., 2011; Ostlund &amp; Balleine, 2007; Panayi &amp; Killcross, 2018)</w:t>
      </w:r>
      <w:r w:rsidRPr="00FB0BE9">
        <w:rPr>
          <w:sz w:val="24"/>
          <w:szCs w:val="24"/>
          <w:lang w:val="en-GB"/>
        </w:rPr>
        <w:fldChar w:fldCharType="end"/>
      </w:r>
      <w:r w:rsidRPr="00FB0BE9">
        <w:rPr>
          <w:sz w:val="24"/>
          <w:szCs w:val="24"/>
          <w:lang w:val="en-GB"/>
        </w:rPr>
        <w:t>. This suggests that the OFC</w:t>
      </w:r>
      <w:proofErr w:type="gramStart"/>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is</w:t>
      </w:r>
      <w:proofErr w:type="gramEnd"/>
      <w:r w:rsidRPr="00FB0BE9">
        <w:rPr>
          <w:sz w:val="24"/>
          <w:szCs w:val="24"/>
          <w:lang w:val="en-GB"/>
        </w:rPr>
        <w:t xml:space="preserve">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lastRenderedPageBreak/>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441DA769" w14:textId="506CF170"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t>References</w:t>
      </w:r>
    </w:p>
    <w:p w14:paraId="225CB809" w14:textId="1AABFB4B" w:rsidR="00845961" w:rsidRPr="00845961" w:rsidRDefault="0075381C"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845961" w:rsidRPr="00845961">
        <w:rPr>
          <w:rFonts w:ascii="Times New Roman" w:hAnsi="Times New Roman" w:cs="Times New Roman"/>
          <w:noProof/>
          <w:sz w:val="24"/>
          <w:szCs w:val="24"/>
        </w:rPr>
        <w:t xml:space="preserve">Balleine, B. W., &amp; Killcross, A. S. (2006). Parallel incentive processing: an integrated view of amygdala function. </w:t>
      </w:r>
      <w:r w:rsidR="00845961" w:rsidRPr="00845961">
        <w:rPr>
          <w:rFonts w:ascii="Times New Roman" w:hAnsi="Times New Roman" w:cs="Times New Roman"/>
          <w:i/>
          <w:iCs/>
          <w:noProof/>
          <w:sz w:val="24"/>
          <w:szCs w:val="24"/>
        </w:rPr>
        <w:t>Trends in Neurosciences</w:t>
      </w:r>
      <w:r w:rsidR="00845961" w:rsidRPr="00845961">
        <w:rPr>
          <w:rFonts w:ascii="Times New Roman" w:hAnsi="Times New Roman" w:cs="Times New Roman"/>
          <w:noProof/>
          <w:sz w:val="24"/>
          <w:szCs w:val="24"/>
        </w:rPr>
        <w:t xml:space="preserve">, </w:t>
      </w:r>
      <w:r w:rsidR="00845961" w:rsidRPr="00845961">
        <w:rPr>
          <w:rFonts w:ascii="Times New Roman" w:hAnsi="Times New Roman" w:cs="Times New Roman"/>
          <w:i/>
          <w:iCs/>
          <w:noProof/>
          <w:sz w:val="24"/>
          <w:szCs w:val="24"/>
        </w:rPr>
        <w:t>29</w:t>
      </w:r>
      <w:r w:rsidR="00845961" w:rsidRPr="00845961">
        <w:rPr>
          <w:rFonts w:ascii="Times New Roman" w:hAnsi="Times New Roman" w:cs="Times New Roman"/>
          <w:noProof/>
          <w:sz w:val="24"/>
          <w:szCs w:val="24"/>
        </w:rPr>
        <w:t>(5), 272–279. https://doi.org/10.1016/j.tins.2006.03.002</w:t>
      </w:r>
    </w:p>
    <w:p w14:paraId="5A0D05B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Balleine, B. W., Leung, B. K., &amp; Ostlund, S. B. (2011). The orbitofrontal cortex, predicted value, and choice. </w:t>
      </w:r>
      <w:r w:rsidRPr="00845961">
        <w:rPr>
          <w:rFonts w:ascii="Times New Roman" w:hAnsi="Times New Roman" w:cs="Times New Roman"/>
          <w:i/>
          <w:iCs/>
          <w:noProof/>
          <w:sz w:val="24"/>
          <w:szCs w:val="24"/>
        </w:rPr>
        <w:t>Ann N Y Acad Sci</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1239</w:t>
      </w:r>
      <w:r w:rsidRPr="00845961">
        <w:rPr>
          <w:rFonts w:ascii="Times New Roman" w:hAnsi="Times New Roman" w:cs="Times New Roman"/>
          <w:noProof/>
          <w:sz w:val="24"/>
          <w:szCs w:val="24"/>
        </w:rPr>
        <w:t>, 43–50. https://doi.org/10.1111/j.1749-6632.2011.06270.x</w:t>
      </w:r>
    </w:p>
    <w:p w14:paraId="40A10C2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845961">
        <w:rPr>
          <w:rFonts w:ascii="Times New Roman" w:hAnsi="Times New Roman" w:cs="Times New Roman"/>
          <w:i/>
          <w:iCs/>
          <w:noProof/>
          <w:sz w:val="24"/>
          <w:szCs w:val="24"/>
        </w:rPr>
        <w:t>Behavioral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under review</w:t>
      </w:r>
      <w:r w:rsidRPr="00845961">
        <w:rPr>
          <w:rFonts w:ascii="Times New Roman" w:hAnsi="Times New Roman" w:cs="Times New Roman"/>
          <w:noProof/>
          <w:sz w:val="24"/>
          <w:szCs w:val="24"/>
        </w:rPr>
        <w:t>.</w:t>
      </w:r>
    </w:p>
    <w:p w14:paraId="7D5C29B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845961">
        <w:rPr>
          <w:rFonts w:ascii="Times New Roman" w:hAnsi="Times New Roman" w:cs="Times New Roman"/>
          <w:i/>
          <w:iCs/>
          <w:noProof/>
          <w:sz w:val="24"/>
          <w:szCs w:val="24"/>
        </w:rPr>
        <w:t>BioRxiv</w:t>
      </w:r>
      <w:r w:rsidRPr="00845961">
        <w:rPr>
          <w:rFonts w:ascii="Times New Roman" w:hAnsi="Times New Roman" w:cs="Times New Roman"/>
          <w:noProof/>
          <w:sz w:val="24"/>
          <w:szCs w:val="24"/>
        </w:rPr>
        <w:t xml:space="preserve">, 1–44. </w:t>
      </w:r>
      <w:r w:rsidRPr="00845961">
        <w:rPr>
          <w:rFonts w:ascii="Times New Roman" w:hAnsi="Times New Roman" w:cs="Times New Roman"/>
          <w:noProof/>
          <w:sz w:val="24"/>
          <w:szCs w:val="24"/>
        </w:rPr>
        <w:lastRenderedPageBreak/>
        <w:t>https://doi.org/https://doi.org/10.1101/2020.08.28.272591</w:t>
      </w:r>
    </w:p>
    <w:p w14:paraId="53B9C48C"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20</w:t>
      </w:r>
      <w:r w:rsidRPr="00845961">
        <w:rPr>
          <w:rFonts w:ascii="Times New Roman" w:hAnsi="Times New Roman" w:cs="Times New Roman"/>
          <w:noProof/>
          <w:sz w:val="24"/>
          <w:szCs w:val="24"/>
        </w:rPr>
        <w:t>(11), 4311–4319. http://www.jneurosci.org/content/20/11/4311.full.pdf</w:t>
      </w:r>
    </w:p>
    <w:p w14:paraId="18B611FE"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845961">
        <w:rPr>
          <w:rFonts w:ascii="Times New Roman" w:hAnsi="Times New Roman" w:cs="Times New Roman"/>
          <w:i/>
          <w:iCs/>
          <w:noProof/>
          <w:sz w:val="24"/>
          <w:szCs w:val="24"/>
        </w:rPr>
        <w:t>Behavioural Brain Research</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179</w:t>
      </w:r>
      <w:r w:rsidRPr="00845961">
        <w:rPr>
          <w:rFonts w:ascii="Times New Roman" w:hAnsi="Times New Roman" w:cs="Times New Roman"/>
          <w:noProof/>
          <w:sz w:val="24"/>
          <w:szCs w:val="24"/>
        </w:rPr>
        <w:t>(2), 219–228. https://doi.org/10.1016/j.bbr.2007.02.005</w:t>
      </w:r>
    </w:p>
    <w:p w14:paraId="1BDCFCA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845961">
        <w:rPr>
          <w:rFonts w:ascii="Times New Roman" w:hAnsi="Times New Roman" w:cs="Times New Roman"/>
          <w:i/>
          <w:iCs/>
          <w:noProof/>
          <w:sz w:val="24"/>
          <w:szCs w:val="24"/>
        </w:rPr>
        <w:t>Behavioural Brain Research</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197</w:t>
      </w:r>
      <w:r w:rsidRPr="00845961">
        <w:rPr>
          <w:rFonts w:ascii="Times New Roman" w:hAnsi="Times New Roman" w:cs="Times New Roman"/>
          <w:noProof/>
          <w:sz w:val="24"/>
          <w:szCs w:val="24"/>
        </w:rPr>
        <w:t>(2), 469–475. https://doi.org/10.1016/j.bbr.2008.10.005</w:t>
      </w:r>
    </w:p>
    <w:p w14:paraId="07D5D2DD"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88</w:t>
      </w:r>
      <w:r w:rsidRPr="00845961">
        <w:rPr>
          <w:rFonts w:ascii="Times New Roman" w:hAnsi="Times New Roman" w:cs="Times New Roman"/>
          <w:noProof/>
          <w:sz w:val="24"/>
          <w:szCs w:val="24"/>
        </w:rPr>
        <w:t>(6), 1268–1280. https://doi.org/10.1016/j.neuron.2015.10.044</w:t>
      </w:r>
    </w:p>
    <w:p w14:paraId="3107183E"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845961">
        <w:rPr>
          <w:rFonts w:ascii="Times New Roman" w:hAnsi="Times New Roman" w:cs="Times New Roman"/>
          <w:i/>
          <w:iCs/>
          <w:noProof/>
          <w:sz w:val="24"/>
          <w:szCs w:val="24"/>
        </w:rPr>
        <w:t>Neuroscience &amp; Biobehavioral Reviews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108</w:t>
      </w:r>
      <w:r w:rsidRPr="00845961">
        <w:rPr>
          <w:rFonts w:ascii="Times New Roman" w:hAnsi="Times New Roman" w:cs="Times New Roman"/>
          <w:noProof/>
          <w:sz w:val="24"/>
          <w:szCs w:val="24"/>
        </w:rPr>
        <w:t>, 287–294. https://doi.org/10.1016/J.NEUBIOREV.2019.11.009</w:t>
      </w:r>
    </w:p>
    <w:p w14:paraId="7839BF9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845961">
        <w:rPr>
          <w:rFonts w:ascii="Times New Roman" w:hAnsi="Times New Roman" w:cs="Times New Roman"/>
          <w:i/>
          <w:iCs/>
          <w:noProof/>
          <w:sz w:val="24"/>
          <w:szCs w:val="24"/>
        </w:rPr>
        <w:t>Neurobiology of Learning and Memory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155</w:t>
      </w:r>
      <w:r w:rsidRPr="00845961">
        <w:rPr>
          <w:rFonts w:ascii="Times New Roman" w:hAnsi="Times New Roman" w:cs="Times New Roman"/>
          <w:noProof/>
          <w:sz w:val="24"/>
          <w:szCs w:val="24"/>
        </w:rPr>
        <w:t>(May), 463–473. https://doi.org/10.1016/j.nlm.2018.09.008</w:t>
      </w:r>
    </w:p>
    <w:p w14:paraId="5A77DF1E"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Burke, K. A., Franz, T. M., Miller, D. N., &amp; Schoenbaum, G. (2007). Conditioned reinforcement can be mediated by either outcome-specific or general affective representations. </w:t>
      </w:r>
      <w:r w:rsidRPr="00845961">
        <w:rPr>
          <w:rFonts w:ascii="Times New Roman" w:hAnsi="Times New Roman" w:cs="Times New Roman"/>
          <w:i/>
          <w:iCs/>
          <w:noProof/>
          <w:sz w:val="24"/>
          <w:szCs w:val="24"/>
        </w:rPr>
        <w:t>Frontiers in Integrative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w:t>
      </w:r>
      <w:r w:rsidRPr="00845961">
        <w:rPr>
          <w:rFonts w:ascii="Times New Roman" w:hAnsi="Times New Roman" w:cs="Times New Roman"/>
          <w:noProof/>
          <w:sz w:val="24"/>
          <w:szCs w:val="24"/>
        </w:rPr>
        <w:t>, 2. https://doi.org/10.3389/neuro.07.002.2007</w:t>
      </w:r>
    </w:p>
    <w:p w14:paraId="43B7650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845961">
        <w:rPr>
          <w:rFonts w:ascii="Times New Roman" w:hAnsi="Times New Roman" w:cs="Times New Roman"/>
          <w:i/>
          <w:iCs/>
          <w:noProof/>
          <w:sz w:val="24"/>
          <w:szCs w:val="24"/>
        </w:rPr>
        <w:t>Nature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454</w:t>
      </w:r>
      <w:r w:rsidRPr="00845961">
        <w:rPr>
          <w:rFonts w:ascii="Times New Roman" w:hAnsi="Times New Roman" w:cs="Times New Roman"/>
          <w:noProof/>
          <w:sz w:val="24"/>
          <w:szCs w:val="24"/>
        </w:rPr>
        <w:t>(7202), 340-U45. https://doi.org/Doi 10.1038/Nature06993</w:t>
      </w:r>
    </w:p>
    <w:p w14:paraId="6DABA34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845961">
        <w:rPr>
          <w:rFonts w:ascii="Times New Roman" w:hAnsi="Times New Roman" w:cs="Times New Roman"/>
          <w:i/>
          <w:iCs/>
          <w:noProof/>
          <w:sz w:val="24"/>
          <w:szCs w:val="24"/>
        </w:rPr>
        <w:t>European 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30</w:t>
      </w:r>
      <w:r w:rsidRPr="00845961">
        <w:rPr>
          <w:rFonts w:ascii="Times New Roman" w:hAnsi="Times New Roman" w:cs="Times New Roman"/>
          <w:noProof/>
          <w:sz w:val="24"/>
          <w:szCs w:val="24"/>
        </w:rPr>
        <w:t>(10), 1941–1946. https://doi.org/DOI 10.1111/j.1460-9568.2009.06992.x</w:t>
      </w:r>
    </w:p>
    <w:p w14:paraId="6CA467B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845961">
        <w:rPr>
          <w:rFonts w:ascii="Times New Roman" w:hAnsi="Times New Roman" w:cs="Times New Roman"/>
          <w:i/>
          <w:iCs/>
          <w:noProof/>
          <w:sz w:val="24"/>
          <w:szCs w:val="24"/>
        </w:rPr>
        <w:t>Physiol. Behav</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4</w:t>
      </w:r>
      <w:r w:rsidRPr="00845961">
        <w:rPr>
          <w:rFonts w:ascii="Times New Roman" w:hAnsi="Times New Roman" w:cs="Times New Roman"/>
          <w:noProof/>
          <w:sz w:val="24"/>
          <w:szCs w:val="24"/>
        </w:rPr>
        <w:t>, 163–171.</w:t>
      </w:r>
    </w:p>
    <w:p w14:paraId="7A2B878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23</w:t>
      </w:r>
      <w:r w:rsidRPr="00845961">
        <w:rPr>
          <w:rFonts w:ascii="Times New Roman" w:hAnsi="Times New Roman" w:cs="Times New Roman"/>
          <w:noProof/>
          <w:sz w:val="24"/>
          <w:szCs w:val="24"/>
        </w:rPr>
        <w:t>(25), 8771–8780. https://doi.org/23/25/8771 [pii]</w:t>
      </w:r>
    </w:p>
    <w:p w14:paraId="72FA70B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Collins, A. G. E., &amp; Cockburn, J. (2020). Beyond dichotomies in reinforcement learning. </w:t>
      </w:r>
      <w:r w:rsidRPr="00845961">
        <w:rPr>
          <w:rFonts w:ascii="Times New Roman" w:hAnsi="Times New Roman" w:cs="Times New Roman"/>
          <w:i/>
          <w:iCs/>
          <w:noProof/>
          <w:sz w:val="24"/>
          <w:szCs w:val="24"/>
        </w:rPr>
        <w:t>Nature Reviews Neuroscience</w:t>
      </w:r>
      <w:r w:rsidRPr="00845961">
        <w:rPr>
          <w:rFonts w:ascii="Times New Roman" w:hAnsi="Times New Roman" w:cs="Times New Roman"/>
          <w:noProof/>
          <w:sz w:val="24"/>
          <w:szCs w:val="24"/>
        </w:rPr>
        <w:t>. https://doi.org/10.1038/s41583-020-0355-6</w:t>
      </w:r>
    </w:p>
    <w:p w14:paraId="0CC2613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845961">
        <w:rPr>
          <w:rFonts w:ascii="Times New Roman" w:hAnsi="Times New Roman" w:cs="Times New Roman"/>
          <w:i/>
          <w:iCs/>
          <w:noProof/>
          <w:sz w:val="24"/>
          <w:szCs w:val="24"/>
        </w:rPr>
        <w:t>Behavioural Brain Research</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146</w:t>
      </w:r>
      <w:r w:rsidRPr="00845961">
        <w:rPr>
          <w:rFonts w:ascii="Times New Roman" w:hAnsi="Times New Roman" w:cs="Times New Roman"/>
          <w:noProof/>
          <w:sz w:val="24"/>
          <w:szCs w:val="24"/>
        </w:rPr>
        <w:t>(1–2), 167–174. http://www.sciencedirect.com/science/article/pii/S0166432803003498</w:t>
      </w:r>
    </w:p>
    <w:p w14:paraId="18183AE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Delamater, A. R. (2004). Experimental extinction in Pavlovian conditioning: Behavioural and neuroscience perspectives. </w:t>
      </w:r>
      <w:r w:rsidRPr="00845961">
        <w:rPr>
          <w:rFonts w:ascii="Times New Roman" w:hAnsi="Times New Roman" w:cs="Times New Roman"/>
          <w:i/>
          <w:iCs/>
          <w:noProof/>
          <w:sz w:val="24"/>
          <w:szCs w:val="24"/>
        </w:rPr>
        <w:t>Quarterly Journal of Experimental Psychology Section B-Comparative and Physiological Psychology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57</w:t>
      </w:r>
      <w:r w:rsidRPr="00845961">
        <w:rPr>
          <w:rFonts w:ascii="Times New Roman" w:hAnsi="Times New Roman" w:cs="Times New Roman"/>
          <w:noProof/>
          <w:sz w:val="24"/>
          <w:szCs w:val="24"/>
        </w:rPr>
        <w:t>(2), 97–132. https://doi.org/Doi 10.1080/02724990344000097</w:t>
      </w:r>
    </w:p>
    <w:p w14:paraId="74983AB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845961">
        <w:rPr>
          <w:rFonts w:ascii="Times New Roman" w:hAnsi="Times New Roman" w:cs="Times New Roman"/>
          <w:i/>
          <w:iCs/>
          <w:noProof/>
          <w:sz w:val="24"/>
          <w:szCs w:val="24"/>
        </w:rPr>
        <w:t>Linking Affect to Action: Critical Contributions of the Orbitofrontal Cortex</w:t>
      </w:r>
      <w:r w:rsidRPr="00845961">
        <w:rPr>
          <w:rFonts w:ascii="Times New Roman" w:hAnsi="Times New Roman" w:cs="Times New Roman"/>
          <w:noProof/>
          <w:sz w:val="24"/>
          <w:szCs w:val="24"/>
        </w:rPr>
        <w:t xml:space="preserve"> (Vol. 1121, pp. 152–173). Blackwell Publishing. https://doi.org/10.1196/annals.1401.030</w:t>
      </w:r>
    </w:p>
    <w:p w14:paraId="0F11119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845961">
        <w:rPr>
          <w:rFonts w:ascii="Times New Roman" w:hAnsi="Times New Roman" w:cs="Times New Roman"/>
          <w:i/>
          <w:iCs/>
          <w:noProof/>
          <w:sz w:val="24"/>
          <w:szCs w:val="24"/>
        </w:rPr>
        <w:t>Journal of Experimental Psychology-Animal Behavior Processes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34</w:t>
      </w:r>
      <w:r w:rsidRPr="00845961">
        <w:rPr>
          <w:rFonts w:ascii="Times New Roman" w:hAnsi="Times New Roman" w:cs="Times New Roman"/>
          <w:noProof/>
          <w:sz w:val="24"/>
          <w:szCs w:val="24"/>
        </w:rPr>
        <w:t>(2), 202–222. https://doi.org/Doi 10.1037/0097-7403.34.2.202</w:t>
      </w:r>
    </w:p>
    <w:p w14:paraId="1CDC8D9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Delamater, A. R., &amp; Oakeshott, S. (2007). Learning about multiple attributes of reward in Pavlovian conditioning. </w:t>
      </w:r>
      <w:r w:rsidRPr="00845961">
        <w:rPr>
          <w:rFonts w:ascii="Times New Roman" w:hAnsi="Times New Roman" w:cs="Times New Roman"/>
          <w:i/>
          <w:iCs/>
          <w:noProof/>
          <w:sz w:val="24"/>
          <w:szCs w:val="24"/>
        </w:rPr>
        <w:t>Annals of the New York Academy of Sciences</w:t>
      </w:r>
      <w:r w:rsidRPr="00845961">
        <w:rPr>
          <w:rFonts w:ascii="Times New Roman" w:hAnsi="Times New Roman" w:cs="Times New Roman"/>
          <w:noProof/>
          <w:sz w:val="24"/>
          <w:szCs w:val="24"/>
        </w:rPr>
        <w:t>. https://doi.org/10.1196/annals.1390.008</w:t>
      </w:r>
    </w:p>
    <w:p w14:paraId="5431D65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Dias, R., Robbins, T. W., &amp; Roberts, A. C. (1996). Dissociation in prefrontal cortex of affective and attentional shifts. </w:t>
      </w:r>
      <w:r w:rsidRPr="00845961">
        <w:rPr>
          <w:rFonts w:ascii="Times New Roman" w:hAnsi="Times New Roman" w:cs="Times New Roman"/>
          <w:i/>
          <w:iCs/>
          <w:noProof/>
          <w:sz w:val="24"/>
          <w:szCs w:val="24"/>
        </w:rPr>
        <w:t>Nature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380</w:t>
      </w:r>
      <w:r w:rsidRPr="00845961">
        <w:rPr>
          <w:rFonts w:ascii="Times New Roman" w:hAnsi="Times New Roman" w:cs="Times New Roman"/>
          <w:noProof/>
          <w:sz w:val="24"/>
          <w:szCs w:val="24"/>
        </w:rPr>
        <w:t>(6569), 69–72. https://doi.org/10.1038/380069a0</w:t>
      </w:r>
    </w:p>
    <w:p w14:paraId="16F8AFA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Dickinson, A. (1980). Contemporary animal learning theory. In J. Gray (Ed.), </w:t>
      </w:r>
      <w:r w:rsidRPr="00845961">
        <w:rPr>
          <w:rFonts w:ascii="Times New Roman" w:hAnsi="Times New Roman" w:cs="Times New Roman"/>
          <w:i/>
          <w:iCs/>
          <w:noProof/>
          <w:sz w:val="24"/>
          <w:szCs w:val="24"/>
        </w:rPr>
        <w:t>Problems in the behavioural sciences</w:t>
      </w:r>
      <w:r w:rsidRPr="00845961">
        <w:rPr>
          <w:rFonts w:ascii="Times New Roman" w:hAnsi="Times New Roman" w:cs="Times New Roman"/>
          <w:noProof/>
          <w:sz w:val="24"/>
          <w:szCs w:val="24"/>
        </w:rPr>
        <w:t>. Cambridge University Press.</w:t>
      </w:r>
    </w:p>
    <w:p w14:paraId="5D788B83"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Dickinson, A. (1985). Actions and Habits : The Development of Behavioural Autonomy. </w:t>
      </w:r>
      <w:r w:rsidRPr="00845961">
        <w:rPr>
          <w:rFonts w:ascii="Times New Roman" w:hAnsi="Times New Roman" w:cs="Times New Roman"/>
          <w:i/>
          <w:iCs/>
          <w:noProof/>
          <w:sz w:val="24"/>
          <w:szCs w:val="24"/>
        </w:rPr>
        <w:t>Philosophical Transactions of the Royal Society of London. Series B, Biological Sciences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308</w:t>
      </w:r>
      <w:r w:rsidRPr="00845961">
        <w:rPr>
          <w:rFonts w:ascii="Times New Roman" w:hAnsi="Times New Roman" w:cs="Times New Roman"/>
          <w:noProof/>
          <w:sz w:val="24"/>
          <w:szCs w:val="24"/>
        </w:rPr>
        <w:t>(1135), 67–78. http://www.jstor.org/stable/2396284</w:t>
      </w:r>
    </w:p>
    <w:p w14:paraId="748D109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Dickinson, A., &amp; Balleine, B. W. (2002). The Role of Learning in the Operation of Motivational Systems. In </w:t>
      </w:r>
      <w:r w:rsidRPr="00845961">
        <w:rPr>
          <w:rFonts w:ascii="Times New Roman" w:hAnsi="Times New Roman" w:cs="Times New Roman"/>
          <w:i/>
          <w:iCs/>
          <w:noProof/>
          <w:sz w:val="24"/>
          <w:szCs w:val="24"/>
        </w:rPr>
        <w:t>Stevens’ Handbook of Experimental Psychology</w:t>
      </w:r>
      <w:r w:rsidRPr="00845961">
        <w:rPr>
          <w:rFonts w:ascii="Times New Roman" w:hAnsi="Times New Roman" w:cs="Times New Roman"/>
          <w:noProof/>
          <w:sz w:val="24"/>
          <w:szCs w:val="24"/>
        </w:rPr>
        <w:t>. John Wiley &amp; Sons, Inc. https://doi.org/10.1002/0471214426.pas0312</w:t>
      </w:r>
    </w:p>
    <w:p w14:paraId="62C2F95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Dolan, R. J., &amp; Dayan, P. (2013). Goals and habits in the brain.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80</w:t>
      </w:r>
      <w:r w:rsidRPr="00845961">
        <w:rPr>
          <w:rFonts w:ascii="Times New Roman" w:hAnsi="Times New Roman" w:cs="Times New Roman"/>
          <w:noProof/>
          <w:sz w:val="24"/>
          <w:szCs w:val="24"/>
        </w:rPr>
        <w:t>(2), 312–325. https://doi.org/10.1016/j.neuron.2013.09.007</w:t>
      </w:r>
    </w:p>
    <w:p w14:paraId="6CE4D30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845961">
        <w:rPr>
          <w:rFonts w:ascii="Times New Roman" w:hAnsi="Times New Roman" w:cs="Times New Roman"/>
          <w:i/>
          <w:iCs/>
          <w:noProof/>
          <w:sz w:val="24"/>
          <w:szCs w:val="24"/>
        </w:rPr>
        <w:t>Proceedings of the Royal Society B-Biological Sciences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278</w:t>
      </w:r>
      <w:r w:rsidRPr="00845961">
        <w:rPr>
          <w:rFonts w:ascii="Times New Roman" w:hAnsi="Times New Roman" w:cs="Times New Roman"/>
          <w:noProof/>
          <w:sz w:val="24"/>
          <w:szCs w:val="24"/>
        </w:rPr>
        <w:t>(1718), 2553–2561. https://doi.org/DOI 10.1098/rspb.2011.0836</w:t>
      </w:r>
    </w:p>
    <w:p w14:paraId="21808B83"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19</w:t>
      </w:r>
      <w:r w:rsidRPr="00845961">
        <w:rPr>
          <w:rFonts w:ascii="Times New Roman" w:hAnsi="Times New Roman" w:cs="Times New Roman"/>
          <w:noProof/>
          <w:sz w:val="24"/>
          <w:szCs w:val="24"/>
        </w:rPr>
        <w:t>(15), 6610–6614. http://www.jneurosci.org/cgi/reprint/19/15/6610.pdf</w:t>
      </w:r>
    </w:p>
    <w:p w14:paraId="5B74DDA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845961">
        <w:rPr>
          <w:rFonts w:ascii="Times New Roman" w:hAnsi="Times New Roman" w:cs="Times New Roman"/>
          <w:i/>
          <w:iCs/>
          <w:noProof/>
          <w:sz w:val="24"/>
          <w:szCs w:val="24"/>
        </w:rPr>
        <w:t>Current Biology</w:t>
      </w:r>
      <w:r w:rsidRPr="00845961">
        <w:rPr>
          <w:rFonts w:ascii="Times New Roman" w:hAnsi="Times New Roman" w:cs="Times New Roman"/>
          <w:noProof/>
          <w:sz w:val="24"/>
          <w:szCs w:val="24"/>
        </w:rPr>
        <w:t>. https://doi.org/10.1016/j.cub.2019.10.058</w:t>
      </w:r>
    </w:p>
    <w:p w14:paraId="2D68514C"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7</w:t>
      </w:r>
      <w:r w:rsidRPr="00845961">
        <w:rPr>
          <w:rFonts w:ascii="Times New Roman" w:hAnsi="Times New Roman" w:cs="Times New Roman"/>
          <w:noProof/>
          <w:sz w:val="24"/>
          <w:szCs w:val="24"/>
        </w:rPr>
        <w:t>. https://doi.org/10.7554/eLife.38963</w:t>
      </w:r>
    </w:p>
    <w:p w14:paraId="16038D3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0</w:t>
      </w:r>
      <w:r w:rsidRPr="00845961">
        <w:rPr>
          <w:rFonts w:ascii="Times New Roman" w:hAnsi="Times New Roman" w:cs="Times New Roman"/>
          <w:noProof/>
          <w:sz w:val="24"/>
          <w:szCs w:val="24"/>
        </w:rPr>
        <w:t>(0). https://doi.org/10.1016/j.neuron.2017.10.026</w:t>
      </w:r>
    </w:p>
    <w:p w14:paraId="214DC1E3"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Hall, G. (2002). Associative structures in Pavlovian and instrumental conditioning. In C. R. Gallistel (Ed.), </w:t>
      </w:r>
      <w:r w:rsidRPr="00845961">
        <w:rPr>
          <w:rFonts w:ascii="Times New Roman" w:hAnsi="Times New Roman" w:cs="Times New Roman"/>
          <w:i/>
          <w:iCs/>
          <w:noProof/>
          <w:sz w:val="24"/>
          <w:szCs w:val="24"/>
        </w:rPr>
        <w:t>Steven’s handbook of experimental psychology</w:t>
      </w:r>
      <w:r w:rsidRPr="00845961">
        <w:rPr>
          <w:rFonts w:ascii="Times New Roman" w:hAnsi="Times New Roman" w:cs="Times New Roman"/>
          <w:noProof/>
          <w:sz w:val="24"/>
          <w:szCs w:val="24"/>
        </w:rPr>
        <w:t xml:space="preserve"> (Vol. 3, pp. 1–45). John Wiley &amp; Sons.</w:t>
      </w:r>
    </w:p>
    <w:p w14:paraId="3F13F6C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Holland, P. C. (1977). Conditioned stimulus as a determinant of the form of the Pavlovian conditioned response. </w:t>
      </w:r>
      <w:r w:rsidRPr="00845961">
        <w:rPr>
          <w:rFonts w:ascii="Times New Roman" w:hAnsi="Times New Roman" w:cs="Times New Roman"/>
          <w:i/>
          <w:iCs/>
          <w:noProof/>
          <w:sz w:val="24"/>
          <w:szCs w:val="24"/>
        </w:rPr>
        <w:t>J Exp Psychol Anim Behav Process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w:t>
      </w:r>
      <w:r w:rsidRPr="00845961">
        <w:rPr>
          <w:rFonts w:ascii="Times New Roman" w:hAnsi="Times New Roman" w:cs="Times New Roman"/>
          <w:noProof/>
          <w:sz w:val="24"/>
          <w:szCs w:val="24"/>
        </w:rPr>
        <w:t>(1), 77–104. http://www.ncbi.nlm.nih.gov/pubmed/845545</w:t>
      </w:r>
    </w:p>
    <w:p w14:paraId="7BF038C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845961">
        <w:rPr>
          <w:rFonts w:ascii="Times New Roman" w:hAnsi="Times New Roman" w:cs="Times New Roman"/>
          <w:i/>
          <w:iCs/>
          <w:noProof/>
          <w:sz w:val="24"/>
          <w:szCs w:val="24"/>
        </w:rPr>
        <w:t>Experimental Brain Research</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11</w:t>
      </w:r>
      <w:r w:rsidRPr="00845961">
        <w:rPr>
          <w:rFonts w:ascii="Times New Roman" w:hAnsi="Times New Roman" w:cs="Times New Roman"/>
          <w:noProof/>
          <w:sz w:val="24"/>
          <w:szCs w:val="24"/>
        </w:rPr>
        <w:t>(4), 376–386. http://www.ncbi.nlm.nih.gov/pubmed/4993199</w:t>
      </w:r>
    </w:p>
    <w:p w14:paraId="49BEA1AD"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Izquierdo, A. D. (2017). Functional Heterogeneity within Rat Orbitofrontal Cortex in Reward Learning and Decision Making. </w:t>
      </w:r>
      <w:r w:rsidRPr="00845961">
        <w:rPr>
          <w:rFonts w:ascii="Times New Roman" w:hAnsi="Times New Roman" w:cs="Times New Roman"/>
          <w:i/>
          <w:iCs/>
          <w:noProof/>
          <w:sz w:val="24"/>
          <w:szCs w:val="24"/>
        </w:rPr>
        <w:t>The Journal of Neuroscience : The Official Journal of the Society for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37</w:t>
      </w:r>
      <w:r w:rsidRPr="00845961">
        <w:rPr>
          <w:rFonts w:ascii="Times New Roman" w:hAnsi="Times New Roman" w:cs="Times New Roman"/>
          <w:noProof/>
          <w:sz w:val="24"/>
          <w:szCs w:val="24"/>
        </w:rPr>
        <w:t>(44), 10529–10540. https://doi.org/10.1523/JNEUROSCI.1678-17.2017</w:t>
      </w:r>
    </w:p>
    <w:p w14:paraId="314D4809"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Kamin, L. J. (1969). Predictability, surprise, attention and conditioning. In B. A. Campbell &amp; R. M. Church (Eds.), </w:t>
      </w:r>
      <w:r w:rsidRPr="00845961">
        <w:rPr>
          <w:rFonts w:ascii="Times New Roman" w:hAnsi="Times New Roman" w:cs="Times New Roman"/>
          <w:i/>
          <w:iCs/>
          <w:noProof/>
          <w:sz w:val="24"/>
          <w:szCs w:val="24"/>
        </w:rPr>
        <w:t>Punishment and aversive behavior</w:t>
      </w:r>
      <w:r w:rsidRPr="00845961">
        <w:rPr>
          <w:rFonts w:ascii="Times New Roman" w:hAnsi="Times New Roman" w:cs="Times New Roman"/>
          <w:noProof/>
          <w:sz w:val="24"/>
          <w:szCs w:val="24"/>
        </w:rPr>
        <w:t xml:space="preserve"> (pp. 279–96). Appleton-Century-Crofts.</w:t>
      </w:r>
    </w:p>
    <w:p w14:paraId="7CD1411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Killcross, A. S., &amp; Blundell, P. (2002). Associative representations of emotionally significant outcomes. In S. C. Moore &amp; M. Oaksford (Eds.), </w:t>
      </w:r>
      <w:r w:rsidRPr="00845961">
        <w:rPr>
          <w:rFonts w:ascii="Times New Roman" w:hAnsi="Times New Roman" w:cs="Times New Roman"/>
          <w:i/>
          <w:iCs/>
          <w:noProof/>
          <w:sz w:val="24"/>
          <w:szCs w:val="24"/>
        </w:rPr>
        <w:t>Emotional Cognition: From brain to behaviour</w:t>
      </w:r>
      <w:r w:rsidRPr="00845961">
        <w:rPr>
          <w:rFonts w:ascii="Times New Roman" w:hAnsi="Times New Roman" w:cs="Times New Roman"/>
          <w:noProof/>
          <w:sz w:val="24"/>
          <w:szCs w:val="24"/>
        </w:rPr>
        <w:t xml:space="preserve"> (Vol. 44, pp. 35–74). John Benjamins Publishing Company.</w:t>
      </w:r>
    </w:p>
    <w:p w14:paraId="02BB9FB9"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Killcross, A. S., &amp; Coutureau, E. (2003). Coordination of actions and habits in the medial prefrontal cortex of rats. </w:t>
      </w:r>
      <w:r w:rsidRPr="00845961">
        <w:rPr>
          <w:rFonts w:ascii="Times New Roman" w:hAnsi="Times New Roman" w:cs="Times New Roman"/>
          <w:i/>
          <w:iCs/>
          <w:noProof/>
          <w:sz w:val="24"/>
          <w:szCs w:val="24"/>
        </w:rPr>
        <w:t>Cerebral Cortex</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13</w:t>
      </w:r>
      <w:r w:rsidRPr="00845961">
        <w:rPr>
          <w:rFonts w:ascii="Times New Roman" w:hAnsi="Times New Roman" w:cs="Times New Roman"/>
          <w:noProof/>
          <w:sz w:val="24"/>
          <w:szCs w:val="24"/>
        </w:rPr>
        <w:t>(4), 400–408. http://cercor.oxfordjournals.org/cgi/reprint/13/4/400.pdf</w:t>
      </w:r>
    </w:p>
    <w:p w14:paraId="72EB39D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Kim, D., Park, G. Y., O′Doherty, J. P., &amp; Lee, S. W. (2019). Task complexity interacts with state-space uncertainty in the arbitration between model-based and model-free learning. </w:t>
      </w:r>
      <w:r w:rsidRPr="00845961">
        <w:rPr>
          <w:rFonts w:ascii="Times New Roman" w:hAnsi="Times New Roman" w:cs="Times New Roman"/>
          <w:i/>
          <w:iCs/>
          <w:noProof/>
          <w:sz w:val="24"/>
          <w:szCs w:val="24"/>
        </w:rPr>
        <w:t>Nature Communications</w:t>
      </w:r>
      <w:r w:rsidRPr="00845961">
        <w:rPr>
          <w:rFonts w:ascii="Times New Roman" w:hAnsi="Times New Roman" w:cs="Times New Roman"/>
          <w:noProof/>
          <w:sz w:val="24"/>
          <w:szCs w:val="24"/>
        </w:rPr>
        <w:t>. https://doi.org/10.1038/s41467-019-13632-1</w:t>
      </w:r>
    </w:p>
    <w:p w14:paraId="45180CA9"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33</w:t>
      </w:r>
      <w:r w:rsidRPr="00845961">
        <w:rPr>
          <w:rFonts w:ascii="Times New Roman" w:hAnsi="Times New Roman" w:cs="Times New Roman"/>
          <w:noProof/>
          <w:sz w:val="24"/>
          <w:szCs w:val="24"/>
        </w:rPr>
        <w:t>, 3202–3211. http://www.jneurosci.org/content/33/7/3202.full.pdf</w:t>
      </w:r>
    </w:p>
    <w:p w14:paraId="46AA887C"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Konorski, J. (1967). </w:t>
      </w:r>
      <w:r w:rsidRPr="00845961">
        <w:rPr>
          <w:rFonts w:ascii="Times New Roman" w:hAnsi="Times New Roman" w:cs="Times New Roman"/>
          <w:i/>
          <w:iCs/>
          <w:noProof/>
          <w:sz w:val="24"/>
          <w:szCs w:val="24"/>
        </w:rPr>
        <w:t>Integrative activity of the brain; an interdisciplinary approach</w:t>
      </w:r>
      <w:r w:rsidRPr="00845961">
        <w:rPr>
          <w:rFonts w:ascii="Times New Roman" w:hAnsi="Times New Roman" w:cs="Times New Roman"/>
          <w:noProof/>
          <w:sz w:val="24"/>
          <w:szCs w:val="24"/>
        </w:rPr>
        <w:t>. University of Chicago Press.</w:t>
      </w:r>
    </w:p>
    <w:p w14:paraId="1742D5C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Kool, W., Cushman, F. A., &amp; Gershman, S. J. (2018). Competition and cooperation between multiple reinforcement learning systems. In </w:t>
      </w:r>
      <w:r w:rsidRPr="00845961">
        <w:rPr>
          <w:rFonts w:ascii="Times New Roman" w:hAnsi="Times New Roman" w:cs="Times New Roman"/>
          <w:i/>
          <w:iCs/>
          <w:noProof/>
          <w:sz w:val="24"/>
          <w:szCs w:val="24"/>
        </w:rPr>
        <w:t>Goal-Directed Decision Making: Computations and Neural Circuits</w:t>
      </w:r>
      <w:r w:rsidRPr="00845961">
        <w:rPr>
          <w:rFonts w:ascii="Times New Roman" w:hAnsi="Times New Roman" w:cs="Times New Roman"/>
          <w:noProof/>
          <w:sz w:val="24"/>
          <w:szCs w:val="24"/>
        </w:rPr>
        <w:t>. Elsevier Inc. https://doi.org/10.1016/B978-0-12-812098-9.00007-3</w:t>
      </w:r>
    </w:p>
    <w:p w14:paraId="7A0F7613"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Kringelbach, M. L. (2005). The human orbitofrontal cortex: Linking reward to hedonic experience. </w:t>
      </w:r>
      <w:r w:rsidRPr="00845961">
        <w:rPr>
          <w:rFonts w:ascii="Times New Roman" w:hAnsi="Times New Roman" w:cs="Times New Roman"/>
          <w:i/>
          <w:iCs/>
          <w:noProof/>
          <w:sz w:val="24"/>
          <w:szCs w:val="24"/>
        </w:rPr>
        <w:t>Nature Reviews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6</w:t>
      </w:r>
      <w:r w:rsidRPr="00845961">
        <w:rPr>
          <w:rFonts w:ascii="Times New Roman" w:hAnsi="Times New Roman" w:cs="Times New Roman"/>
          <w:noProof/>
          <w:sz w:val="24"/>
          <w:szCs w:val="24"/>
        </w:rPr>
        <w:t>(9), 691–702. https://doi.org/Doi 10.1038/Nrn1747</w:t>
      </w:r>
    </w:p>
    <w:p w14:paraId="3E31A7B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845961">
        <w:rPr>
          <w:rFonts w:ascii="Times New Roman" w:hAnsi="Times New Roman" w:cs="Times New Roman"/>
          <w:i/>
          <w:iCs/>
          <w:noProof/>
          <w:sz w:val="24"/>
          <w:szCs w:val="24"/>
        </w:rPr>
        <w:t>European 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30</w:t>
      </w:r>
      <w:r w:rsidRPr="00845961">
        <w:rPr>
          <w:rFonts w:ascii="Times New Roman" w:hAnsi="Times New Roman" w:cs="Times New Roman"/>
          <w:noProof/>
          <w:sz w:val="24"/>
          <w:szCs w:val="24"/>
        </w:rPr>
        <w:t>(7), 1370–1381. https://doi.org/10.1111/j.1460-9568.2009.06906.x</w:t>
      </w:r>
    </w:p>
    <w:p w14:paraId="11FD132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Lee, S., Shimojo, S., &amp; O’Doherty, J. (2014). Neural computations underlying arbitration between model-based and model-free learning.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81</w:t>
      </w:r>
      <w:r w:rsidRPr="00845961">
        <w:rPr>
          <w:rFonts w:ascii="Times New Roman" w:hAnsi="Times New Roman" w:cs="Times New Roman"/>
          <w:noProof/>
          <w:sz w:val="24"/>
          <w:szCs w:val="24"/>
        </w:rPr>
        <w:t>(3), 687–699. https://doi.org/10.1016/j.neuron.2013.11.028.Neural</w:t>
      </w:r>
    </w:p>
    <w:p w14:paraId="34D4343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Lenth, R., Singmann, H., Love, J., Buerkner, P., &amp; Herve, M. (2020). emmeans: estimated marginal means. R package version 1.4. 4. In </w:t>
      </w:r>
      <w:r w:rsidRPr="00845961">
        <w:rPr>
          <w:rFonts w:ascii="Times New Roman" w:hAnsi="Times New Roman" w:cs="Times New Roman"/>
          <w:i/>
          <w:iCs/>
          <w:noProof/>
          <w:sz w:val="24"/>
          <w:szCs w:val="24"/>
        </w:rPr>
        <w:t>The American Statistician</w:t>
      </w:r>
      <w:r w:rsidRPr="00845961">
        <w:rPr>
          <w:rFonts w:ascii="Times New Roman" w:hAnsi="Times New Roman" w:cs="Times New Roman"/>
          <w:noProof/>
          <w:sz w:val="24"/>
          <w:szCs w:val="24"/>
        </w:rPr>
        <w:t>. https://doi.org/10.1080/00031305.1980.10483031</w:t>
      </w:r>
    </w:p>
    <w:p w14:paraId="4BE4815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LePelley, M. E. (2004). The role of associative history in models of associative learning: A selective review and a hybrid model. </w:t>
      </w:r>
      <w:r w:rsidRPr="00845961">
        <w:rPr>
          <w:rFonts w:ascii="Times New Roman" w:hAnsi="Times New Roman" w:cs="Times New Roman"/>
          <w:i/>
          <w:iCs/>
          <w:noProof/>
          <w:sz w:val="24"/>
          <w:szCs w:val="24"/>
        </w:rPr>
        <w:t>Quarterly Journal of Experimental Psychology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57B</w:t>
      </w:r>
      <w:r w:rsidRPr="00845961">
        <w:rPr>
          <w:rFonts w:ascii="Times New Roman" w:hAnsi="Times New Roman" w:cs="Times New Roman"/>
          <w:noProof/>
          <w:sz w:val="24"/>
          <w:szCs w:val="24"/>
        </w:rPr>
        <w:t>, 192–243.</w:t>
      </w:r>
    </w:p>
    <w:p w14:paraId="1842D28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Lopatina, N., McDannald, M. A., Steyer, C. V, Sadacca, B. F., Cheer, J. F., &amp; Schoenbaum, G. (2015). Lateral orbitofrontal neurons acquire responses to upshifted, downshifted, or blocked cues during unblocking.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4</w:t>
      </w:r>
      <w:r w:rsidRPr="00845961">
        <w:rPr>
          <w:rFonts w:ascii="Times New Roman" w:hAnsi="Times New Roman" w:cs="Times New Roman"/>
          <w:noProof/>
          <w:sz w:val="24"/>
          <w:szCs w:val="24"/>
        </w:rPr>
        <w:t>, e11299. https://doi.org/10.7554/eLife.11299</w:t>
      </w:r>
    </w:p>
    <w:p w14:paraId="569267E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Mackintosh, N. J. (1974). </w:t>
      </w:r>
      <w:r w:rsidRPr="00845961">
        <w:rPr>
          <w:rFonts w:ascii="Times New Roman" w:hAnsi="Times New Roman" w:cs="Times New Roman"/>
          <w:i/>
          <w:iCs/>
          <w:noProof/>
          <w:sz w:val="24"/>
          <w:szCs w:val="24"/>
        </w:rPr>
        <w:t>The psychology of animal learning</w:t>
      </w:r>
      <w:r w:rsidRPr="00845961">
        <w:rPr>
          <w:rFonts w:ascii="Times New Roman" w:hAnsi="Times New Roman" w:cs="Times New Roman"/>
          <w:noProof/>
          <w:sz w:val="24"/>
          <w:szCs w:val="24"/>
        </w:rPr>
        <w:t>. Academic Press.</w:t>
      </w:r>
    </w:p>
    <w:p w14:paraId="49A9800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Mackintosh, N. J. (1975). A theory of attention: Variations in the associability of stimuli with reinforcement. </w:t>
      </w:r>
      <w:r w:rsidRPr="00845961">
        <w:rPr>
          <w:rFonts w:ascii="Times New Roman" w:hAnsi="Times New Roman" w:cs="Times New Roman"/>
          <w:i/>
          <w:iCs/>
          <w:noProof/>
          <w:sz w:val="24"/>
          <w:szCs w:val="24"/>
        </w:rPr>
        <w:t>Psychol Rev</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82</w:t>
      </w:r>
      <w:r w:rsidRPr="00845961">
        <w:rPr>
          <w:rFonts w:ascii="Times New Roman" w:hAnsi="Times New Roman" w:cs="Times New Roman"/>
          <w:noProof/>
          <w:sz w:val="24"/>
          <w:szCs w:val="24"/>
        </w:rPr>
        <w:t>(4), 279–298. https://doi.org/10.1037/h0076778</w:t>
      </w:r>
    </w:p>
    <w:p w14:paraId="06A18EB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McDannald, M. A., Esber, G. R., Wegener, M. A., Wied, H. M., Tzu-Lan, L., Stalnaker, T. A., Jones, J. L., Trageser, J., &amp; Schoenbaum, G. (2014). Orbitofrontal neurons acquire responses to “valueless” Pavlovian cues during unblocking.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w:t>
      </w:r>
      <w:r w:rsidRPr="00845961">
        <w:rPr>
          <w:rFonts w:ascii="Times New Roman" w:hAnsi="Times New Roman" w:cs="Times New Roman"/>
          <w:noProof/>
          <w:sz w:val="24"/>
          <w:szCs w:val="24"/>
        </w:rPr>
        <w:t>, e02653. http://elifesciences.org/content/elife/3/e02653.full.pdf</w:t>
      </w:r>
    </w:p>
    <w:p w14:paraId="7EEC09B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31</w:t>
      </w:r>
      <w:r w:rsidRPr="00845961">
        <w:rPr>
          <w:rFonts w:ascii="Times New Roman" w:hAnsi="Times New Roman" w:cs="Times New Roman"/>
          <w:noProof/>
          <w:sz w:val="24"/>
          <w:szCs w:val="24"/>
        </w:rPr>
        <w:t>, 2700–2705. http://www.jneurosci.org/content/31/7/2700.full.pdf</w:t>
      </w:r>
    </w:p>
    <w:p w14:paraId="403CD2F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McDannald, M. A., Saddoris, M. P., Gallagher, M., &amp; Holland, P. C. (2005). Lesions of </w:t>
      </w:r>
      <w:r w:rsidRPr="00845961">
        <w:rPr>
          <w:rFonts w:ascii="Times New Roman" w:hAnsi="Times New Roman" w:cs="Times New Roman"/>
          <w:noProof/>
          <w:sz w:val="24"/>
          <w:szCs w:val="24"/>
        </w:rPr>
        <w:lastRenderedPageBreak/>
        <w:t xml:space="preserve">orbitofrontal cortex impair rats’ differential outcome expectancy learning but not conditioned stimulus-potentiated feeding.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25</w:t>
      </w:r>
      <w:r w:rsidRPr="00845961">
        <w:rPr>
          <w:rFonts w:ascii="Times New Roman" w:hAnsi="Times New Roman" w:cs="Times New Roman"/>
          <w:noProof/>
          <w:sz w:val="24"/>
          <w:szCs w:val="24"/>
        </w:rPr>
        <w:t>(18), 4626–4632. https://doi.org/25/18/4626 [pii] 10.1523/JNEUROSCI.5301-04.2005</w:t>
      </w:r>
    </w:p>
    <w:p w14:paraId="787758AD"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27</w:t>
      </w:r>
      <w:r w:rsidRPr="00845961">
        <w:rPr>
          <w:rFonts w:ascii="Times New Roman" w:hAnsi="Times New Roman" w:cs="Times New Roman"/>
          <w:noProof/>
          <w:sz w:val="24"/>
          <w:szCs w:val="24"/>
        </w:rPr>
        <w:t>(31), 8166–8169. https://doi.org/10.1523/JNEUROSCI.1556-07.2007</w:t>
      </w:r>
    </w:p>
    <w:p w14:paraId="1591CF19"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Murray, E. A., &amp; Rudebeck, P. H. (2018). Specializations for reward-guided decision-making in the primate ventral prefrontal cortex. </w:t>
      </w:r>
      <w:r w:rsidRPr="00845961">
        <w:rPr>
          <w:rFonts w:ascii="Times New Roman" w:hAnsi="Times New Roman" w:cs="Times New Roman"/>
          <w:i/>
          <w:iCs/>
          <w:noProof/>
          <w:sz w:val="24"/>
          <w:szCs w:val="24"/>
        </w:rPr>
        <w:t>Nature Reviews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19</w:t>
      </w:r>
      <w:r w:rsidRPr="00845961">
        <w:rPr>
          <w:rFonts w:ascii="Times New Roman" w:hAnsi="Times New Roman" w:cs="Times New Roman"/>
          <w:noProof/>
          <w:sz w:val="24"/>
          <w:szCs w:val="24"/>
        </w:rPr>
        <w:t>(7), 404–417. https://doi.org/10.1038/s41583-018-0013-4</w:t>
      </w:r>
    </w:p>
    <w:p w14:paraId="15C2BB7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1. https://doi.org/10.1038/s41593-019-0408-1</w:t>
      </w:r>
    </w:p>
    <w:p w14:paraId="6A9D8AD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845961">
        <w:rPr>
          <w:rFonts w:ascii="Times New Roman" w:hAnsi="Times New Roman" w:cs="Times New Roman"/>
          <w:i/>
          <w:iCs/>
          <w:noProof/>
          <w:sz w:val="24"/>
          <w:szCs w:val="24"/>
        </w:rPr>
        <w:t>Frontiers in Psychology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w:t>
      </w:r>
      <w:r w:rsidRPr="00845961">
        <w:rPr>
          <w:rFonts w:ascii="Times New Roman" w:hAnsi="Times New Roman" w:cs="Times New Roman"/>
          <w:noProof/>
          <w:sz w:val="24"/>
          <w:szCs w:val="24"/>
        </w:rPr>
        <w:t>, 244. https://doi.org/10.3389/fpsyg.2017.00244</w:t>
      </w:r>
    </w:p>
    <w:p w14:paraId="38E4E53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Niv, Y. (2019). Learning task-state representations.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22</w:t>
      </w:r>
      <w:r w:rsidRPr="00845961">
        <w:rPr>
          <w:rFonts w:ascii="Times New Roman" w:hAnsi="Times New Roman" w:cs="Times New Roman"/>
          <w:noProof/>
          <w:sz w:val="24"/>
          <w:szCs w:val="24"/>
        </w:rPr>
        <w:t>(10), 1544–1553. https://doi.org/10.1038/s41593-019-0470-8</w:t>
      </w:r>
    </w:p>
    <w:p w14:paraId="403AAA9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77</w:t>
      </w:r>
      <w:r w:rsidRPr="00845961">
        <w:rPr>
          <w:rFonts w:ascii="Times New Roman" w:hAnsi="Times New Roman" w:cs="Times New Roman"/>
          <w:noProof/>
          <w:sz w:val="24"/>
          <w:szCs w:val="24"/>
        </w:rPr>
        <w:t>(2), 251–258. https://doi.org/10.1016/j.neuron.2012.11.006</w:t>
      </w:r>
    </w:p>
    <w:p w14:paraId="25AFA93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Ostlund, S. B., &amp; Balleine, B. W. (2007). Orbitofrontal cortex mediates outcome encoding in pavlovian but not instrumental conditioning.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27</w:t>
      </w:r>
      <w:r w:rsidRPr="00845961">
        <w:rPr>
          <w:rFonts w:ascii="Times New Roman" w:hAnsi="Times New Roman" w:cs="Times New Roman"/>
          <w:noProof/>
          <w:sz w:val="24"/>
          <w:szCs w:val="24"/>
        </w:rPr>
        <w:t>(18), 4819–4825. https://doi.org/Doi 10.1523/Jneurosci.5443-06.2007</w:t>
      </w:r>
    </w:p>
    <w:p w14:paraId="5EFA8F1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Padoa-Schioppa, C. (2009). Range-adapting representation of economic value in the orbitofrontal cortex.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29</w:t>
      </w:r>
      <w:r w:rsidRPr="00845961">
        <w:rPr>
          <w:rFonts w:ascii="Times New Roman" w:hAnsi="Times New Roman" w:cs="Times New Roman"/>
          <w:noProof/>
          <w:sz w:val="24"/>
          <w:szCs w:val="24"/>
        </w:rPr>
        <w:t>, 14004–14014. http://www.jneurosci.org/content/29/44/14004.full.pdf</w:t>
      </w:r>
    </w:p>
    <w:p w14:paraId="4D4F905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7</w:t>
      </w:r>
      <w:r w:rsidRPr="00845961">
        <w:rPr>
          <w:rFonts w:ascii="Times New Roman" w:hAnsi="Times New Roman" w:cs="Times New Roman"/>
          <w:noProof/>
          <w:sz w:val="24"/>
          <w:szCs w:val="24"/>
        </w:rPr>
        <w:t>. https://doi.org/10.7554/eLife.37357.001</w:t>
      </w:r>
    </w:p>
    <w:p w14:paraId="006020B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Parkinson, J. A., Roberts, A. C., Everitt, B. J., &amp; Di Ciano, P. (2005). Acquisition of Instrumental Conditioned Reinforcement is Resistant to the Devaluation of the Unconditioned Stimulus. </w:t>
      </w:r>
      <w:r w:rsidRPr="00845961">
        <w:rPr>
          <w:rFonts w:ascii="Times New Roman" w:hAnsi="Times New Roman" w:cs="Times New Roman"/>
          <w:i/>
          <w:iCs/>
          <w:noProof/>
          <w:sz w:val="24"/>
          <w:szCs w:val="24"/>
        </w:rPr>
        <w:t>The Quarterly Journal of Experimental Psychology Section B</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58</w:t>
      </w:r>
      <w:r w:rsidRPr="00845961">
        <w:rPr>
          <w:rFonts w:ascii="Times New Roman" w:hAnsi="Times New Roman" w:cs="Times New Roman"/>
          <w:noProof/>
          <w:sz w:val="24"/>
          <w:szCs w:val="24"/>
        </w:rPr>
        <w:t>(1b), 19–30. https://doi.org/10.1080/02724990444000023</w:t>
      </w:r>
    </w:p>
    <w:p w14:paraId="02D2A85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845961">
        <w:rPr>
          <w:rFonts w:ascii="Times New Roman" w:hAnsi="Times New Roman" w:cs="Times New Roman"/>
          <w:i/>
          <w:iCs/>
          <w:noProof/>
          <w:sz w:val="24"/>
          <w:szCs w:val="24"/>
        </w:rPr>
        <w:t>Psychol Rev</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87</w:t>
      </w:r>
      <w:r w:rsidRPr="00845961">
        <w:rPr>
          <w:rFonts w:ascii="Times New Roman" w:hAnsi="Times New Roman" w:cs="Times New Roman"/>
          <w:noProof/>
          <w:sz w:val="24"/>
          <w:szCs w:val="24"/>
        </w:rPr>
        <w:t>(6), 532–552. http://www.ncbi.nlm.nih.gov/pubmed/7443916</w:t>
      </w:r>
    </w:p>
    <w:p w14:paraId="66904E5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845961">
        <w:rPr>
          <w:rFonts w:ascii="Times New Roman" w:hAnsi="Times New Roman" w:cs="Times New Roman"/>
          <w:i/>
          <w:iCs/>
          <w:noProof/>
          <w:sz w:val="24"/>
          <w:szCs w:val="24"/>
        </w:rPr>
        <w:t>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23</w:t>
      </w:r>
      <w:r w:rsidRPr="00845961">
        <w:rPr>
          <w:rFonts w:ascii="Times New Roman" w:hAnsi="Times New Roman" w:cs="Times New Roman"/>
          <w:noProof/>
          <w:sz w:val="24"/>
          <w:szCs w:val="24"/>
        </w:rPr>
        <w:t>(35), 11189–11201. https://doi.org/23/35/11189 [pii]</w:t>
      </w:r>
    </w:p>
    <w:p w14:paraId="491983A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845961">
        <w:rPr>
          <w:rFonts w:ascii="Times New Roman" w:hAnsi="Times New Roman" w:cs="Times New Roman"/>
          <w:i/>
          <w:iCs/>
          <w:noProof/>
          <w:sz w:val="24"/>
          <w:szCs w:val="24"/>
        </w:rPr>
        <w:t>Behav Neurosci</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119</w:t>
      </w:r>
      <w:r w:rsidRPr="00845961">
        <w:rPr>
          <w:rFonts w:ascii="Times New Roman" w:hAnsi="Times New Roman" w:cs="Times New Roman"/>
          <w:noProof/>
          <w:sz w:val="24"/>
          <w:szCs w:val="24"/>
        </w:rPr>
        <w:t>(1), 317–322. https://doi.org/2005-01705-030 [pii]10.1037/0735-7044.119.1.317</w:t>
      </w:r>
    </w:p>
    <w:p w14:paraId="72DCA2D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Pickens, C. L., Saddoris, M. P., Setlow, B., Gallagher, M., Holland, P. C., &amp; Schoenbaum, G. (2003). Different Roles for Orbitofrontal Cortex and Basolateral Amygdala in a Reinforcer Devaluation Task. </w:t>
      </w:r>
      <w:r w:rsidRPr="00845961">
        <w:rPr>
          <w:rFonts w:ascii="Times New Roman" w:hAnsi="Times New Roman" w:cs="Times New Roman"/>
          <w:i/>
          <w:iCs/>
          <w:noProof/>
          <w:sz w:val="24"/>
          <w:szCs w:val="24"/>
        </w:rPr>
        <w:t>The 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23</w:t>
      </w:r>
      <w:r w:rsidRPr="00845961">
        <w:rPr>
          <w:rFonts w:ascii="Times New Roman" w:hAnsi="Times New Roman" w:cs="Times New Roman"/>
          <w:noProof/>
          <w:sz w:val="24"/>
          <w:szCs w:val="24"/>
        </w:rPr>
        <w:t>(35), 11078–11084. https://doi.org/10.1523/JNEUROSCI.23-35-11078.2003</w:t>
      </w:r>
    </w:p>
    <w:p w14:paraId="155EFD2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 Core Team (2020). (2020). R: A language and environment for statistical computing. In </w:t>
      </w:r>
      <w:r w:rsidRPr="00845961">
        <w:rPr>
          <w:rFonts w:ascii="Times New Roman" w:hAnsi="Times New Roman" w:cs="Times New Roman"/>
          <w:i/>
          <w:iCs/>
          <w:noProof/>
          <w:sz w:val="24"/>
          <w:szCs w:val="24"/>
        </w:rPr>
        <w:t>R: A language and environment for statistical computing. R Foundation for Statistical Computing, Vienna, Austria</w:t>
      </w:r>
      <w:r w:rsidRPr="00845961">
        <w:rPr>
          <w:rFonts w:ascii="Times New Roman" w:hAnsi="Times New Roman" w:cs="Times New Roman"/>
          <w:noProof/>
          <w:sz w:val="24"/>
          <w:szCs w:val="24"/>
        </w:rPr>
        <w:t>.</w:t>
      </w:r>
    </w:p>
    <w:p w14:paraId="782270B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845961">
        <w:rPr>
          <w:rFonts w:ascii="Times New Roman" w:hAnsi="Times New Roman" w:cs="Times New Roman"/>
          <w:i/>
          <w:iCs/>
          <w:noProof/>
          <w:sz w:val="24"/>
          <w:szCs w:val="24"/>
        </w:rPr>
        <w:t>Behav Neurosci</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121</w:t>
      </w:r>
      <w:r w:rsidRPr="00845961">
        <w:rPr>
          <w:rFonts w:ascii="Times New Roman" w:hAnsi="Times New Roman" w:cs="Times New Roman"/>
          <w:noProof/>
          <w:sz w:val="24"/>
          <w:szCs w:val="24"/>
        </w:rPr>
        <w:t>(5), 896–906. https://doi.org/10.1037/0735-7044.121.5.896</w:t>
      </w:r>
    </w:p>
    <w:p w14:paraId="5C4C365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Rescorla, R. A. (1988). Pavlovian Conditioning - Its Not What You Think It Is. </w:t>
      </w:r>
      <w:r w:rsidRPr="00845961">
        <w:rPr>
          <w:rFonts w:ascii="Times New Roman" w:hAnsi="Times New Roman" w:cs="Times New Roman"/>
          <w:i/>
          <w:iCs/>
          <w:noProof/>
          <w:sz w:val="24"/>
          <w:szCs w:val="24"/>
        </w:rPr>
        <w:t>American Psychologist</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43</w:t>
      </w:r>
      <w:r w:rsidRPr="00845961">
        <w:rPr>
          <w:rFonts w:ascii="Times New Roman" w:hAnsi="Times New Roman" w:cs="Times New Roman"/>
          <w:noProof/>
          <w:sz w:val="24"/>
          <w:szCs w:val="24"/>
        </w:rPr>
        <w:t>(3), 151–160. https://doi.org/Doi 10.1037/0003-066x.43.3.151</w:t>
      </w:r>
    </w:p>
    <w:p w14:paraId="72CD7142"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Rescorla, R. A. (2002a). Comparison of the rates of associative change during acquisition and extinction. </w:t>
      </w:r>
      <w:r w:rsidRPr="00845961">
        <w:rPr>
          <w:rFonts w:ascii="Times New Roman" w:hAnsi="Times New Roman" w:cs="Times New Roman"/>
          <w:i/>
          <w:iCs/>
          <w:noProof/>
          <w:sz w:val="24"/>
          <w:szCs w:val="24"/>
        </w:rPr>
        <w:t>Journal of Experimental Psychology: Animal Behavior Processes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28</w:t>
      </w:r>
      <w:r w:rsidRPr="00845961">
        <w:rPr>
          <w:rFonts w:ascii="Times New Roman" w:hAnsi="Times New Roman" w:cs="Times New Roman"/>
          <w:noProof/>
          <w:sz w:val="24"/>
          <w:szCs w:val="24"/>
        </w:rPr>
        <w:t>(4), 406–415. https://doi.org/10.1037/0097-7403.28.4.406</w:t>
      </w:r>
    </w:p>
    <w:p w14:paraId="4E7EE00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Rescorla, R. A. (2002b). Savings tests: Separating differences in rate of learning from differences in initial levels. </w:t>
      </w:r>
      <w:r w:rsidRPr="00845961">
        <w:rPr>
          <w:rFonts w:ascii="Times New Roman" w:hAnsi="Times New Roman" w:cs="Times New Roman"/>
          <w:i/>
          <w:iCs/>
          <w:noProof/>
          <w:sz w:val="24"/>
          <w:szCs w:val="24"/>
        </w:rPr>
        <w:t>Journal of Experimental Psychology: Animal Behavior Processes</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28</w:t>
      </w:r>
      <w:r w:rsidRPr="00845961">
        <w:rPr>
          <w:rFonts w:ascii="Times New Roman" w:hAnsi="Times New Roman" w:cs="Times New Roman"/>
          <w:noProof/>
          <w:sz w:val="24"/>
          <w:szCs w:val="24"/>
        </w:rPr>
        <w:t>(4), 369–377. https://doi.org/10.1037/0097-7403.28.4.369</w:t>
      </w:r>
    </w:p>
    <w:p w14:paraId="7465012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845961">
        <w:rPr>
          <w:rFonts w:ascii="Times New Roman" w:hAnsi="Times New Roman" w:cs="Times New Roman"/>
          <w:i/>
          <w:iCs/>
          <w:noProof/>
          <w:sz w:val="24"/>
          <w:szCs w:val="24"/>
        </w:rPr>
        <w:t>Classical Conditioning II: Current Research and Theory</w:t>
      </w:r>
      <w:r w:rsidRPr="00845961">
        <w:rPr>
          <w:rFonts w:ascii="Times New Roman" w:hAnsi="Times New Roman" w:cs="Times New Roman"/>
          <w:noProof/>
          <w:sz w:val="24"/>
          <w:szCs w:val="24"/>
        </w:rPr>
        <w:t xml:space="preserve"> (pp. 64–99). Appleton </w:t>
      </w:r>
      <w:r w:rsidRPr="00845961">
        <w:rPr>
          <w:rFonts w:ascii="Times New Roman" w:hAnsi="Times New Roman" w:cs="Times New Roman"/>
          <w:noProof/>
          <w:sz w:val="24"/>
          <w:szCs w:val="24"/>
        </w:rPr>
        <w:lastRenderedPageBreak/>
        <w:t>Century Crofts.</w:t>
      </w:r>
    </w:p>
    <w:p w14:paraId="61E9E6C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84</w:t>
      </w:r>
      <w:r w:rsidRPr="00845961">
        <w:rPr>
          <w:rFonts w:ascii="Times New Roman" w:hAnsi="Times New Roman" w:cs="Times New Roman"/>
          <w:noProof/>
          <w:sz w:val="24"/>
          <w:szCs w:val="24"/>
        </w:rPr>
        <w:t>(6), 1143–1156. https://doi.org/10.1016/j.neuron.2014.10.049</w:t>
      </w:r>
    </w:p>
    <w:p w14:paraId="6546F6F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7</w:t>
      </w:r>
      <w:r w:rsidRPr="00845961">
        <w:rPr>
          <w:rFonts w:ascii="Times New Roman" w:hAnsi="Times New Roman" w:cs="Times New Roman"/>
          <w:noProof/>
          <w:sz w:val="24"/>
          <w:szCs w:val="24"/>
        </w:rPr>
        <w:t>, e30373. https://doi.org/10.7554/eLife.30373</w:t>
      </w:r>
    </w:p>
    <w:p w14:paraId="6E7E6FE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845961">
        <w:rPr>
          <w:rFonts w:ascii="Times New Roman" w:hAnsi="Times New Roman" w:cs="Times New Roman"/>
          <w:i/>
          <w:iCs/>
          <w:noProof/>
          <w:sz w:val="24"/>
          <w:szCs w:val="24"/>
        </w:rPr>
        <w:t>Neuroreport</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13</w:t>
      </w:r>
      <w:r w:rsidRPr="00845961">
        <w:rPr>
          <w:rFonts w:ascii="Times New Roman" w:hAnsi="Times New Roman" w:cs="Times New Roman"/>
          <w:noProof/>
          <w:sz w:val="24"/>
          <w:szCs w:val="24"/>
        </w:rPr>
        <w:t>(6), 885–890. https://doi.org/10.1097/00001756-200205070-00030</w:t>
      </w:r>
    </w:p>
    <w:p w14:paraId="0397AD8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845961">
        <w:rPr>
          <w:rFonts w:ascii="Times New Roman" w:hAnsi="Times New Roman" w:cs="Times New Roman"/>
          <w:i/>
          <w:iCs/>
          <w:noProof/>
          <w:sz w:val="24"/>
          <w:szCs w:val="24"/>
        </w:rPr>
        <w:t>Nature Reviews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10</w:t>
      </w:r>
      <w:r w:rsidRPr="00845961">
        <w:rPr>
          <w:rFonts w:ascii="Times New Roman" w:hAnsi="Times New Roman" w:cs="Times New Roman"/>
          <w:noProof/>
          <w:sz w:val="24"/>
          <w:szCs w:val="24"/>
        </w:rPr>
        <w:t>(12), 885–892. https://doi.org/Doi 10.1038/Nrn2753</w:t>
      </w:r>
    </w:p>
    <w:p w14:paraId="6CE938A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845961">
        <w:rPr>
          <w:rFonts w:ascii="Times New Roman" w:hAnsi="Times New Roman" w:cs="Times New Roman"/>
          <w:i/>
          <w:iCs/>
          <w:noProof/>
          <w:sz w:val="24"/>
          <w:szCs w:val="24"/>
        </w:rPr>
        <w:t>Learning &amp; Memory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10</w:t>
      </w:r>
      <w:r w:rsidRPr="00845961">
        <w:rPr>
          <w:rFonts w:ascii="Times New Roman" w:hAnsi="Times New Roman" w:cs="Times New Roman"/>
          <w:noProof/>
          <w:sz w:val="24"/>
          <w:szCs w:val="24"/>
        </w:rPr>
        <w:t>(2), 129–140. https://doi.org/Doi 10.1101/Lm.55203</w:t>
      </w:r>
    </w:p>
    <w:p w14:paraId="4A2F87B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Schoenbaum, G., Takahashi, Y. K., Liu, T., &amp; McDannald, M. A. (2011). Does the orbitofrontal cortex signal value? </w:t>
      </w:r>
      <w:r w:rsidRPr="00845961">
        <w:rPr>
          <w:rFonts w:ascii="Times New Roman" w:hAnsi="Times New Roman" w:cs="Times New Roman"/>
          <w:i/>
          <w:iCs/>
          <w:noProof/>
          <w:sz w:val="24"/>
          <w:szCs w:val="24"/>
        </w:rPr>
        <w:t>Ann N Y Acad Sci</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1239</w:t>
      </w:r>
      <w:r w:rsidRPr="00845961">
        <w:rPr>
          <w:rFonts w:ascii="Times New Roman" w:hAnsi="Times New Roman" w:cs="Times New Roman"/>
          <w:noProof/>
          <w:sz w:val="24"/>
          <w:szCs w:val="24"/>
        </w:rPr>
        <w:t>(1), 87–99. https://doi.org/10.1111/j.1749-6632.2011.06210.x</w:t>
      </w:r>
    </w:p>
    <w:p w14:paraId="1C75FC3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Schultz, W. (1998). Predictive reward signal of dopamine neurons. </w:t>
      </w:r>
      <w:r w:rsidRPr="00845961">
        <w:rPr>
          <w:rFonts w:ascii="Times New Roman" w:hAnsi="Times New Roman" w:cs="Times New Roman"/>
          <w:i/>
          <w:iCs/>
          <w:noProof/>
          <w:sz w:val="24"/>
          <w:szCs w:val="24"/>
        </w:rPr>
        <w:t>Journal of Neurophysiology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lastRenderedPageBreak/>
        <w:t>80</w:t>
      </w:r>
      <w:r w:rsidRPr="00845961">
        <w:rPr>
          <w:rFonts w:ascii="Times New Roman" w:hAnsi="Times New Roman" w:cs="Times New Roman"/>
          <w:noProof/>
          <w:sz w:val="24"/>
          <w:szCs w:val="24"/>
        </w:rPr>
        <w:t>(1), 1–27.</w:t>
      </w:r>
    </w:p>
    <w:p w14:paraId="75591B5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https://doi.org/10.1038/nn.4538</w:t>
      </w:r>
    </w:p>
    <w:p w14:paraId="767C0C7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20</w:t>
      </w:r>
      <w:r w:rsidRPr="00845961">
        <w:rPr>
          <w:rFonts w:ascii="Times New Roman" w:hAnsi="Times New Roman" w:cs="Times New Roman"/>
          <w:noProof/>
          <w:sz w:val="24"/>
          <w:szCs w:val="24"/>
        </w:rPr>
        <w:t>(5), 735–742. https://doi.org/10.1038/nn.4538</w:t>
      </w:r>
    </w:p>
    <w:p w14:paraId="0FF6FBF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Sharpe, M. J., Wikenheiser, A. M., Niv, Y., &amp; Schoenbaum, G. (2015). The State of the Orbitofrontal Cortex.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88</w:t>
      </w:r>
      <w:r w:rsidRPr="00845961">
        <w:rPr>
          <w:rFonts w:ascii="Times New Roman" w:hAnsi="Times New Roman" w:cs="Times New Roman"/>
          <w:noProof/>
          <w:sz w:val="24"/>
          <w:szCs w:val="24"/>
        </w:rPr>
        <w:t>(6), 1075–1077. https://doi.org/10.1016/j.neuron.2015.12.004</w:t>
      </w:r>
    </w:p>
    <w:p w14:paraId="112BDD6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845961">
        <w:rPr>
          <w:rFonts w:ascii="Times New Roman" w:hAnsi="Times New Roman" w:cs="Times New Roman"/>
          <w:i/>
          <w:iCs/>
          <w:noProof/>
          <w:sz w:val="24"/>
          <w:szCs w:val="24"/>
        </w:rPr>
        <w:t>R Package Version 0.27-2</w:t>
      </w:r>
      <w:r w:rsidRPr="00845961">
        <w:rPr>
          <w:rFonts w:ascii="Times New Roman" w:hAnsi="Times New Roman" w:cs="Times New Roman"/>
          <w:noProof/>
          <w:sz w:val="24"/>
          <w:szCs w:val="24"/>
        </w:rPr>
        <w:t>. https://cran.r-project.org/package=afex</w:t>
      </w:r>
    </w:p>
    <w:p w14:paraId="5AD9D9F6"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outcomes. </w:t>
      </w:r>
      <w:r w:rsidRPr="00845961">
        <w:rPr>
          <w:rFonts w:ascii="Times New Roman" w:hAnsi="Times New Roman" w:cs="Times New Roman"/>
          <w:i/>
          <w:iCs/>
          <w:noProof/>
          <w:sz w:val="24"/>
          <w:szCs w:val="24"/>
        </w:rPr>
        <w:t>Nat Commun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5</w:t>
      </w:r>
      <w:r w:rsidRPr="00845961">
        <w:rPr>
          <w:rFonts w:ascii="Times New Roman" w:hAnsi="Times New Roman" w:cs="Times New Roman"/>
          <w:noProof/>
          <w:sz w:val="24"/>
          <w:szCs w:val="24"/>
        </w:rPr>
        <w:t>, 3926. https://doi.org/10.1038/ncomms4926</w:t>
      </w:r>
    </w:p>
    <w:p w14:paraId="728BA3E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Stalnaker, T. A., Cooch, N. K., &amp; Schoenbaum, G. (2015). What the orbitofrontal cortex does not do.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18</w:t>
      </w:r>
      <w:r w:rsidRPr="00845961">
        <w:rPr>
          <w:rFonts w:ascii="Times New Roman" w:hAnsi="Times New Roman" w:cs="Times New Roman"/>
          <w:noProof/>
          <w:sz w:val="24"/>
          <w:szCs w:val="24"/>
        </w:rPr>
        <w:t>(5), 620–627. https://doi.org/10.1038/nn.3982</w:t>
      </w:r>
    </w:p>
    <w:p w14:paraId="721AF60E"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54</w:t>
      </w:r>
      <w:r w:rsidRPr="00845961">
        <w:rPr>
          <w:rFonts w:ascii="Times New Roman" w:hAnsi="Times New Roman" w:cs="Times New Roman"/>
          <w:noProof/>
          <w:sz w:val="24"/>
          <w:szCs w:val="24"/>
        </w:rPr>
        <w:t xml:space="preserve">(1), 51–58. </w:t>
      </w:r>
      <w:r w:rsidRPr="00845961">
        <w:rPr>
          <w:rFonts w:ascii="Times New Roman" w:hAnsi="Times New Roman" w:cs="Times New Roman"/>
          <w:noProof/>
          <w:sz w:val="24"/>
          <w:szCs w:val="24"/>
        </w:rPr>
        <w:lastRenderedPageBreak/>
        <w:t>https://doi.org/DOI 10.1016/j.neuron.2007.02.014</w:t>
      </w:r>
    </w:p>
    <w:p w14:paraId="0F5E791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845961">
        <w:rPr>
          <w:rFonts w:ascii="Times New Roman" w:hAnsi="Times New Roman" w:cs="Times New Roman"/>
          <w:i/>
          <w:iCs/>
          <w:noProof/>
          <w:sz w:val="24"/>
          <w:szCs w:val="24"/>
        </w:rPr>
        <w:t>Neurobiology of Learning and Memory</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153</w:t>
      </w:r>
      <w:r w:rsidRPr="00845961">
        <w:rPr>
          <w:rFonts w:ascii="Times New Roman" w:hAnsi="Times New Roman" w:cs="Times New Roman"/>
          <w:noProof/>
          <w:sz w:val="24"/>
          <w:szCs w:val="24"/>
        </w:rPr>
        <w:t>, 137–143. https://doi.org/10.1016/J.NLM.2018.01.013</w:t>
      </w:r>
    </w:p>
    <w:p w14:paraId="36582087"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16</w:t>
      </w:r>
      <w:r w:rsidRPr="00845961">
        <w:rPr>
          <w:rFonts w:ascii="Times New Roman" w:hAnsi="Times New Roman" w:cs="Times New Roman"/>
          <w:noProof/>
          <w:sz w:val="24"/>
          <w:szCs w:val="24"/>
        </w:rPr>
        <w:t>(7), 966–973. https://doi.org/10.1038/nn.3413</w:t>
      </w:r>
    </w:p>
    <w:p w14:paraId="6DE4A53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Stolyarova, A., &amp; Izquierdo, A. D. (2017). Complementary contributions of basolateral amygdala and orbitofrontal cortex to value learning under uncertainty. </w:t>
      </w:r>
      <w:r w:rsidRPr="00845961">
        <w:rPr>
          <w:rFonts w:ascii="Times New Roman" w:hAnsi="Times New Roman" w:cs="Times New Roman"/>
          <w:i/>
          <w:iCs/>
          <w:noProof/>
          <w:sz w:val="24"/>
          <w:szCs w:val="24"/>
        </w:rPr>
        <w:t>ELife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6</w:t>
      </w:r>
      <w:r w:rsidRPr="00845961">
        <w:rPr>
          <w:rFonts w:ascii="Times New Roman" w:hAnsi="Times New Roman" w:cs="Times New Roman"/>
          <w:noProof/>
          <w:sz w:val="24"/>
          <w:szCs w:val="24"/>
        </w:rPr>
        <w:t>, e27483. https://doi.org/10.7554/eLife.27483</w:t>
      </w:r>
    </w:p>
    <w:p w14:paraId="77A34ECD"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Sutton, R. S., &amp; Barto, A. G. (1998). </w:t>
      </w:r>
      <w:r w:rsidRPr="00845961">
        <w:rPr>
          <w:rFonts w:ascii="Times New Roman" w:hAnsi="Times New Roman" w:cs="Times New Roman"/>
          <w:i/>
          <w:iCs/>
          <w:noProof/>
          <w:sz w:val="24"/>
          <w:szCs w:val="24"/>
        </w:rPr>
        <w:t>Reinforccement Learning: An introduction</w:t>
      </w:r>
      <w:r w:rsidRPr="00845961">
        <w:rPr>
          <w:rFonts w:ascii="Times New Roman" w:hAnsi="Times New Roman" w:cs="Times New Roman"/>
          <w:noProof/>
          <w:sz w:val="24"/>
          <w:szCs w:val="24"/>
        </w:rPr>
        <w:t>. The MIT Press.</w:t>
      </w:r>
    </w:p>
    <w:p w14:paraId="4F12F93F"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80</w:t>
      </w:r>
      <w:r w:rsidRPr="00845961">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25F0B995"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Takahashi, Y. K., Roesch, M. R., Stalnaker, T. A., Haney, R. Z., Caiu, D. J., Taylor, A. R., Burke, K. A., Schoenbaum, G., &amp; Calu, D. J. (2009). The Orbitofrontal Cortex and Ventral Tegmental Area Are Necessary for Learning from Unexpected Outcomes.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62</w:t>
      </w:r>
      <w:r w:rsidRPr="00845961">
        <w:rPr>
          <w:rFonts w:ascii="Times New Roman" w:hAnsi="Times New Roman" w:cs="Times New Roman"/>
          <w:noProof/>
          <w:sz w:val="24"/>
          <w:szCs w:val="24"/>
        </w:rPr>
        <w:t>(2), 269–280. https://doi.org/DOI 10.1016/j.neuron.2009.03.005</w:t>
      </w:r>
    </w:p>
    <w:p w14:paraId="1F0C5ED9"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Takahashi, Y. K., Roesch, M. R., Wilson, R. C., Toreson, K., O’Donnell, P., Niv, Y., &amp; </w:t>
      </w:r>
      <w:r w:rsidRPr="00845961">
        <w:rPr>
          <w:rFonts w:ascii="Times New Roman" w:hAnsi="Times New Roman" w:cs="Times New Roman"/>
          <w:noProof/>
          <w:sz w:val="24"/>
          <w:szCs w:val="24"/>
        </w:rPr>
        <w:lastRenderedPageBreak/>
        <w:t xml:space="preserve">Schoenbaum, G. (2011). Expectancy-related changes in firing of dopamine neurons depend on orbitofrontal cortex. </w:t>
      </w:r>
      <w:r w:rsidRPr="00845961">
        <w:rPr>
          <w:rFonts w:ascii="Times New Roman" w:hAnsi="Times New Roman" w:cs="Times New Roman"/>
          <w:i/>
          <w:iCs/>
          <w:noProof/>
          <w:sz w:val="24"/>
          <w:szCs w:val="24"/>
        </w:rPr>
        <w:t>Nature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14</w:t>
      </w:r>
      <w:r w:rsidRPr="00845961">
        <w:rPr>
          <w:rFonts w:ascii="Times New Roman" w:hAnsi="Times New Roman" w:cs="Times New Roman"/>
          <w:noProof/>
          <w:sz w:val="24"/>
          <w:szCs w:val="24"/>
        </w:rPr>
        <w:t>(12), 1590–1597. https://doi.org/10.1038/nn.2957</w:t>
      </w:r>
    </w:p>
    <w:p w14:paraId="389F7CE1"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Wagner, A. R. (1981). SOP: A model of automatic memory processing in animal behavior. In N. E. Spear (Ed.), </w:t>
      </w:r>
      <w:r w:rsidRPr="00845961">
        <w:rPr>
          <w:rFonts w:ascii="Times New Roman" w:hAnsi="Times New Roman" w:cs="Times New Roman"/>
          <w:i/>
          <w:iCs/>
          <w:noProof/>
          <w:sz w:val="24"/>
          <w:szCs w:val="24"/>
        </w:rPr>
        <w:t>Information processing in animals: Memory mechanisms</w:t>
      </w:r>
      <w:r w:rsidRPr="00845961">
        <w:rPr>
          <w:rFonts w:ascii="Times New Roman" w:hAnsi="Times New Roman" w:cs="Times New Roman"/>
          <w:noProof/>
          <w:sz w:val="24"/>
          <w:szCs w:val="24"/>
        </w:rPr>
        <w:t xml:space="preserve"> (pp. 5–47). Erlbaum.</w:t>
      </w:r>
    </w:p>
    <w:p w14:paraId="5986999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65</w:t>
      </w:r>
      <w:r w:rsidRPr="00845961">
        <w:rPr>
          <w:rFonts w:ascii="Times New Roman" w:hAnsi="Times New Roman" w:cs="Times New Roman"/>
          <w:noProof/>
          <w:sz w:val="24"/>
          <w:szCs w:val="24"/>
        </w:rPr>
        <w:t>(6), 927–939. https://doi.org/10.1016/j.neuron.2010.02.027</w:t>
      </w:r>
    </w:p>
    <w:p w14:paraId="1BBFAF4B"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845961">
        <w:rPr>
          <w:rFonts w:ascii="Times New Roman" w:hAnsi="Times New Roman" w:cs="Times New Roman"/>
          <w:i/>
          <w:iCs/>
          <w:noProof/>
          <w:sz w:val="24"/>
          <w:szCs w:val="24"/>
        </w:rPr>
        <w:t>Ann N Y Acad Sci</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1239</w:t>
      </w:r>
      <w:r w:rsidRPr="00845961">
        <w:rPr>
          <w:rFonts w:ascii="Times New Roman" w:hAnsi="Times New Roman" w:cs="Times New Roman"/>
          <w:noProof/>
          <w:sz w:val="24"/>
          <w:szCs w:val="24"/>
        </w:rPr>
        <w:t>, 14–24. http://onlinelibrary.wiley.com/doi/10.1111/j.1749-6632.2011.06257.x/abstract</w:t>
      </w:r>
    </w:p>
    <w:p w14:paraId="23B49DE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1–16. https://doi.org/10.1016/j.neuron.2020.07.033</w:t>
      </w:r>
    </w:p>
    <w:p w14:paraId="631954BE"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845961">
        <w:rPr>
          <w:rFonts w:ascii="Times New Roman" w:hAnsi="Times New Roman" w:cs="Times New Roman"/>
          <w:i/>
          <w:iCs/>
          <w:noProof/>
          <w:sz w:val="24"/>
          <w:szCs w:val="24"/>
        </w:rPr>
        <w:t>The Journal of Neuroscience : The Official Journal of the Society for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31</w:t>
      </w:r>
      <w:r w:rsidRPr="00845961">
        <w:rPr>
          <w:rFonts w:ascii="Times New Roman" w:hAnsi="Times New Roman" w:cs="Times New Roman"/>
          <w:noProof/>
          <w:sz w:val="24"/>
          <w:szCs w:val="24"/>
        </w:rPr>
        <w:t>(42), 15128–15135. https://doi.org/10.1523/JNEUROSCI.3295-11.2011</w:t>
      </w:r>
    </w:p>
    <w:p w14:paraId="5DD4E9F8"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Wilson, R. C., Takahashi, Y. K., Schoenbaum, G., &amp; Niv, Y. (2014). Orbitofrontal cortex as a cognitive map of task space. </w:t>
      </w:r>
      <w:r w:rsidRPr="00845961">
        <w:rPr>
          <w:rFonts w:ascii="Times New Roman" w:hAnsi="Times New Roman" w:cs="Times New Roman"/>
          <w:i/>
          <w:iCs/>
          <w:noProof/>
          <w:sz w:val="24"/>
          <w:szCs w:val="24"/>
        </w:rPr>
        <w:t>Neuron</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81</w:t>
      </w:r>
      <w:r w:rsidRPr="00845961">
        <w:rPr>
          <w:rFonts w:ascii="Times New Roman" w:hAnsi="Times New Roman" w:cs="Times New Roman"/>
          <w:noProof/>
          <w:sz w:val="24"/>
          <w:szCs w:val="24"/>
        </w:rPr>
        <w:t>(2), 267–279. https://doi.org/10.1016/j.neuron.2013.11.005</w:t>
      </w:r>
    </w:p>
    <w:p w14:paraId="4C20ACFA"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lastRenderedPageBreak/>
        <w:t xml:space="preserve">Yin, H. H., Knowlton, B. J., &amp; Balleine, B. W. (2006). Inactivation of dorsolateral striatum enhances sensitivity to changes in the action-outcome contingency in instrumental conditioning. </w:t>
      </w:r>
      <w:r w:rsidRPr="00845961">
        <w:rPr>
          <w:rFonts w:ascii="Times New Roman" w:hAnsi="Times New Roman" w:cs="Times New Roman"/>
          <w:i/>
          <w:iCs/>
          <w:noProof/>
          <w:sz w:val="24"/>
          <w:szCs w:val="24"/>
        </w:rPr>
        <w:t>Behavioural Brain Research</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166</w:t>
      </w:r>
      <w:r w:rsidRPr="00845961">
        <w:rPr>
          <w:rFonts w:ascii="Times New Roman" w:hAnsi="Times New Roman" w:cs="Times New Roman"/>
          <w:noProof/>
          <w:sz w:val="24"/>
          <w:szCs w:val="24"/>
        </w:rPr>
        <w:t>(2), 189–196. https://doi.org/10.1016/j.bbr.2005.07.012</w:t>
      </w:r>
    </w:p>
    <w:p w14:paraId="1C98E384"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szCs w:val="24"/>
        </w:rPr>
      </w:pPr>
      <w:r w:rsidRPr="00845961">
        <w:rPr>
          <w:rFonts w:ascii="Times New Roman" w:hAnsi="Times New Roman" w:cs="Times New Roman"/>
          <w:noProof/>
          <w:sz w:val="24"/>
          <w:szCs w:val="24"/>
        </w:rPr>
        <w:t xml:space="preserve">Yin, H. H., Ostlund, S. B., Knowlton, B. J., &amp; Balleine, B. W. (2005). The role of the dorsomedial striatum in instrumental conditioning. </w:t>
      </w:r>
      <w:r w:rsidRPr="00845961">
        <w:rPr>
          <w:rFonts w:ascii="Times New Roman" w:hAnsi="Times New Roman" w:cs="Times New Roman"/>
          <w:i/>
          <w:iCs/>
          <w:noProof/>
          <w:sz w:val="24"/>
          <w:szCs w:val="24"/>
        </w:rPr>
        <w:t>European Journal of Neuroscience</w:t>
      </w:r>
      <w:r w:rsidRPr="00845961">
        <w:rPr>
          <w:rFonts w:ascii="Times New Roman" w:hAnsi="Times New Roman" w:cs="Times New Roman"/>
          <w:noProof/>
          <w:sz w:val="24"/>
          <w:szCs w:val="24"/>
        </w:rPr>
        <w:t xml:space="preserve">, </w:t>
      </w:r>
      <w:r w:rsidRPr="00845961">
        <w:rPr>
          <w:rFonts w:ascii="Times New Roman" w:hAnsi="Times New Roman" w:cs="Times New Roman"/>
          <w:i/>
          <w:iCs/>
          <w:noProof/>
          <w:sz w:val="24"/>
          <w:szCs w:val="24"/>
        </w:rPr>
        <w:t>22</w:t>
      </w:r>
      <w:r w:rsidRPr="00845961">
        <w:rPr>
          <w:rFonts w:ascii="Times New Roman" w:hAnsi="Times New Roman" w:cs="Times New Roman"/>
          <w:noProof/>
          <w:sz w:val="24"/>
          <w:szCs w:val="24"/>
        </w:rPr>
        <w:t>(2), 513–523. https://doi.org/10.1111/j.1460-9568.2005.04218.x</w:t>
      </w:r>
    </w:p>
    <w:p w14:paraId="305CF9A0" w14:textId="77777777" w:rsidR="00845961" w:rsidRPr="00845961" w:rsidRDefault="00845961" w:rsidP="00845961">
      <w:pPr>
        <w:widowControl w:val="0"/>
        <w:autoSpaceDE w:val="0"/>
        <w:autoSpaceDN w:val="0"/>
        <w:adjustRightInd w:val="0"/>
        <w:spacing w:line="480" w:lineRule="auto"/>
        <w:ind w:left="480" w:hanging="480"/>
        <w:rPr>
          <w:rFonts w:ascii="Times New Roman" w:hAnsi="Times New Roman" w:cs="Times New Roman"/>
          <w:noProof/>
          <w:sz w:val="24"/>
        </w:rPr>
      </w:pPr>
      <w:r w:rsidRPr="00845961">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845961">
        <w:rPr>
          <w:rFonts w:ascii="Times New Roman" w:hAnsi="Times New Roman" w:cs="Times New Roman"/>
          <w:i/>
          <w:iCs/>
          <w:noProof/>
          <w:sz w:val="24"/>
          <w:szCs w:val="24"/>
        </w:rPr>
        <w:t>Current Biology</w:t>
      </w:r>
      <w:r w:rsidRPr="00845961">
        <w:rPr>
          <w:rFonts w:ascii="Times New Roman" w:hAnsi="Times New Roman" w:cs="Times New Roman"/>
          <w:noProof/>
          <w:sz w:val="24"/>
          <w:szCs w:val="24"/>
        </w:rPr>
        <w:t>. https://doi.org/10.1016/j.cub.2019.01.048</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4DA206A0"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s Panayi">
    <w15:presenceInfo w15:providerId="Windows Live" w15:userId="27192171903cb1e7"/>
  </w15:person>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24F94"/>
    <w:rsid w:val="000321D1"/>
    <w:rsid w:val="00034449"/>
    <w:rsid w:val="00034929"/>
    <w:rsid w:val="000421F5"/>
    <w:rsid w:val="00054192"/>
    <w:rsid w:val="000546A3"/>
    <w:rsid w:val="0006340D"/>
    <w:rsid w:val="00070894"/>
    <w:rsid w:val="0008038B"/>
    <w:rsid w:val="00082090"/>
    <w:rsid w:val="000823B3"/>
    <w:rsid w:val="000846C2"/>
    <w:rsid w:val="00086177"/>
    <w:rsid w:val="00096AB1"/>
    <w:rsid w:val="00097F82"/>
    <w:rsid w:val="000A6F1C"/>
    <w:rsid w:val="000B7F36"/>
    <w:rsid w:val="000C0F98"/>
    <w:rsid w:val="000C2A1B"/>
    <w:rsid w:val="000C3947"/>
    <w:rsid w:val="000D4D18"/>
    <w:rsid w:val="000D5EB8"/>
    <w:rsid w:val="000E06B2"/>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588C"/>
    <w:rsid w:val="001B71AE"/>
    <w:rsid w:val="001D1A88"/>
    <w:rsid w:val="001D5F7B"/>
    <w:rsid w:val="001E7F0F"/>
    <w:rsid w:val="001F06F9"/>
    <w:rsid w:val="001F1B6A"/>
    <w:rsid w:val="00200865"/>
    <w:rsid w:val="00223D9C"/>
    <w:rsid w:val="00227853"/>
    <w:rsid w:val="002302E3"/>
    <w:rsid w:val="00233B2B"/>
    <w:rsid w:val="00234420"/>
    <w:rsid w:val="0024781A"/>
    <w:rsid w:val="00271520"/>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515A4"/>
    <w:rsid w:val="00354550"/>
    <w:rsid w:val="0036108C"/>
    <w:rsid w:val="00362515"/>
    <w:rsid w:val="003638D9"/>
    <w:rsid w:val="00370078"/>
    <w:rsid w:val="003A0122"/>
    <w:rsid w:val="003A0471"/>
    <w:rsid w:val="003A1D65"/>
    <w:rsid w:val="003A29DA"/>
    <w:rsid w:val="003A2BED"/>
    <w:rsid w:val="003B2588"/>
    <w:rsid w:val="003B47AE"/>
    <w:rsid w:val="003B5074"/>
    <w:rsid w:val="003B74A4"/>
    <w:rsid w:val="003C0429"/>
    <w:rsid w:val="003C05AF"/>
    <w:rsid w:val="003E73BC"/>
    <w:rsid w:val="003F1B21"/>
    <w:rsid w:val="003F53B9"/>
    <w:rsid w:val="004003BA"/>
    <w:rsid w:val="004004F5"/>
    <w:rsid w:val="004007A7"/>
    <w:rsid w:val="00401A4F"/>
    <w:rsid w:val="004112AC"/>
    <w:rsid w:val="00411855"/>
    <w:rsid w:val="00416693"/>
    <w:rsid w:val="0042600B"/>
    <w:rsid w:val="0043230E"/>
    <w:rsid w:val="004428B6"/>
    <w:rsid w:val="00454E31"/>
    <w:rsid w:val="004617D6"/>
    <w:rsid w:val="00461AA6"/>
    <w:rsid w:val="00471AD1"/>
    <w:rsid w:val="00474FEF"/>
    <w:rsid w:val="004810C4"/>
    <w:rsid w:val="004815FF"/>
    <w:rsid w:val="00484236"/>
    <w:rsid w:val="00492286"/>
    <w:rsid w:val="004A233F"/>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942AE"/>
    <w:rsid w:val="005A6F01"/>
    <w:rsid w:val="005B16B7"/>
    <w:rsid w:val="005C5C64"/>
    <w:rsid w:val="005D1CF9"/>
    <w:rsid w:val="005D7251"/>
    <w:rsid w:val="005E4B43"/>
    <w:rsid w:val="005E6F84"/>
    <w:rsid w:val="0060368C"/>
    <w:rsid w:val="006102DA"/>
    <w:rsid w:val="00620B29"/>
    <w:rsid w:val="00622F74"/>
    <w:rsid w:val="0063312B"/>
    <w:rsid w:val="0063626C"/>
    <w:rsid w:val="006460C1"/>
    <w:rsid w:val="006466A1"/>
    <w:rsid w:val="00646AB6"/>
    <w:rsid w:val="00655C8A"/>
    <w:rsid w:val="0067799B"/>
    <w:rsid w:val="0068482A"/>
    <w:rsid w:val="00686D47"/>
    <w:rsid w:val="006950DC"/>
    <w:rsid w:val="006A24BC"/>
    <w:rsid w:val="006A6F42"/>
    <w:rsid w:val="006B0B09"/>
    <w:rsid w:val="006B24E7"/>
    <w:rsid w:val="006B6A85"/>
    <w:rsid w:val="006B76E3"/>
    <w:rsid w:val="006E2444"/>
    <w:rsid w:val="006E2E82"/>
    <w:rsid w:val="006E63CD"/>
    <w:rsid w:val="006F3958"/>
    <w:rsid w:val="006F3C36"/>
    <w:rsid w:val="006F5719"/>
    <w:rsid w:val="006F7DC9"/>
    <w:rsid w:val="00717F46"/>
    <w:rsid w:val="00733FAE"/>
    <w:rsid w:val="007424E9"/>
    <w:rsid w:val="00747447"/>
    <w:rsid w:val="007532E7"/>
    <w:rsid w:val="0075381C"/>
    <w:rsid w:val="00756785"/>
    <w:rsid w:val="00764388"/>
    <w:rsid w:val="00764CF6"/>
    <w:rsid w:val="00775B5B"/>
    <w:rsid w:val="00780429"/>
    <w:rsid w:val="00785DD6"/>
    <w:rsid w:val="00786614"/>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45961"/>
    <w:rsid w:val="0085145D"/>
    <w:rsid w:val="00851A0E"/>
    <w:rsid w:val="00855F3C"/>
    <w:rsid w:val="00857720"/>
    <w:rsid w:val="008650FB"/>
    <w:rsid w:val="00873394"/>
    <w:rsid w:val="008761B1"/>
    <w:rsid w:val="00883551"/>
    <w:rsid w:val="00893C52"/>
    <w:rsid w:val="00897C0F"/>
    <w:rsid w:val="008A12A1"/>
    <w:rsid w:val="008A2476"/>
    <w:rsid w:val="008A2F16"/>
    <w:rsid w:val="008A41A7"/>
    <w:rsid w:val="008A6A22"/>
    <w:rsid w:val="008B13D4"/>
    <w:rsid w:val="008C0345"/>
    <w:rsid w:val="008C4349"/>
    <w:rsid w:val="008D0CD6"/>
    <w:rsid w:val="008D77D0"/>
    <w:rsid w:val="008E1084"/>
    <w:rsid w:val="008E35AE"/>
    <w:rsid w:val="008E4543"/>
    <w:rsid w:val="008E5AC0"/>
    <w:rsid w:val="00901011"/>
    <w:rsid w:val="0090686E"/>
    <w:rsid w:val="0092451D"/>
    <w:rsid w:val="00925532"/>
    <w:rsid w:val="0093008D"/>
    <w:rsid w:val="009355EF"/>
    <w:rsid w:val="0093685E"/>
    <w:rsid w:val="00945730"/>
    <w:rsid w:val="0094576B"/>
    <w:rsid w:val="009662CE"/>
    <w:rsid w:val="00981BCA"/>
    <w:rsid w:val="00987025"/>
    <w:rsid w:val="009879CD"/>
    <w:rsid w:val="009A5A53"/>
    <w:rsid w:val="009B3288"/>
    <w:rsid w:val="009C1C4B"/>
    <w:rsid w:val="009C1F93"/>
    <w:rsid w:val="009C62F0"/>
    <w:rsid w:val="009D2307"/>
    <w:rsid w:val="009D5F15"/>
    <w:rsid w:val="009D7A59"/>
    <w:rsid w:val="009F2F9E"/>
    <w:rsid w:val="009F5AC3"/>
    <w:rsid w:val="009F75B9"/>
    <w:rsid w:val="009F7939"/>
    <w:rsid w:val="00A00B8B"/>
    <w:rsid w:val="00A06C66"/>
    <w:rsid w:val="00A21F34"/>
    <w:rsid w:val="00A40D84"/>
    <w:rsid w:val="00A4483A"/>
    <w:rsid w:val="00A463CC"/>
    <w:rsid w:val="00A5470A"/>
    <w:rsid w:val="00A621F2"/>
    <w:rsid w:val="00A70189"/>
    <w:rsid w:val="00A72A64"/>
    <w:rsid w:val="00A72A6B"/>
    <w:rsid w:val="00A866ED"/>
    <w:rsid w:val="00A87893"/>
    <w:rsid w:val="00A90288"/>
    <w:rsid w:val="00AA3743"/>
    <w:rsid w:val="00AA6C7D"/>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B591D"/>
    <w:rsid w:val="00BC20E6"/>
    <w:rsid w:val="00BD1176"/>
    <w:rsid w:val="00BD54A1"/>
    <w:rsid w:val="00BF368B"/>
    <w:rsid w:val="00C03720"/>
    <w:rsid w:val="00C07B99"/>
    <w:rsid w:val="00C07D9E"/>
    <w:rsid w:val="00C43B0F"/>
    <w:rsid w:val="00C458E3"/>
    <w:rsid w:val="00C5225F"/>
    <w:rsid w:val="00C52E84"/>
    <w:rsid w:val="00C57649"/>
    <w:rsid w:val="00C8188B"/>
    <w:rsid w:val="00C908DF"/>
    <w:rsid w:val="00C9406F"/>
    <w:rsid w:val="00CA560B"/>
    <w:rsid w:val="00CA6952"/>
    <w:rsid w:val="00CC02A5"/>
    <w:rsid w:val="00CC1204"/>
    <w:rsid w:val="00CD1B24"/>
    <w:rsid w:val="00CE05AA"/>
    <w:rsid w:val="00D161F9"/>
    <w:rsid w:val="00D30FCB"/>
    <w:rsid w:val="00D448AF"/>
    <w:rsid w:val="00D46F7E"/>
    <w:rsid w:val="00D53271"/>
    <w:rsid w:val="00D53432"/>
    <w:rsid w:val="00D551F0"/>
    <w:rsid w:val="00D60F2E"/>
    <w:rsid w:val="00D7602D"/>
    <w:rsid w:val="00D77087"/>
    <w:rsid w:val="00D77C48"/>
    <w:rsid w:val="00D81959"/>
    <w:rsid w:val="00D954FA"/>
    <w:rsid w:val="00DA224B"/>
    <w:rsid w:val="00DB5126"/>
    <w:rsid w:val="00DB728E"/>
    <w:rsid w:val="00DB790F"/>
    <w:rsid w:val="00DD6FD2"/>
    <w:rsid w:val="00DF27E0"/>
    <w:rsid w:val="00DF7BD4"/>
    <w:rsid w:val="00E1318C"/>
    <w:rsid w:val="00E151B0"/>
    <w:rsid w:val="00E568F5"/>
    <w:rsid w:val="00E64E7F"/>
    <w:rsid w:val="00E66077"/>
    <w:rsid w:val="00E7081A"/>
    <w:rsid w:val="00E72A30"/>
    <w:rsid w:val="00E85D1D"/>
    <w:rsid w:val="00EA20A3"/>
    <w:rsid w:val="00EB272D"/>
    <w:rsid w:val="00EC5BF5"/>
    <w:rsid w:val="00EC67A4"/>
    <w:rsid w:val="00ED6F26"/>
    <w:rsid w:val="00ED7C35"/>
    <w:rsid w:val="00F01107"/>
    <w:rsid w:val="00F04D98"/>
    <w:rsid w:val="00F05F87"/>
    <w:rsid w:val="00F0785D"/>
    <w:rsid w:val="00F07B1D"/>
    <w:rsid w:val="00F1254B"/>
    <w:rsid w:val="00F15325"/>
    <w:rsid w:val="00F22175"/>
    <w:rsid w:val="00F274AC"/>
    <w:rsid w:val="00F31ECA"/>
    <w:rsid w:val="00F32B1F"/>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AB2"/>
    <w:rsid w:val="00FF6C52"/>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F7B2-4A8A-4B62-BA24-E517CEA6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61</Pages>
  <Words>52866</Words>
  <Characters>301342</Characters>
  <Application>Microsoft Office Word</Application>
  <DocSecurity>0</DocSecurity>
  <Lines>2511</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77</cp:revision>
  <cp:lastPrinted>2020-10-16T15:37:00Z</cp:lastPrinted>
  <dcterms:created xsi:type="dcterms:W3CDTF">2020-10-16T15:35:00Z</dcterms:created>
  <dcterms:modified xsi:type="dcterms:W3CDTF">2021-01-22T17:49:00Z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