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79138" w14:textId="183CDA56" w:rsidR="00371C33" w:rsidRPr="001F007D" w:rsidRDefault="00371C33" w:rsidP="00ED39E7">
      <w:pPr>
        <w:rPr>
          <w:rFonts w:ascii="Times New Roman" w:hAnsi="Times New Roman" w:cs="Times New Roman"/>
          <w:bCs/>
          <w:sz w:val="24"/>
          <w:szCs w:val="24"/>
        </w:rPr>
      </w:pPr>
      <w:r w:rsidRPr="001F007D">
        <w:rPr>
          <w:rFonts w:ascii="Times New Roman" w:hAnsi="Times New Roman" w:cs="Times New Roman"/>
          <w:bCs/>
          <w:sz w:val="24"/>
          <w:szCs w:val="24"/>
        </w:rPr>
        <w:t xml:space="preserve">The orbitofrontal cortex (OFC) is critical to behavioural flexibility when learning and behaviour need to be updated to reflect a change in the environment [REFS]. In particular, the OFC is </w:t>
      </w:r>
      <w:r w:rsidR="00DD1601">
        <w:rPr>
          <w:rFonts w:ascii="Times New Roman" w:hAnsi="Times New Roman" w:cs="Times New Roman"/>
          <w:bCs/>
          <w:sz w:val="24"/>
          <w:szCs w:val="24"/>
        </w:rPr>
        <w:t xml:space="preserve">necessary for </w:t>
      </w:r>
      <w:r w:rsidR="001B44BD">
        <w:rPr>
          <w:rFonts w:ascii="Times New Roman" w:hAnsi="Times New Roman" w:cs="Times New Roman"/>
          <w:bCs/>
          <w:sz w:val="24"/>
          <w:szCs w:val="24"/>
        </w:rPr>
        <w:t xml:space="preserve">appropriately updating </w:t>
      </w:r>
      <w:r w:rsidR="005B77CF">
        <w:rPr>
          <w:rFonts w:ascii="Times New Roman" w:hAnsi="Times New Roman" w:cs="Times New Roman"/>
          <w:bCs/>
          <w:sz w:val="24"/>
          <w:szCs w:val="24"/>
        </w:rPr>
        <w:t>behavior</w:t>
      </w:r>
      <w:r w:rsidRPr="001F007D">
        <w:rPr>
          <w:rFonts w:ascii="Times New Roman" w:hAnsi="Times New Roman" w:cs="Times New Roman"/>
          <w:bCs/>
          <w:sz w:val="24"/>
          <w:szCs w:val="24"/>
        </w:rPr>
        <w:t xml:space="preserve"> when the contingencies between predictive cues and outcomes change, or when outcomes change in value [REFS]. Information encoded in the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[REFS]), furthermore the coding of these features develops over the course of learning to predictive cues in anticipation of the expected outcome.</w:t>
      </w:r>
      <w:r>
        <w:rPr>
          <w:rFonts w:ascii="Times New Roman" w:hAnsi="Times New Roman" w:cs="Times New Roman"/>
          <w:bCs/>
          <w:sz w:val="24"/>
          <w:szCs w:val="24"/>
        </w:rPr>
        <w:t xml:space="preserve"> There is also substantial evidence to suggest that this outcome expectancy information in the OFC is incorporated into mid-brain dopaminergic reward prediction errors [REFS], which are critical for learning [REFS].</w:t>
      </w:r>
    </w:p>
    <w:p w14:paraId="28729E08" w14:textId="36C64B09" w:rsidR="00361B6B" w:rsidRDefault="0005681E" w:rsidP="0005681E">
      <w:pPr>
        <w:ind w:firstLine="360"/>
        <w:rPr>
          <w:rFonts w:ascii="Times New Roman" w:hAnsi="Times New Roman" w:cs="Times New Roman"/>
          <w:bCs/>
          <w:sz w:val="24"/>
          <w:szCs w:val="24"/>
        </w:rPr>
      </w:pPr>
      <w:r w:rsidRPr="0005681E">
        <w:rPr>
          <w:rFonts w:ascii="Times New Roman" w:hAnsi="Times New Roman" w:cs="Times New Roman"/>
          <w:bCs/>
          <w:sz w:val="24"/>
          <w:szCs w:val="24"/>
        </w:rPr>
        <w:t>Most accounts of OFC function reconcile the encoding of these features of predicted outcomes with functional evidence following causal manipulations of OFC function such as lesions and functional inactivation.</w:t>
      </w:r>
      <w:r w:rsidR="0024476D">
        <w:rPr>
          <w:rFonts w:ascii="Times New Roman" w:hAnsi="Times New Roman" w:cs="Times New Roman"/>
          <w:bCs/>
          <w:sz w:val="24"/>
          <w:szCs w:val="24"/>
        </w:rPr>
        <w:t xml:space="preserve"> </w:t>
      </w:r>
      <w:r w:rsidR="00D55EEA">
        <w:rPr>
          <w:rFonts w:ascii="Times New Roman" w:hAnsi="Times New Roman" w:cs="Times New Roman"/>
          <w:bCs/>
          <w:sz w:val="24"/>
          <w:szCs w:val="24"/>
        </w:rPr>
        <w:t xml:space="preserve">For example, OFC lesions </w:t>
      </w:r>
      <w:r w:rsidR="001F6276">
        <w:rPr>
          <w:rFonts w:ascii="Times New Roman" w:hAnsi="Times New Roman" w:cs="Times New Roman"/>
          <w:bCs/>
          <w:sz w:val="24"/>
          <w:szCs w:val="24"/>
        </w:rPr>
        <w:t xml:space="preserve">reliably </w:t>
      </w:r>
      <w:r w:rsidR="00D55EEA">
        <w:rPr>
          <w:rFonts w:ascii="Times New Roman" w:hAnsi="Times New Roman" w:cs="Times New Roman"/>
          <w:bCs/>
          <w:sz w:val="24"/>
          <w:szCs w:val="24"/>
        </w:rPr>
        <w:t>disrupt appropriate behaviour in Pavlovian outcome devaluation tasks</w:t>
      </w:r>
      <w:r w:rsidR="00800AE5">
        <w:rPr>
          <w:rFonts w:ascii="Times New Roman" w:hAnsi="Times New Roman" w:cs="Times New Roman"/>
          <w:bCs/>
          <w:sz w:val="24"/>
          <w:szCs w:val="24"/>
        </w:rPr>
        <w:t xml:space="preserve"> in a range of species (REFS)</w:t>
      </w:r>
      <w:r w:rsidR="00D55EEA">
        <w:rPr>
          <w:rFonts w:ascii="Times New Roman" w:hAnsi="Times New Roman" w:cs="Times New Roman"/>
          <w:bCs/>
          <w:sz w:val="24"/>
          <w:szCs w:val="24"/>
        </w:rPr>
        <w:t xml:space="preserve">. </w:t>
      </w:r>
      <w:r w:rsidR="00EC10D4">
        <w:rPr>
          <w:rFonts w:ascii="Times New Roman" w:hAnsi="Times New Roman" w:cs="Times New Roman"/>
          <w:bCs/>
          <w:sz w:val="24"/>
          <w:szCs w:val="24"/>
        </w:rPr>
        <w:t>In this task the subject first learn</w:t>
      </w:r>
      <w:r w:rsidR="00A91468">
        <w:rPr>
          <w:rFonts w:ascii="Times New Roman" w:hAnsi="Times New Roman" w:cs="Times New Roman"/>
          <w:bCs/>
          <w:sz w:val="24"/>
          <w:szCs w:val="24"/>
        </w:rPr>
        <w:t>s that a cue predicts a</w:t>
      </w:r>
      <w:r w:rsidR="00DF4607">
        <w:rPr>
          <w:rFonts w:ascii="Times New Roman" w:hAnsi="Times New Roman" w:cs="Times New Roman"/>
          <w:bCs/>
          <w:sz w:val="24"/>
          <w:szCs w:val="24"/>
        </w:rPr>
        <w:t xml:space="preserve"> food reward </w:t>
      </w:r>
      <w:r w:rsidR="00A91468">
        <w:rPr>
          <w:rFonts w:ascii="Times New Roman" w:hAnsi="Times New Roman" w:cs="Times New Roman"/>
          <w:bCs/>
          <w:sz w:val="24"/>
          <w:szCs w:val="24"/>
        </w:rPr>
        <w:t>outcome (acquisition). Next, th</w:t>
      </w:r>
      <w:r w:rsidR="002E2B52">
        <w:rPr>
          <w:rFonts w:ascii="Times New Roman" w:hAnsi="Times New Roman" w:cs="Times New Roman"/>
          <w:bCs/>
          <w:sz w:val="24"/>
          <w:szCs w:val="24"/>
        </w:rPr>
        <w:t xml:space="preserve">e value of the outcome is </w:t>
      </w:r>
      <w:r w:rsidR="005B7D1F">
        <w:rPr>
          <w:rFonts w:ascii="Times New Roman" w:hAnsi="Times New Roman" w:cs="Times New Roman"/>
          <w:bCs/>
          <w:sz w:val="24"/>
          <w:szCs w:val="24"/>
        </w:rPr>
        <w:t xml:space="preserve">devalued, </w:t>
      </w:r>
      <w:r w:rsidR="00DF4607">
        <w:rPr>
          <w:rFonts w:ascii="Times New Roman" w:hAnsi="Times New Roman" w:cs="Times New Roman"/>
          <w:bCs/>
          <w:sz w:val="24"/>
          <w:szCs w:val="24"/>
        </w:rPr>
        <w:t xml:space="preserve">usually by pairing the consumption of the food reward with </w:t>
      </w:r>
      <w:r w:rsidR="00CF51C8">
        <w:rPr>
          <w:rFonts w:ascii="Times New Roman" w:hAnsi="Times New Roman" w:cs="Times New Roman"/>
          <w:bCs/>
          <w:sz w:val="24"/>
          <w:szCs w:val="24"/>
        </w:rPr>
        <w:t xml:space="preserve">illness or nausea to create a specific taste </w:t>
      </w:r>
      <w:r w:rsidR="00CC76C3">
        <w:rPr>
          <w:rFonts w:ascii="Times New Roman" w:hAnsi="Times New Roman" w:cs="Times New Roman"/>
          <w:bCs/>
          <w:sz w:val="24"/>
          <w:szCs w:val="24"/>
        </w:rPr>
        <w:t>aversion.</w:t>
      </w:r>
      <w:r w:rsidR="00241F01">
        <w:rPr>
          <w:rFonts w:ascii="Times New Roman" w:hAnsi="Times New Roman" w:cs="Times New Roman"/>
          <w:bCs/>
          <w:sz w:val="24"/>
          <w:szCs w:val="24"/>
        </w:rPr>
        <w:t xml:space="preserve"> Finally, at test the subject is presented with the</w:t>
      </w:r>
      <w:r w:rsidR="00981EE0">
        <w:rPr>
          <w:rFonts w:ascii="Times New Roman" w:hAnsi="Times New Roman" w:cs="Times New Roman"/>
          <w:bCs/>
          <w:sz w:val="24"/>
          <w:szCs w:val="24"/>
        </w:rPr>
        <w:t xml:space="preserve"> predictive cue again to </w:t>
      </w:r>
      <w:r w:rsidR="004F64A8">
        <w:rPr>
          <w:rFonts w:ascii="Times New Roman" w:hAnsi="Times New Roman" w:cs="Times New Roman"/>
          <w:bCs/>
          <w:sz w:val="24"/>
          <w:szCs w:val="24"/>
        </w:rPr>
        <w:t xml:space="preserve">assess how much they will respond in anticipation of the now </w:t>
      </w:r>
      <w:r w:rsidR="00306F2E">
        <w:rPr>
          <w:rFonts w:ascii="Times New Roman" w:hAnsi="Times New Roman" w:cs="Times New Roman"/>
          <w:bCs/>
          <w:sz w:val="24"/>
          <w:szCs w:val="24"/>
        </w:rPr>
        <w:t xml:space="preserve">undesirable outcome. Control subjects </w:t>
      </w:r>
      <w:r w:rsidR="00C243E6">
        <w:rPr>
          <w:rFonts w:ascii="Times New Roman" w:hAnsi="Times New Roman" w:cs="Times New Roman"/>
          <w:bCs/>
          <w:sz w:val="24"/>
          <w:szCs w:val="24"/>
        </w:rPr>
        <w:t>will significantly reduce their responding in the presence of the cue that predicts the devalued outcome</w:t>
      </w:r>
      <w:r w:rsidR="00B20B12">
        <w:rPr>
          <w:rFonts w:ascii="Times New Roman" w:hAnsi="Times New Roman" w:cs="Times New Roman"/>
          <w:bCs/>
          <w:sz w:val="24"/>
          <w:szCs w:val="24"/>
        </w:rPr>
        <w:t xml:space="preserve"> (the devaluation effect)</w:t>
      </w:r>
      <w:r w:rsidR="00C243E6">
        <w:rPr>
          <w:rFonts w:ascii="Times New Roman" w:hAnsi="Times New Roman" w:cs="Times New Roman"/>
          <w:bCs/>
          <w:sz w:val="24"/>
          <w:szCs w:val="24"/>
        </w:rPr>
        <w:t xml:space="preserve">, whereas </w:t>
      </w:r>
      <w:r w:rsidR="00D251D3">
        <w:rPr>
          <w:rFonts w:ascii="Times New Roman" w:hAnsi="Times New Roman" w:cs="Times New Roman"/>
          <w:bCs/>
          <w:sz w:val="24"/>
          <w:szCs w:val="24"/>
        </w:rPr>
        <w:t xml:space="preserve">animals with OFC lesions continue to respond for the devalued cue as if </w:t>
      </w:r>
      <w:r w:rsidR="00B857F4">
        <w:rPr>
          <w:rFonts w:ascii="Times New Roman" w:hAnsi="Times New Roman" w:cs="Times New Roman"/>
          <w:bCs/>
          <w:sz w:val="24"/>
          <w:szCs w:val="24"/>
        </w:rPr>
        <w:t xml:space="preserve">the taste aversion did not happen. Critically, </w:t>
      </w:r>
      <w:r w:rsidR="00C100BE">
        <w:rPr>
          <w:rFonts w:ascii="Times New Roman" w:hAnsi="Times New Roman" w:cs="Times New Roman"/>
          <w:bCs/>
          <w:sz w:val="24"/>
          <w:szCs w:val="24"/>
        </w:rPr>
        <w:t>OFC lesions do not disrupt the initial cue-outcome acquisition learning or the acquisition of a specific taste aversion</w:t>
      </w:r>
      <w:r w:rsidR="0082170C">
        <w:rPr>
          <w:rFonts w:ascii="Times New Roman" w:hAnsi="Times New Roman" w:cs="Times New Roman"/>
          <w:bCs/>
          <w:sz w:val="24"/>
          <w:szCs w:val="24"/>
        </w:rPr>
        <w:t xml:space="preserve">, suggesting that the OFC </w:t>
      </w:r>
      <w:r w:rsidR="001665A9">
        <w:rPr>
          <w:rFonts w:ascii="Times New Roman" w:hAnsi="Times New Roman" w:cs="Times New Roman"/>
          <w:bCs/>
          <w:sz w:val="24"/>
          <w:szCs w:val="24"/>
        </w:rPr>
        <w:t xml:space="preserve">necessary for the integration of the initial acquisition and </w:t>
      </w:r>
      <w:r w:rsidR="007D34D6">
        <w:rPr>
          <w:rFonts w:ascii="Times New Roman" w:hAnsi="Times New Roman" w:cs="Times New Roman"/>
          <w:bCs/>
          <w:sz w:val="24"/>
          <w:szCs w:val="24"/>
        </w:rPr>
        <w:t>taste-aversion learning</w:t>
      </w:r>
      <w:r w:rsidR="00F333C8">
        <w:rPr>
          <w:rFonts w:ascii="Times New Roman" w:hAnsi="Times New Roman" w:cs="Times New Roman"/>
          <w:bCs/>
          <w:sz w:val="24"/>
          <w:szCs w:val="24"/>
        </w:rPr>
        <w:t xml:space="preserve">. </w:t>
      </w:r>
    </w:p>
    <w:p w14:paraId="2AA01631" w14:textId="3EAB1CEA" w:rsidR="00B9576A" w:rsidRDefault="00141B9C" w:rsidP="00141B9C">
      <w:pPr>
        <w:ind w:firstLine="360"/>
        <w:rPr>
          <w:rFonts w:ascii="Times New Roman" w:hAnsi="Times New Roman" w:cs="Times New Roman"/>
          <w:bCs/>
          <w:sz w:val="24"/>
          <w:szCs w:val="24"/>
        </w:rPr>
      </w:pPr>
      <w:r w:rsidRPr="00141B9C">
        <w:rPr>
          <w:rFonts w:ascii="Times New Roman" w:hAnsi="Times New Roman" w:cs="Times New Roman"/>
          <w:bCs/>
          <w:sz w:val="24"/>
          <w:szCs w:val="24"/>
        </w:rPr>
        <w:t>To account for the effect of OFC lesions on outcome devaluation, one influential class of theories</w:t>
      </w:r>
      <w:r w:rsidR="00715661">
        <w:rPr>
          <w:rFonts w:ascii="Times New Roman" w:hAnsi="Times New Roman" w:cs="Times New Roman"/>
          <w:bCs/>
          <w:sz w:val="24"/>
          <w:szCs w:val="24"/>
        </w:rPr>
        <w:t xml:space="preserve"> </w:t>
      </w:r>
      <w:r w:rsidR="006243D2">
        <w:rPr>
          <w:rFonts w:ascii="Times New Roman" w:hAnsi="Times New Roman" w:cs="Times New Roman"/>
          <w:bCs/>
          <w:sz w:val="24"/>
          <w:szCs w:val="24"/>
        </w:rPr>
        <w:t>using an associative learning framework</w:t>
      </w:r>
      <w:r w:rsidRPr="00141B9C">
        <w:rPr>
          <w:rFonts w:ascii="Times New Roman" w:hAnsi="Times New Roman" w:cs="Times New Roman"/>
          <w:bCs/>
          <w:sz w:val="24"/>
          <w:szCs w:val="24"/>
        </w:rPr>
        <w:t xml:space="preserve"> suggests that the OFC represents information regarding the identity and stimulus specific properties of expected outcomes</w:t>
      </w:r>
      <w:r w:rsidR="001245F1">
        <w:rPr>
          <w:rFonts w:ascii="Times New Roman" w:hAnsi="Times New Roman" w:cs="Times New Roman"/>
          <w:bCs/>
          <w:sz w:val="24"/>
          <w:szCs w:val="24"/>
        </w:rPr>
        <w:t xml:space="preserve"> [REFS]</w:t>
      </w:r>
      <w:r>
        <w:rPr>
          <w:rFonts w:ascii="Times New Roman" w:hAnsi="Times New Roman" w:cs="Times New Roman"/>
          <w:bCs/>
          <w:sz w:val="24"/>
          <w:szCs w:val="24"/>
        </w:rPr>
        <w:t>.</w:t>
      </w:r>
      <w:r w:rsidR="001245F1">
        <w:rPr>
          <w:rFonts w:ascii="Times New Roman" w:hAnsi="Times New Roman" w:cs="Times New Roman"/>
          <w:bCs/>
          <w:sz w:val="24"/>
          <w:szCs w:val="24"/>
        </w:rPr>
        <w:t xml:space="preserve"> </w:t>
      </w:r>
      <w:r w:rsidR="00FD1DAE">
        <w:rPr>
          <w:rFonts w:ascii="Times New Roman" w:hAnsi="Times New Roman" w:cs="Times New Roman"/>
          <w:bCs/>
          <w:sz w:val="24"/>
          <w:szCs w:val="24"/>
        </w:rPr>
        <w:t xml:space="preserve">Appropriate performance in a devaluation test requires the subject to </w:t>
      </w:r>
      <w:r w:rsidR="00860445">
        <w:rPr>
          <w:rFonts w:ascii="Times New Roman" w:hAnsi="Times New Roman" w:cs="Times New Roman"/>
          <w:bCs/>
          <w:sz w:val="24"/>
          <w:szCs w:val="24"/>
        </w:rPr>
        <w:t>represent</w:t>
      </w:r>
      <w:r w:rsidR="000B0B4F">
        <w:rPr>
          <w:rFonts w:ascii="Times New Roman" w:hAnsi="Times New Roman" w:cs="Times New Roman"/>
          <w:bCs/>
          <w:sz w:val="24"/>
          <w:szCs w:val="24"/>
        </w:rPr>
        <w:t xml:space="preserve"> the specific identity of the expected outcome predicted by the </w:t>
      </w:r>
      <w:r w:rsidR="00C43331">
        <w:rPr>
          <w:rFonts w:ascii="Times New Roman" w:hAnsi="Times New Roman" w:cs="Times New Roman"/>
          <w:bCs/>
          <w:sz w:val="24"/>
          <w:szCs w:val="24"/>
        </w:rPr>
        <w:t>cue and</w:t>
      </w:r>
      <w:r w:rsidR="00860445">
        <w:rPr>
          <w:rFonts w:ascii="Times New Roman" w:hAnsi="Times New Roman" w:cs="Times New Roman"/>
          <w:bCs/>
          <w:sz w:val="24"/>
          <w:szCs w:val="24"/>
        </w:rPr>
        <w:t xml:space="preserve"> know</w:t>
      </w:r>
      <w:r w:rsidR="00ED6B63">
        <w:rPr>
          <w:rFonts w:ascii="Times New Roman" w:hAnsi="Times New Roman" w:cs="Times New Roman"/>
          <w:bCs/>
          <w:sz w:val="24"/>
          <w:szCs w:val="24"/>
        </w:rPr>
        <w:t xml:space="preserve"> that this particular outcome has recently become undesirable</w:t>
      </w:r>
      <w:r w:rsidR="000B0B4F">
        <w:rPr>
          <w:rFonts w:ascii="Times New Roman" w:hAnsi="Times New Roman" w:cs="Times New Roman"/>
          <w:bCs/>
          <w:sz w:val="24"/>
          <w:szCs w:val="24"/>
        </w:rPr>
        <w:t>.</w:t>
      </w:r>
      <w:r w:rsidR="00ED6B63">
        <w:rPr>
          <w:rFonts w:ascii="Times New Roman" w:hAnsi="Times New Roman" w:cs="Times New Roman"/>
          <w:bCs/>
          <w:sz w:val="24"/>
          <w:szCs w:val="24"/>
        </w:rPr>
        <w:t xml:space="preserve"> OFC lesions </w:t>
      </w:r>
      <w:r w:rsidR="00B1279E">
        <w:rPr>
          <w:rFonts w:ascii="Times New Roman" w:hAnsi="Times New Roman" w:cs="Times New Roman"/>
          <w:bCs/>
          <w:sz w:val="24"/>
          <w:szCs w:val="24"/>
        </w:rPr>
        <w:t xml:space="preserve">disrupt the </w:t>
      </w:r>
      <w:r w:rsidR="002C5570">
        <w:rPr>
          <w:rFonts w:ascii="Times New Roman" w:hAnsi="Times New Roman" w:cs="Times New Roman"/>
          <w:bCs/>
          <w:sz w:val="24"/>
          <w:szCs w:val="24"/>
        </w:rPr>
        <w:t>subject’s</w:t>
      </w:r>
      <w:r w:rsidR="00B1279E">
        <w:rPr>
          <w:rFonts w:ascii="Times New Roman" w:hAnsi="Times New Roman" w:cs="Times New Roman"/>
          <w:bCs/>
          <w:sz w:val="24"/>
          <w:szCs w:val="24"/>
        </w:rPr>
        <w:t xml:space="preserve"> ability to represent the identity of the expected outcome</w:t>
      </w:r>
      <w:r w:rsidR="007C26F3">
        <w:rPr>
          <w:rFonts w:ascii="Times New Roman" w:hAnsi="Times New Roman" w:cs="Times New Roman"/>
          <w:bCs/>
          <w:sz w:val="24"/>
          <w:szCs w:val="24"/>
        </w:rPr>
        <w:t xml:space="preserve">, so they continue to respond in anticipation </w:t>
      </w:r>
      <w:r w:rsidR="002C5570">
        <w:rPr>
          <w:rFonts w:ascii="Times New Roman" w:hAnsi="Times New Roman" w:cs="Times New Roman"/>
          <w:bCs/>
          <w:sz w:val="24"/>
          <w:szCs w:val="24"/>
        </w:rPr>
        <w:t>o</w:t>
      </w:r>
      <w:r w:rsidR="00D629FB">
        <w:rPr>
          <w:rFonts w:ascii="Times New Roman" w:hAnsi="Times New Roman" w:cs="Times New Roman"/>
          <w:bCs/>
          <w:sz w:val="24"/>
          <w:szCs w:val="24"/>
        </w:rPr>
        <w:t xml:space="preserve">f the outcome. Informally, </w:t>
      </w:r>
      <w:r w:rsidR="00363416">
        <w:rPr>
          <w:rFonts w:ascii="Times New Roman" w:hAnsi="Times New Roman" w:cs="Times New Roman"/>
          <w:bCs/>
          <w:sz w:val="24"/>
          <w:szCs w:val="24"/>
        </w:rPr>
        <w:t xml:space="preserve">the subjects </w:t>
      </w:r>
      <w:r w:rsidR="00CF3ABA">
        <w:rPr>
          <w:rFonts w:ascii="Times New Roman" w:hAnsi="Times New Roman" w:cs="Times New Roman"/>
          <w:bCs/>
          <w:sz w:val="24"/>
          <w:szCs w:val="24"/>
        </w:rPr>
        <w:t xml:space="preserve">are expecting an outcome, but </w:t>
      </w:r>
      <w:r w:rsidR="008C7D3A">
        <w:rPr>
          <w:rFonts w:ascii="Times New Roman" w:hAnsi="Times New Roman" w:cs="Times New Roman"/>
          <w:bCs/>
          <w:sz w:val="24"/>
          <w:szCs w:val="24"/>
        </w:rPr>
        <w:t>do not know what outcome they are expecting.</w:t>
      </w:r>
    </w:p>
    <w:p w14:paraId="33CC7A34" w14:textId="0A0479E4" w:rsidR="00F571C9" w:rsidRDefault="00C43331" w:rsidP="00F571C9">
      <w:pPr>
        <w:ind w:firstLine="360"/>
        <w:rPr>
          <w:rFonts w:ascii="Times New Roman" w:hAnsi="Times New Roman" w:cs="Times New Roman"/>
          <w:bCs/>
          <w:sz w:val="24"/>
          <w:szCs w:val="24"/>
        </w:rPr>
      </w:pPr>
      <w:r w:rsidRPr="00F571C9">
        <w:rPr>
          <w:rFonts w:ascii="Times New Roman" w:hAnsi="Times New Roman" w:cs="Times New Roman"/>
          <w:bCs/>
          <w:sz w:val="24"/>
          <w:szCs w:val="24"/>
        </w:rPr>
        <w:t>A second</w:t>
      </w:r>
      <w:r w:rsidR="009D524A" w:rsidRPr="00F571C9">
        <w:rPr>
          <w:rFonts w:ascii="Times New Roman" w:hAnsi="Times New Roman" w:cs="Times New Roman"/>
          <w:bCs/>
          <w:sz w:val="24"/>
          <w:szCs w:val="24"/>
        </w:rPr>
        <w:t xml:space="preserve">, but </w:t>
      </w:r>
      <w:r w:rsidRPr="00F571C9">
        <w:rPr>
          <w:rFonts w:ascii="Times New Roman" w:hAnsi="Times New Roman" w:cs="Times New Roman"/>
          <w:bCs/>
          <w:sz w:val="24"/>
          <w:szCs w:val="24"/>
        </w:rPr>
        <w:t xml:space="preserve">complementary class of theories </w:t>
      </w:r>
      <w:r w:rsidR="006243D2">
        <w:rPr>
          <w:rFonts w:ascii="Times New Roman" w:hAnsi="Times New Roman" w:cs="Times New Roman"/>
          <w:bCs/>
          <w:sz w:val="24"/>
          <w:szCs w:val="24"/>
        </w:rPr>
        <w:t xml:space="preserve">using a reinforcement learning framework </w:t>
      </w:r>
      <w:r w:rsidRPr="00F571C9">
        <w:rPr>
          <w:rFonts w:ascii="Times New Roman" w:hAnsi="Times New Roman" w:cs="Times New Roman"/>
          <w:bCs/>
          <w:sz w:val="24"/>
          <w:szCs w:val="24"/>
        </w:rPr>
        <w:t>suggests that the OFC is necessary for the representation of latent state information</w:t>
      </w:r>
      <w:r w:rsidR="009D524A" w:rsidRPr="00F571C9">
        <w:rPr>
          <w:rFonts w:ascii="Times New Roman" w:hAnsi="Times New Roman" w:cs="Times New Roman"/>
          <w:bCs/>
          <w:sz w:val="24"/>
          <w:szCs w:val="24"/>
        </w:rPr>
        <w:t xml:space="preserve"> (REFS)</w:t>
      </w:r>
      <w:r w:rsidRPr="00F571C9">
        <w:rPr>
          <w:rFonts w:ascii="Times New Roman" w:hAnsi="Times New Roman" w:cs="Times New Roman"/>
          <w:bCs/>
          <w:sz w:val="24"/>
          <w:szCs w:val="24"/>
        </w:rPr>
        <w:t xml:space="preserve">. In reinforcement learning models, tasks </w:t>
      </w:r>
      <w:r w:rsidR="00D26B5A" w:rsidRPr="00F571C9">
        <w:rPr>
          <w:rFonts w:ascii="Times New Roman" w:hAnsi="Times New Roman" w:cs="Times New Roman"/>
          <w:bCs/>
          <w:sz w:val="24"/>
          <w:szCs w:val="24"/>
        </w:rPr>
        <w:t>such as Pavlovian conditioning can be</w:t>
      </w:r>
      <w:r w:rsidRPr="00F571C9">
        <w:rPr>
          <w:rFonts w:ascii="Times New Roman" w:hAnsi="Times New Roman" w:cs="Times New Roman"/>
          <w:bCs/>
          <w:sz w:val="24"/>
          <w:szCs w:val="24"/>
        </w:rPr>
        <w:t xml:space="preserve"> divided into discrete states, such as “cue on</w:t>
      </w:r>
      <w:r w:rsidR="006F737B" w:rsidRPr="00F571C9">
        <w:rPr>
          <w:rFonts w:ascii="Times New Roman" w:hAnsi="Times New Roman" w:cs="Times New Roman"/>
          <w:bCs/>
          <w:sz w:val="24"/>
          <w:szCs w:val="24"/>
        </w:rPr>
        <w:t xml:space="preserve">”, </w:t>
      </w:r>
      <w:r w:rsidRPr="00F571C9">
        <w:rPr>
          <w:rFonts w:ascii="Times New Roman" w:hAnsi="Times New Roman" w:cs="Times New Roman"/>
          <w:bCs/>
          <w:sz w:val="24"/>
          <w:szCs w:val="24"/>
        </w:rPr>
        <w:t>“cue off”</w:t>
      </w:r>
      <w:r w:rsidR="00995D81" w:rsidRPr="00F571C9">
        <w:rPr>
          <w:rFonts w:ascii="Times New Roman" w:hAnsi="Times New Roman" w:cs="Times New Roman"/>
          <w:bCs/>
          <w:sz w:val="24"/>
          <w:szCs w:val="24"/>
        </w:rPr>
        <w:t xml:space="preserve">, </w:t>
      </w:r>
      <w:r w:rsidR="006F737B" w:rsidRPr="00F571C9">
        <w:rPr>
          <w:rFonts w:ascii="Times New Roman" w:hAnsi="Times New Roman" w:cs="Times New Roman"/>
          <w:bCs/>
          <w:sz w:val="24"/>
          <w:szCs w:val="24"/>
        </w:rPr>
        <w:t xml:space="preserve">and </w:t>
      </w:r>
      <w:r w:rsidR="00995D81" w:rsidRPr="00F571C9">
        <w:rPr>
          <w:rFonts w:ascii="Times New Roman" w:hAnsi="Times New Roman" w:cs="Times New Roman"/>
          <w:bCs/>
          <w:sz w:val="24"/>
          <w:szCs w:val="24"/>
        </w:rPr>
        <w:t>“reward”</w:t>
      </w:r>
      <w:r w:rsidRPr="00F571C9">
        <w:rPr>
          <w:rFonts w:ascii="Times New Roman" w:hAnsi="Times New Roman" w:cs="Times New Roman"/>
          <w:bCs/>
          <w:sz w:val="24"/>
          <w:szCs w:val="24"/>
        </w:rPr>
        <w:t>, which can be tied to physically observable stimuli e.g. a light</w:t>
      </w:r>
      <w:r w:rsidR="006F737B" w:rsidRPr="00F571C9">
        <w:rPr>
          <w:rFonts w:ascii="Times New Roman" w:hAnsi="Times New Roman" w:cs="Times New Roman"/>
          <w:bCs/>
          <w:sz w:val="24"/>
          <w:szCs w:val="24"/>
        </w:rPr>
        <w:t xml:space="preserve"> or reward delivery</w:t>
      </w:r>
      <w:r w:rsidRPr="00F571C9">
        <w:rPr>
          <w:rFonts w:ascii="Times New Roman" w:hAnsi="Times New Roman" w:cs="Times New Roman"/>
          <w:bCs/>
          <w:sz w:val="24"/>
          <w:szCs w:val="24"/>
        </w:rPr>
        <w:t xml:space="preserve">. However, a change in task state can also be signaled by partially observable information recalled into working memory such as reinforcement history. For example, in the test phase of a devaluation procedure, the animal might need to recall the </w:t>
      </w:r>
      <w:r w:rsidRPr="00F571C9">
        <w:rPr>
          <w:rFonts w:ascii="Times New Roman" w:hAnsi="Times New Roman" w:cs="Times New Roman"/>
          <w:bCs/>
          <w:sz w:val="24"/>
          <w:szCs w:val="24"/>
        </w:rPr>
        <w:lastRenderedPageBreak/>
        <w:t>following chain of events to appropriately reduce responding cue -&gt; outcome -&gt; illness, thus going from an observable state (cue) to a chain of inference over a series of recalled partially observable states (outcome -&gt; illness). In this class of models, the OFC is necessary for the representation of these</w:t>
      </w:r>
      <w:r w:rsidR="00995D81" w:rsidRPr="00F571C9">
        <w:rPr>
          <w:rFonts w:ascii="Times New Roman" w:hAnsi="Times New Roman" w:cs="Times New Roman"/>
          <w:bCs/>
          <w:sz w:val="24"/>
          <w:szCs w:val="24"/>
        </w:rPr>
        <w:t xml:space="preserve"> partially observable</w:t>
      </w:r>
      <w:r w:rsidRPr="00F571C9">
        <w:rPr>
          <w:rFonts w:ascii="Times New Roman" w:hAnsi="Times New Roman" w:cs="Times New Roman"/>
          <w:bCs/>
          <w:sz w:val="24"/>
          <w:szCs w:val="24"/>
        </w:rPr>
        <w:t xml:space="preserve"> latent states. In a devaluation test, OFC lesions would therefore impair the ability to represent and subsequently make an inference using these latent states.</w:t>
      </w:r>
      <w:r w:rsidR="00F571C9" w:rsidRPr="00F571C9">
        <w:rPr>
          <w:rFonts w:ascii="Times New Roman" w:hAnsi="Times New Roman" w:cs="Times New Roman"/>
          <w:bCs/>
          <w:sz w:val="24"/>
          <w:szCs w:val="24"/>
        </w:rPr>
        <w:t xml:space="preserve"> </w:t>
      </w:r>
    </w:p>
    <w:p w14:paraId="43B13F76" w14:textId="24262838" w:rsidR="00F571C9" w:rsidRDefault="00F571C9" w:rsidP="00F571C9">
      <w:pPr>
        <w:ind w:firstLine="360"/>
        <w:rPr>
          <w:rFonts w:ascii="Times New Roman" w:hAnsi="Times New Roman" w:cs="Times New Roman"/>
          <w:bCs/>
          <w:sz w:val="24"/>
          <w:szCs w:val="24"/>
        </w:rPr>
      </w:pPr>
      <w:proofErr w:type="gramStart"/>
      <w:r w:rsidRPr="00F571C9">
        <w:rPr>
          <w:rFonts w:ascii="Times New Roman" w:hAnsi="Times New Roman" w:cs="Times New Roman"/>
          <w:bCs/>
          <w:sz w:val="24"/>
          <w:szCs w:val="24"/>
        </w:rPr>
        <w:t>Both of these</w:t>
      </w:r>
      <w:proofErr w:type="gramEnd"/>
      <w:r w:rsidRPr="00F571C9">
        <w:rPr>
          <w:rFonts w:ascii="Times New Roman" w:hAnsi="Times New Roman" w:cs="Times New Roman"/>
          <w:bCs/>
          <w:sz w:val="24"/>
          <w:szCs w:val="24"/>
        </w:rPr>
        <w:t xml:space="preserve"> </w:t>
      </w:r>
      <w:r w:rsidR="00D778BB">
        <w:rPr>
          <w:rFonts w:ascii="Times New Roman" w:hAnsi="Times New Roman" w:cs="Times New Roman"/>
          <w:bCs/>
          <w:sz w:val="24"/>
          <w:szCs w:val="24"/>
        </w:rPr>
        <w:t>theories</w:t>
      </w:r>
      <w:r w:rsidRPr="00F571C9">
        <w:rPr>
          <w:rFonts w:ascii="Times New Roman" w:hAnsi="Times New Roman" w:cs="Times New Roman"/>
          <w:bCs/>
          <w:sz w:val="24"/>
          <w:szCs w:val="24"/>
        </w:rPr>
        <w:t xml:space="preserve">, while couched in different computational and theoretical frameworks, suggest similar roles for the OFC. Latent states encompass </w:t>
      </w:r>
      <w:r w:rsidR="00E73079">
        <w:rPr>
          <w:rFonts w:ascii="Times New Roman" w:hAnsi="Times New Roman" w:cs="Times New Roman"/>
          <w:bCs/>
          <w:sz w:val="24"/>
          <w:szCs w:val="24"/>
        </w:rPr>
        <w:t xml:space="preserve">specific </w:t>
      </w:r>
      <w:r w:rsidRPr="00F571C9">
        <w:rPr>
          <w:rFonts w:ascii="Times New Roman" w:hAnsi="Times New Roman" w:cs="Times New Roman"/>
          <w:bCs/>
          <w:sz w:val="24"/>
          <w:szCs w:val="24"/>
        </w:rPr>
        <w:t>outcome expectancies and include broader category of potential stimuli (e.g. internal context).</w:t>
      </w:r>
      <w:r w:rsidR="00E73079" w:rsidRPr="00E73079">
        <w:rPr>
          <w:rFonts w:ascii="Times New Roman" w:hAnsi="Times New Roman" w:cs="Times New Roman"/>
          <w:bCs/>
          <w:sz w:val="24"/>
          <w:szCs w:val="24"/>
        </w:rPr>
        <w:t xml:space="preserve"> </w:t>
      </w:r>
      <w:r w:rsidR="00E73079" w:rsidRPr="008F6113">
        <w:rPr>
          <w:rFonts w:ascii="Times New Roman" w:hAnsi="Times New Roman" w:cs="Times New Roman"/>
          <w:bCs/>
          <w:sz w:val="24"/>
          <w:szCs w:val="24"/>
        </w:rPr>
        <w:t>Unsurprisingly, the key empirical findings following OFC lesions that are modelled involve tasks in which the animal must rely on latent states to successfully update behaviour.</w:t>
      </w:r>
      <w:r w:rsidR="00E73079">
        <w:rPr>
          <w:rFonts w:ascii="Times New Roman" w:hAnsi="Times New Roman" w:cs="Times New Roman"/>
          <w:bCs/>
          <w:sz w:val="24"/>
          <w:szCs w:val="24"/>
        </w:rPr>
        <w:t xml:space="preserve"> Th</w:t>
      </w:r>
      <w:r w:rsidR="00EC360A">
        <w:rPr>
          <w:rFonts w:ascii="Times New Roman" w:hAnsi="Times New Roman" w:cs="Times New Roman"/>
          <w:bCs/>
          <w:sz w:val="24"/>
          <w:szCs w:val="24"/>
        </w:rPr>
        <w:t>is</w:t>
      </w:r>
      <w:r w:rsidR="00E73079">
        <w:rPr>
          <w:rFonts w:ascii="Times New Roman" w:hAnsi="Times New Roman" w:cs="Times New Roman"/>
          <w:bCs/>
          <w:sz w:val="24"/>
          <w:szCs w:val="24"/>
        </w:rPr>
        <w:t xml:space="preserve"> core set of findings are, extinction (</w:t>
      </w:r>
      <w:r w:rsidR="00E73079" w:rsidRPr="008F6113">
        <w:rPr>
          <w:rFonts w:ascii="Times New Roman" w:hAnsi="Times New Roman" w:cs="Times New Roman"/>
          <w:bCs/>
          <w:sz w:val="24"/>
          <w:szCs w:val="24"/>
        </w:rPr>
        <w:t>when rewards are no longer available</w:t>
      </w:r>
      <w:r w:rsidR="00E73079">
        <w:rPr>
          <w:rFonts w:ascii="Times New Roman" w:hAnsi="Times New Roman" w:cs="Times New Roman"/>
          <w:bCs/>
          <w:sz w:val="24"/>
          <w:szCs w:val="24"/>
        </w:rPr>
        <w:t>), reversal learning (</w:t>
      </w:r>
      <w:r w:rsidR="00E73079" w:rsidRPr="008F6113">
        <w:rPr>
          <w:rFonts w:ascii="Times New Roman" w:hAnsi="Times New Roman" w:cs="Times New Roman"/>
          <w:bCs/>
          <w:sz w:val="24"/>
          <w:szCs w:val="24"/>
        </w:rPr>
        <w:t>when cue-outcome contingencies change</w:t>
      </w:r>
      <w:r w:rsidR="00E73079">
        <w:rPr>
          <w:rFonts w:ascii="Times New Roman" w:hAnsi="Times New Roman" w:cs="Times New Roman"/>
          <w:bCs/>
          <w:sz w:val="24"/>
          <w:szCs w:val="24"/>
        </w:rPr>
        <w:t>)</w:t>
      </w:r>
      <w:r w:rsidR="00E73079" w:rsidRPr="008F6113">
        <w:rPr>
          <w:rFonts w:ascii="Times New Roman" w:hAnsi="Times New Roman" w:cs="Times New Roman"/>
          <w:bCs/>
          <w:sz w:val="24"/>
          <w:szCs w:val="24"/>
        </w:rPr>
        <w:t xml:space="preserve">, </w:t>
      </w:r>
      <w:r w:rsidR="00E73079">
        <w:rPr>
          <w:rFonts w:ascii="Times New Roman" w:hAnsi="Times New Roman" w:cs="Times New Roman"/>
          <w:bCs/>
          <w:sz w:val="24"/>
          <w:szCs w:val="24"/>
        </w:rPr>
        <w:t>and over-expectation (</w:t>
      </w:r>
      <w:r w:rsidR="00E73079" w:rsidRPr="008F6113">
        <w:rPr>
          <w:rFonts w:ascii="Times New Roman" w:hAnsi="Times New Roman" w:cs="Times New Roman"/>
          <w:bCs/>
          <w:sz w:val="24"/>
          <w:szCs w:val="24"/>
        </w:rPr>
        <w:t>when multiple outcome</w:t>
      </w:r>
      <w:r w:rsidR="00E73079">
        <w:rPr>
          <w:rFonts w:ascii="Times New Roman" w:hAnsi="Times New Roman" w:cs="Times New Roman"/>
          <w:bCs/>
          <w:sz w:val="24"/>
          <w:szCs w:val="24"/>
        </w:rPr>
        <w:t xml:space="preserve"> expectancies must be integrated). </w:t>
      </w:r>
      <w:r w:rsidR="00E5168D">
        <w:rPr>
          <w:rFonts w:ascii="Times New Roman" w:hAnsi="Times New Roman" w:cs="Times New Roman"/>
          <w:bCs/>
          <w:sz w:val="24"/>
          <w:szCs w:val="24"/>
        </w:rPr>
        <w:t>Importantly, t</w:t>
      </w:r>
      <w:r w:rsidR="00E73079">
        <w:rPr>
          <w:rFonts w:ascii="Times New Roman" w:hAnsi="Times New Roman" w:cs="Times New Roman"/>
          <w:bCs/>
          <w:sz w:val="24"/>
          <w:szCs w:val="24"/>
        </w:rPr>
        <w:t>hese core deficits are also accompanied by a critical null result, the finding that initial acquisition learning is often unaffected by OFC lesions.</w:t>
      </w:r>
    </w:p>
    <w:p w14:paraId="66E1B180" w14:textId="509DCE23" w:rsidR="00D33D99" w:rsidRDefault="00D33D99" w:rsidP="00D33D99">
      <w:pPr>
        <w:ind w:firstLine="360"/>
        <w:rPr>
          <w:rFonts w:ascii="Times New Roman" w:hAnsi="Times New Roman" w:cs="Times New Roman"/>
          <w:bCs/>
          <w:sz w:val="24"/>
          <w:szCs w:val="24"/>
        </w:rPr>
      </w:pPr>
      <w:r w:rsidRPr="00D33D99">
        <w:rPr>
          <w:rFonts w:ascii="Times New Roman" w:hAnsi="Times New Roman" w:cs="Times New Roman"/>
          <w:bCs/>
          <w:sz w:val="24"/>
          <w:szCs w:val="24"/>
        </w:rPr>
        <w:t>However, close inspection of the available data suggests that the evidence for a null effect of OFC lesions on acquisition may not be clear or complete. For example, Pavlovian cue-outcome learning studies investigating OFC lesions do not fully train the cue-outcome associations to a behavioural asymptote [REFS] before transitioning to the next phase of the experimental procedure. Similarly, many training protocols involve discrete choice procedures in which OFC lesion and control subjects reach a ceiling level of performance quite rapidly and there is low sensitivity in choice measures to assess differences in response strength [REFS]. Intriguingly, Schoenbaum et al (REFS) have reported no difference between OFC lesion and control animals in the acquisition of a discrete trial go-no learning task (as measured by the number of trials to criterion), but a significant effect of lesions on response latencies.</w:t>
      </w:r>
      <w:r w:rsidR="009010DA">
        <w:rPr>
          <w:rFonts w:ascii="Times New Roman" w:hAnsi="Times New Roman" w:cs="Times New Roman"/>
          <w:bCs/>
          <w:sz w:val="24"/>
          <w:szCs w:val="24"/>
        </w:rPr>
        <w:t xml:space="preserve"> This suggests that</w:t>
      </w:r>
      <w:r w:rsidR="00BA1A91">
        <w:rPr>
          <w:rFonts w:ascii="Times New Roman" w:hAnsi="Times New Roman" w:cs="Times New Roman"/>
          <w:bCs/>
          <w:sz w:val="24"/>
          <w:szCs w:val="24"/>
        </w:rPr>
        <w:t xml:space="preserve"> OFC lesions may cause differences in the asymptote </w:t>
      </w:r>
      <w:r w:rsidR="00391B02">
        <w:rPr>
          <w:rFonts w:ascii="Times New Roman" w:hAnsi="Times New Roman" w:cs="Times New Roman"/>
          <w:bCs/>
          <w:sz w:val="24"/>
          <w:szCs w:val="24"/>
        </w:rPr>
        <w:t xml:space="preserve">of conditioning </w:t>
      </w:r>
      <w:r w:rsidR="008008AE">
        <w:rPr>
          <w:rFonts w:ascii="Times New Roman" w:hAnsi="Times New Roman" w:cs="Times New Roman"/>
          <w:bCs/>
          <w:sz w:val="24"/>
          <w:szCs w:val="24"/>
        </w:rPr>
        <w:t xml:space="preserve">that can be detected by a </w:t>
      </w:r>
      <w:r w:rsidR="008665CD">
        <w:rPr>
          <w:rFonts w:ascii="Times New Roman" w:hAnsi="Times New Roman" w:cs="Times New Roman"/>
          <w:bCs/>
          <w:sz w:val="24"/>
          <w:szCs w:val="24"/>
        </w:rPr>
        <w:t>relatively</w:t>
      </w:r>
      <w:r w:rsidR="008008AE">
        <w:rPr>
          <w:rFonts w:ascii="Times New Roman" w:hAnsi="Times New Roman" w:cs="Times New Roman"/>
          <w:bCs/>
          <w:sz w:val="24"/>
          <w:szCs w:val="24"/>
        </w:rPr>
        <w:t xml:space="preserve"> sensitive behavioural measure.</w:t>
      </w:r>
    </w:p>
    <w:p w14:paraId="183C04C7" w14:textId="3AF71D5F" w:rsidR="00D33D99" w:rsidRDefault="00E771C0" w:rsidP="00D33D99">
      <w:pPr>
        <w:ind w:firstLine="360"/>
        <w:rPr>
          <w:rFonts w:ascii="Times New Roman" w:hAnsi="Times New Roman" w:cs="Times New Roman"/>
          <w:bCs/>
          <w:sz w:val="24"/>
          <w:szCs w:val="24"/>
        </w:rPr>
      </w:pPr>
      <w:r w:rsidRPr="00D33D99">
        <w:rPr>
          <w:rFonts w:ascii="Times New Roman" w:hAnsi="Times New Roman" w:cs="Times New Roman"/>
          <w:bCs/>
          <w:sz w:val="24"/>
          <w:szCs w:val="24"/>
        </w:rPr>
        <w:t xml:space="preserve">The fact that OFC lesions </w:t>
      </w:r>
      <w:r w:rsidR="00391B02">
        <w:rPr>
          <w:rFonts w:ascii="Times New Roman" w:hAnsi="Times New Roman" w:cs="Times New Roman"/>
          <w:bCs/>
          <w:sz w:val="24"/>
          <w:szCs w:val="24"/>
        </w:rPr>
        <w:t>are reported not to</w:t>
      </w:r>
      <w:r w:rsidRPr="00D33D99">
        <w:rPr>
          <w:rFonts w:ascii="Times New Roman" w:hAnsi="Times New Roman" w:cs="Times New Roman"/>
          <w:bCs/>
          <w:sz w:val="24"/>
          <w:szCs w:val="24"/>
        </w:rPr>
        <w:t xml:space="preserve"> affect initial acquisitions is surprising since the </w:t>
      </w:r>
      <w:r w:rsidR="00D84960" w:rsidRPr="00D33D99">
        <w:rPr>
          <w:rFonts w:ascii="Times New Roman" w:hAnsi="Times New Roman" w:cs="Times New Roman"/>
          <w:bCs/>
          <w:sz w:val="24"/>
          <w:szCs w:val="24"/>
        </w:rPr>
        <w:t>OFC lesions disrupt normal mid-brain</w:t>
      </w:r>
      <w:r w:rsidR="00F10C23" w:rsidRPr="00D33D99">
        <w:rPr>
          <w:rFonts w:ascii="Times New Roman" w:hAnsi="Times New Roman" w:cs="Times New Roman"/>
          <w:bCs/>
          <w:sz w:val="24"/>
          <w:szCs w:val="24"/>
        </w:rPr>
        <w:t xml:space="preserve"> dopaminergic</w:t>
      </w:r>
      <w:r w:rsidR="00D84960" w:rsidRPr="00D33D99">
        <w:rPr>
          <w:rFonts w:ascii="Times New Roman" w:hAnsi="Times New Roman" w:cs="Times New Roman"/>
          <w:bCs/>
          <w:sz w:val="24"/>
          <w:szCs w:val="24"/>
        </w:rPr>
        <w:t xml:space="preserve"> prediction error signaling (REFS), </w:t>
      </w:r>
      <w:r w:rsidR="00F10C23" w:rsidRPr="00D33D99">
        <w:rPr>
          <w:rFonts w:ascii="Times New Roman" w:hAnsi="Times New Roman" w:cs="Times New Roman"/>
          <w:bCs/>
          <w:sz w:val="24"/>
          <w:szCs w:val="24"/>
        </w:rPr>
        <w:t xml:space="preserve">and these prediction error signals are </w:t>
      </w:r>
      <w:r w:rsidR="00305CC9" w:rsidRPr="00D33D99">
        <w:rPr>
          <w:rFonts w:ascii="Times New Roman" w:hAnsi="Times New Roman" w:cs="Times New Roman"/>
          <w:bCs/>
          <w:sz w:val="24"/>
          <w:szCs w:val="24"/>
        </w:rPr>
        <w:t xml:space="preserve">a necessary driver of learning (REFS). </w:t>
      </w:r>
      <w:r w:rsidR="007D77C7" w:rsidRPr="00D33D99">
        <w:rPr>
          <w:rFonts w:ascii="Times New Roman" w:hAnsi="Times New Roman" w:cs="Times New Roman"/>
          <w:bCs/>
          <w:sz w:val="24"/>
          <w:szCs w:val="24"/>
        </w:rPr>
        <w:t xml:space="preserve">However, an implicit assumption of these </w:t>
      </w:r>
      <w:r w:rsidR="0064141C" w:rsidRPr="00D33D99">
        <w:rPr>
          <w:rFonts w:ascii="Times New Roman" w:hAnsi="Times New Roman" w:cs="Times New Roman"/>
          <w:bCs/>
          <w:sz w:val="24"/>
          <w:szCs w:val="24"/>
        </w:rPr>
        <w:t>models is that in simple Pavlovian tasks involving a single cue</w:t>
      </w:r>
      <w:r w:rsidR="00BA1803" w:rsidRPr="00D33D99">
        <w:rPr>
          <w:rFonts w:ascii="Times New Roman" w:hAnsi="Times New Roman" w:cs="Times New Roman"/>
          <w:bCs/>
          <w:sz w:val="24"/>
          <w:szCs w:val="24"/>
        </w:rPr>
        <w:t xml:space="preserve"> and outcome, the specific identity of the outcome</w:t>
      </w:r>
      <w:r w:rsidR="000D3865" w:rsidRPr="00D33D99">
        <w:rPr>
          <w:rFonts w:ascii="Times New Roman" w:hAnsi="Times New Roman" w:cs="Times New Roman"/>
          <w:bCs/>
          <w:sz w:val="24"/>
          <w:szCs w:val="24"/>
        </w:rPr>
        <w:t>, or latent state</w:t>
      </w:r>
      <w:r w:rsidR="00D0784E" w:rsidRPr="00D33D99">
        <w:rPr>
          <w:rFonts w:ascii="Times New Roman" w:hAnsi="Times New Roman" w:cs="Times New Roman"/>
          <w:bCs/>
          <w:sz w:val="24"/>
          <w:szCs w:val="24"/>
        </w:rPr>
        <w:t xml:space="preserve"> information,</w:t>
      </w:r>
      <w:r w:rsidR="00BA1803" w:rsidRPr="00D33D99">
        <w:rPr>
          <w:rFonts w:ascii="Times New Roman" w:hAnsi="Times New Roman" w:cs="Times New Roman"/>
          <w:bCs/>
          <w:sz w:val="24"/>
          <w:szCs w:val="24"/>
        </w:rPr>
        <w:t xml:space="preserve"> is not relevant to </w:t>
      </w:r>
      <w:r w:rsidR="005B51AF" w:rsidRPr="00D33D99">
        <w:rPr>
          <w:rFonts w:ascii="Times New Roman" w:hAnsi="Times New Roman" w:cs="Times New Roman"/>
          <w:bCs/>
          <w:sz w:val="24"/>
          <w:szCs w:val="24"/>
        </w:rPr>
        <w:t>correct performance</w:t>
      </w:r>
      <w:r w:rsidR="00BA1803" w:rsidRPr="00D33D99">
        <w:rPr>
          <w:rFonts w:ascii="Times New Roman" w:hAnsi="Times New Roman" w:cs="Times New Roman"/>
          <w:bCs/>
          <w:sz w:val="24"/>
          <w:szCs w:val="24"/>
        </w:rPr>
        <w:t xml:space="preserve"> in the task</w:t>
      </w:r>
      <w:r w:rsidR="005B51AF" w:rsidRPr="00D33D99">
        <w:rPr>
          <w:rFonts w:ascii="Times New Roman" w:hAnsi="Times New Roman" w:cs="Times New Roman"/>
          <w:bCs/>
          <w:sz w:val="24"/>
          <w:szCs w:val="24"/>
        </w:rPr>
        <w:t>. Therefore</w:t>
      </w:r>
      <w:r w:rsidR="000D3865" w:rsidRPr="00D33D99">
        <w:rPr>
          <w:rFonts w:ascii="Times New Roman" w:hAnsi="Times New Roman" w:cs="Times New Roman"/>
          <w:bCs/>
          <w:sz w:val="24"/>
          <w:szCs w:val="24"/>
        </w:rPr>
        <w:t>,</w:t>
      </w:r>
      <w:r w:rsidR="00BA1803" w:rsidRPr="00D33D99">
        <w:rPr>
          <w:rFonts w:ascii="Times New Roman" w:hAnsi="Times New Roman" w:cs="Times New Roman"/>
          <w:bCs/>
          <w:sz w:val="24"/>
          <w:szCs w:val="24"/>
        </w:rPr>
        <w:t xml:space="preserve"> while the underlying </w:t>
      </w:r>
      <w:r w:rsidR="005B51AF" w:rsidRPr="00D33D99">
        <w:rPr>
          <w:rFonts w:ascii="Times New Roman" w:hAnsi="Times New Roman" w:cs="Times New Roman"/>
          <w:bCs/>
          <w:sz w:val="24"/>
          <w:szCs w:val="24"/>
        </w:rPr>
        <w:t xml:space="preserve">content of </w:t>
      </w:r>
      <w:r w:rsidR="00D863CC" w:rsidRPr="00D33D99">
        <w:rPr>
          <w:rFonts w:ascii="Times New Roman" w:hAnsi="Times New Roman" w:cs="Times New Roman"/>
          <w:bCs/>
          <w:sz w:val="24"/>
          <w:szCs w:val="24"/>
        </w:rPr>
        <w:t xml:space="preserve">cue-outcome </w:t>
      </w:r>
      <w:r w:rsidR="00AE4A50" w:rsidRPr="00D33D99">
        <w:rPr>
          <w:rFonts w:ascii="Times New Roman" w:hAnsi="Times New Roman" w:cs="Times New Roman"/>
          <w:bCs/>
          <w:sz w:val="24"/>
          <w:szCs w:val="24"/>
        </w:rPr>
        <w:t>learning may be impoverished in some way</w:t>
      </w:r>
      <w:r w:rsidR="00D863CC" w:rsidRPr="00D33D99">
        <w:rPr>
          <w:rFonts w:ascii="Times New Roman" w:hAnsi="Times New Roman" w:cs="Times New Roman"/>
          <w:bCs/>
          <w:sz w:val="24"/>
          <w:szCs w:val="24"/>
        </w:rPr>
        <w:t xml:space="preserve"> following OFC lesions, </w:t>
      </w:r>
      <w:r w:rsidR="00C1680B" w:rsidRPr="00D33D99">
        <w:rPr>
          <w:rFonts w:ascii="Times New Roman" w:hAnsi="Times New Roman" w:cs="Times New Roman"/>
          <w:bCs/>
          <w:sz w:val="24"/>
          <w:szCs w:val="24"/>
        </w:rPr>
        <w:t>this is not revealed unti</w:t>
      </w:r>
      <w:r w:rsidR="000D3865" w:rsidRPr="00D33D99">
        <w:rPr>
          <w:rFonts w:ascii="Times New Roman" w:hAnsi="Times New Roman" w:cs="Times New Roman"/>
          <w:bCs/>
          <w:sz w:val="24"/>
          <w:szCs w:val="24"/>
        </w:rPr>
        <w:t>l this information becomes relevant when task contingencies change</w:t>
      </w:r>
      <w:r w:rsidR="00207AAD" w:rsidRPr="00D33D99">
        <w:rPr>
          <w:rFonts w:ascii="Times New Roman" w:hAnsi="Times New Roman" w:cs="Times New Roman"/>
          <w:bCs/>
          <w:sz w:val="24"/>
          <w:szCs w:val="24"/>
        </w:rPr>
        <w:t xml:space="preserve"> (REFS – Walton)</w:t>
      </w:r>
      <w:r w:rsidR="000D3865" w:rsidRPr="00D33D99">
        <w:rPr>
          <w:rFonts w:ascii="Times New Roman" w:hAnsi="Times New Roman" w:cs="Times New Roman"/>
          <w:bCs/>
          <w:sz w:val="24"/>
          <w:szCs w:val="24"/>
        </w:rPr>
        <w:t>.</w:t>
      </w:r>
      <w:r w:rsidR="00C51E8C" w:rsidRPr="00D33D99">
        <w:rPr>
          <w:rFonts w:ascii="Times New Roman" w:hAnsi="Times New Roman" w:cs="Times New Roman"/>
          <w:bCs/>
          <w:sz w:val="24"/>
          <w:szCs w:val="24"/>
        </w:rPr>
        <w:t xml:space="preserve"> </w:t>
      </w:r>
      <w:r w:rsidR="005B6748">
        <w:rPr>
          <w:rFonts w:ascii="Times New Roman" w:hAnsi="Times New Roman" w:cs="Times New Roman"/>
          <w:bCs/>
          <w:sz w:val="24"/>
          <w:szCs w:val="24"/>
        </w:rPr>
        <w:t>Therefore, a clear prediction of these models is that</w:t>
      </w:r>
      <w:r w:rsidR="00A412BD">
        <w:rPr>
          <w:rFonts w:ascii="Times New Roman" w:hAnsi="Times New Roman" w:cs="Times New Roman"/>
          <w:bCs/>
          <w:sz w:val="24"/>
          <w:szCs w:val="24"/>
        </w:rPr>
        <w:t xml:space="preserve"> OFC lesions should not </w:t>
      </w:r>
      <w:r w:rsidR="001F5FD4">
        <w:rPr>
          <w:rFonts w:ascii="Times New Roman" w:hAnsi="Times New Roman" w:cs="Times New Roman"/>
          <w:bCs/>
          <w:sz w:val="24"/>
          <w:szCs w:val="24"/>
        </w:rPr>
        <w:t xml:space="preserve">affect the </w:t>
      </w:r>
      <w:r w:rsidR="00AC0C3E">
        <w:rPr>
          <w:rFonts w:ascii="Times New Roman" w:hAnsi="Times New Roman" w:cs="Times New Roman"/>
          <w:bCs/>
          <w:sz w:val="24"/>
          <w:szCs w:val="24"/>
        </w:rPr>
        <w:t xml:space="preserve">rate of </w:t>
      </w:r>
      <w:r w:rsidR="001F5FD4">
        <w:rPr>
          <w:rFonts w:ascii="Times New Roman" w:hAnsi="Times New Roman" w:cs="Times New Roman"/>
          <w:bCs/>
          <w:sz w:val="24"/>
          <w:szCs w:val="24"/>
        </w:rPr>
        <w:t xml:space="preserve">acquisition and </w:t>
      </w:r>
      <w:r w:rsidR="00AC0C3E">
        <w:rPr>
          <w:rFonts w:ascii="Times New Roman" w:hAnsi="Times New Roman" w:cs="Times New Roman"/>
          <w:bCs/>
          <w:sz w:val="24"/>
          <w:szCs w:val="24"/>
        </w:rPr>
        <w:t xml:space="preserve">or </w:t>
      </w:r>
      <w:r w:rsidR="001F5FD4">
        <w:rPr>
          <w:rFonts w:ascii="Times New Roman" w:hAnsi="Times New Roman" w:cs="Times New Roman"/>
          <w:bCs/>
          <w:sz w:val="24"/>
          <w:szCs w:val="24"/>
        </w:rPr>
        <w:t xml:space="preserve">asymptote of conditioning in a </w:t>
      </w:r>
      <w:r w:rsidR="00AC0C3E">
        <w:rPr>
          <w:rFonts w:ascii="Times New Roman" w:hAnsi="Times New Roman" w:cs="Times New Roman"/>
          <w:bCs/>
          <w:sz w:val="24"/>
          <w:szCs w:val="24"/>
        </w:rPr>
        <w:t>simple Pavlovian cue-outcome procedure</w:t>
      </w:r>
      <w:r w:rsidR="004E142A">
        <w:rPr>
          <w:rFonts w:ascii="Times New Roman" w:hAnsi="Times New Roman" w:cs="Times New Roman"/>
          <w:bCs/>
          <w:sz w:val="24"/>
          <w:szCs w:val="24"/>
        </w:rPr>
        <w:t xml:space="preserve">. This is because the contingency between the cue and outcome is stable, and </w:t>
      </w:r>
      <w:r w:rsidR="00CE19F2">
        <w:rPr>
          <w:rFonts w:ascii="Times New Roman" w:hAnsi="Times New Roman" w:cs="Times New Roman"/>
          <w:bCs/>
          <w:sz w:val="24"/>
          <w:szCs w:val="24"/>
        </w:rPr>
        <w:t xml:space="preserve">the identity </w:t>
      </w:r>
      <w:r w:rsidR="007B6F7C">
        <w:rPr>
          <w:rFonts w:ascii="Times New Roman" w:hAnsi="Times New Roman" w:cs="Times New Roman"/>
          <w:bCs/>
          <w:sz w:val="24"/>
          <w:szCs w:val="24"/>
        </w:rPr>
        <w:t xml:space="preserve">and other features of </w:t>
      </w:r>
      <w:r w:rsidR="00CE19F2">
        <w:rPr>
          <w:rFonts w:ascii="Times New Roman" w:hAnsi="Times New Roman" w:cs="Times New Roman"/>
          <w:bCs/>
          <w:sz w:val="24"/>
          <w:szCs w:val="24"/>
        </w:rPr>
        <w:t>the outcome is irrelevant correct performance on the task.</w:t>
      </w:r>
    </w:p>
    <w:p w14:paraId="7897408A" w14:textId="59C5BE86" w:rsidR="005540C4" w:rsidRDefault="008665CD" w:rsidP="001510CE">
      <w:pPr>
        <w:ind w:firstLine="360"/>
        <w:rPr>
          <w:rFonts w:ascii="Times New Roman" w:hAnsi="Times New Roman" w:cs="Times New Roman"/>
          <w:bCs/>
          <w:sz w:val="24"/>
          <w:szCs w:val="24"/>
        </w:rPr>
      </w:pPr>
      <w:r w:rsidRPr="008665CD">
        <w:rPr>
          <w:rFonts w:ascii="Times New Roman" w:hAnsi="Times New Roman" w:cs="Times New Roman"/>
          <w:bCs/>
          <w:sz w:val="24"/>
          <w:szCs w:val="24"/>
        </w:rPr>
        <w:t xml:space="preserve">To address </w:t>
      </w:r>
      <w:r w:rsidR="004E0C01">
        <w:rPr>
          <w:rFonts w:ascii="Times New Roman" w:hAnsi="Times New Roman" w:cs="Times New Roman"/>
          <w:bCs/>
          <w:sz w:val="24"/>
          <w:szCs w:val="24"/>
        </w:rPr>
        <w:t>this</w:t>
      </w:r>
      <w:r w:rsidRPr="008665CD">
        <w:rPr>
          <w:rFonts w:ascii="Times New Roman" w:hAnsi="Times New Roman" w:cs="Times New Roman"/>
          <w:bCs/>
          <w:sz w:val="24"/>
          <w:szCs w:val="24"/>
        </w:rPr>
        <w:t xml:space="preserve">, we tested the effect of OFC lesions on the acquisition of a simple Pavlovian cue-outcome task in which a single conditioned stimulus (CS) predicted a single unconditioned </w:t>
      </w:r>
      <w:r w:rsidRPr="008665CD">
        <w:rPr>
          <w:rFonts w:ascii="Times New Roman" w:hAnsi="Times New Roman" w:cs="Times New Roman"/>
          <w:bCs/>
          <w:sz w:val="24"/>
          <w:szCs w:val="24"/>
        </w:rPr>
        <w:lastRenderedPageBreak/>
        <w:t>stimulus (US) outcome, and training continued until a behavioural asymptote was reached. We hypothesized that OFC lesions would not affect the rate of learning or total learning (asymptote) of conditioning. This null result was predicted by both latent state and sensory-specific outcome expectancy theories of OFC function, and the ubiquity of reported null effects of OFC lesions on initial acquisition learning [REFS].</w:t>
      </w:r>
    </w:p>
    <w:p w14:paraId="122AF5CC" w14:textId="77777777" w:rsidR="001510CE" w:rsidRDefault="001510CE" w:rsidP="001510CE">
      <w:pPr>
        <w:ind w:firstLine="360"/>
        <w:rPr>
          <w:rFonts w:ascii="Times New Roman" w:hAnsi="Times New Roman" w:cs="Times New Roman"/>
          <w:b/>
          <w:sz w:val="24"/>
          <w:szCs w:val="24"/>
        </w:rPr>
      </w:pPr>
    </w:p>
    <w:p w14:paraId="2AFCC271" w14:textId="77777777" w:rsidR="001510CE" w:rsidRDefault="001510CE">
      <w:pPr>
        <w:rPr>
          <w:rFonts w:ascii="Times New Roman" w:hAnsi="Times New Roman" w:cs="Times New Roman"/>
          <w:b/>
          <w:sz w:val="24"/>
          <w:szCs w:val="24"/>
        </w:rPr>
      </w:pPr>
      <w:r>
        <w:rPr>
          <w:rFonts w:ascii="Times New Roman" w:hAnsi="Times New Roman" w:cs="Times New Roman"/>
          <w:b/>
          <w:sz w:val="24"/>
          <w:szCs w:val="24"/>
        </w:rPr>
        <w:br w:type="page"/>
      </w:r>
    </w:p>
    <w:p w14:paraId="17DF71D0" w14:textId="152441CB" w:rsidR="00A426B6" w:rsidRPr="00CB3771" w:rsidRDefault="00A426B6" w:rsidP="00A426B6">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lastRenderedPageBreak/>
        <w:t>Results</w:t>
      </w:r>
    </w:p>
    <w:p w14:paraId="721E08BC" w14:textId="306DB81F" w:rsidR="00A426B6" w:rsidRPr="00CB3771" w:rsidRDefault="007F67D5" w:rsidP="00A426B6">
      <w:pPr>
        <w:spacing w:line="36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00A426B6" w:rsidRPr="00CB3771">
        <w:rPr>
          <w:rFonts w:ascii="Times New Roman" w:eastAsia="Times New Roman" w:hAnsi="Times New Roman" w:cs="Times New Roman"/>
          <w:b/>
          <w:color w:val="000000"/>
          <w:sz w:val="24"/>
          <w:szCs w:val="24"/>
          <w:lang w:eastAsia="en-AU"/>
        </w:rPr>
        <w:t>Pre-training</w:t>
      </w:r>
      <w:r w:rsidR="00CD1176">
        <w:rPr>
          <w:rFonts w:ascii="Times New Roman" w:eastAsia="Times New Roman" w:hAnsi="Times New Roman" w:cs="Times New Roman"/>
          <w:b/>
          <w:color w:val="000000"/>
          <w:sz w:val="24"/>
          <w:szCs w:val="24"/>
          <w:lang w:eastAsia="en-AU"/>
        </w:rPr>
        <w:t xml:space="preserve"> OFC</w:t>
      </w:r>
      <w:r w:rsidR="00A426B6" w:rsidRPr="00CB3771">
        <w:rPr>
          <w:rFonts w:ascii="Times New Roman" w:eastAsia="Times New Roman" w:hAnsi="Times New Roman" w:cs="Times New Roman"/>
          <w:b/>
          <w:color w:val="000000"/>
          <w:sz w:val="24"/>
          <w:szCs w:val="24"/>
          <w:lang w:eastAsia="en-AU"/>
        </w:rPr>
        <w:t xml:space="preserve"> lesions </w:t>
      </w:r>
    </w:p>
    <w:p w14:paraId="0541FBC7" w14:textId="77777777" w:rsidR="00A426B6" w:rsidRPr="007F67D5" w:rsidRDefault="00A426B6" w:rsidP="00A426B6">
      <w:pPr>
        <w:spacing w:line="360" w:lineRule="auto"/>
        <w:rPr>
          <w:rFonts w:ascii="Times New Roman" w:eastAsia="Times New Roman" w:hAnsi="Times New Roman" w:cs="Times New Roman"/>
          <w:b/>
          <w:i/>
          <w:iCs/>
          <w:color w:val="000000"/>
          <w:sz w:val="24"/>
          <w:szCs w:val="24"/>
          <w:lang w:eastAsia="en-AU"/>
        </w:rPr>
      </w:pPr>
      <w:r w:rsidRPr="007F67D5">
        <w:rPr>
          <w:rFonts w:ascii="Times New Roman" w:eastAsia="Times New Roman" w:hAnsi="Times New Roman" w:cs="Times New Roman"/>
          <w:b/>
          <w:i/>
          <w:iCs/>
          <w:color w:val="000000"/>
          <w:sz w:val="24"/>
          <w:szCs w:val="24"/>
          <w:lang w:eastAsia="en-AU"/>
        </w:rPr>
        <w:t>Acquisition</w:t>
      </w:r>
    </w:p>
    <w:p w14:paraId="428A8C67" w14:textId="2478A2E2" w:rsidR="00642615" w:rsidRDefault="00642615" w:rsidP="00642615">
      <w:pPr>
        <w:pStyle w:val="BodyText"/>
      </w:pPr>
      <w:r>
        <w:t>In contrast to numerous reports that OFC lesions do not affect acquisition learning, OFC lesions significantly increased responding to the predictive cue relative to sham control animals (</w:t>
      </w:r>
      <w:r w:rsidRPr="00136F82">
        <w:rPr>
          <w:highlight w:val="yellow"/>
        </w:rPr>
        <w:t>Figure 1A; lesions depicted in Figure 1-supplementary figure 1</w:t>
      </w:r>
      <w:r>
        <w:t xml:space="preserve">). Analysis of conditioned responding was conducted as a CS-PreCS difference score such that levels of responding reflected discriminative cue (CS) driven performance above baseline (PreCS). Acquisition of responding to the CS was significantly greater in the lesion group than the sham group (main effect of Group </w:t>
      </w:r>
      <m:oMath>
        <m:r>
          <w:rPr>
            <w:rFonts w:ascii="Cambria Math" w:hAnsi="Cambria Math"/>
          </w:rPr>
          <m:t>F(1,40)=10.83</m:t>
        </m:r>
      </m:oMath>
      <w:r>
        <w:t xml:space="preserve">, </w:t>
      </w:r>
      <m:oMath>
        <m:r>
          <w:rPr>
            <w:rFonts w:ascii="Cambria Math" w:hAnsi="Cambria Math"/>
          </w:rPr>
          <m:t>p=.002</m:t>
        </m:r>
      </m:oMath>
      <w:r>
        <w:t xml:space="preserve">, Block </w:t>
      </w:r>
      <m:oMath>
        <m:r>
          <w:rPr>
            <w:rFonts w:ascii="Cambria Math" w:hAnsi="Cambria Math"/>
          </w:rPr>
          <m:t>F(6,240)=34.07</m:t>
        </m:r>
      </m:oMath>
      <w:r>
        <w:t xml:space="preserve">, </w:t>
      </w:r>
      <m:oMath>
        <m:r>
          <w:rPr>
            <w:rFonts w:ascii="Cambria Math" w:hAnsi="Cambria Math"/>
          </w:rPr>
          <m:t>p&lt;.001</m:t>
        </m:r>
      </m:oMath>
      <w:r>
        <w:t xml:space="preserve">, and Group x Block interaction </w:t>
      </w:r>
      <m:oMath>
        <m:r>
          <w:rPr>
            <w:rFonts w:ascii="Cambria Math" w:hAnsi="Cambria Math"/>
          </w:rPr>
          <m:t>F(6,240)=7.33</m:t>
        </m:r>
      </m:oMath>
      <w:r>
        <w:t xml:space="preserve">, </w:t>
      </w:r>
      <m:oMath>
        <m:r>
          <w:rPr>
            <w:rFonts w:ascii="Cambria Math" w:hAnsi="Cambria Math"/>
          </w:rPr>
          <m:t>p&lt;.001</m:t>
        </m:r>
      </m:oMath>
      <w:r>
        <w:t>). Follow up comparisons on each block revealed that responding in the lesion group was significantly higher than the sham group during the last 4 blocks (</w:t>
      </w:r>
      <w:r w:rsidR="00315052">
        <w:t>B</w:t>
      </w:r>
      <w:r>
        <w:t xml:space="preserve">lock 1 </w:t>
      </w:r>
      <m:oMath>
        <m:r>
          <w:rPr>
            <w:rFonts w:ascii="Cambria Math" w:hAnsi="Cambria Math"/>
          </w:rPr>
          <m:t>t(40)=-1.67</m:t>
        </m:r>
      </m:oMath>
      <w:r>
        <w:t xml:space="preserve">, </w:t>
      </w:r>
      <m:oMath>
        <m:r>
          <w:rPr>
            <w:rFonts w:ascii="Cambria Math" w:hAnsi="Cambria Math"/>
          </w:rPr>
          <m:t>p=.103</m:t>
        </m:r>
      </m:oMath>
      <w:r>
        <w:t xml:space="preserve">, </w:t>
      </w:r>
      <w:r w:rsidR="00315052">
        <w:t>B</w:t>
      </w:r>
      <w:r>
        <w:t xml:space="preserve">lock 2 </w:t>
      </w:r>
      <m:oMath>
        <m:r>
          <w:rPr>
            <w:rFonts w:ascii="Cambria Math" w:hAnsi="Cambria Math"/>
          </w:rPr>
          <m:t>t(40)=0.14</m:t>
        </m:r>
      </m:oMath>
      <w:r>
        <w:t xml:space="preserve">, </w:t>
      </w:r>
      <m:oMath>
        <m:r>
          <w:rPr>
            <w:rFonts w:ascii="Cambria Math" w:hAnsi="Cambria Math"/>
          </w:rPr>
          <m:t>p=.893</m:t>
        </m:r>
      </m:oMath>
      <w:r>
        <w:t xml:space="preserve">, </w:t>
      </w:r>
      <w:r w:rsidR="00315052">
        <w:t>B</w:t>
      </w:r>
      <w:r>
        <w:t xml:space="preserve">lock 3 </w:t>
      </w:r>
      <m:oMath>
        <m:r>
          <w:rPr>
            <w:rFonts w:ascii="Cambria Math" w:hAnsi="Cambria Math"/>
          </w:rPr>
          <m:t>t(40)=1.79</m:t>
        </m:r>
      </m:oMath>
      <w:r>
        <w:t xml:space="preserve">, </w:t>
      </w:r>
      <m:oMath>
        <m:r>
          <w:rPr>
            <w:rFonts w:ascii="Cambria Math" w:hAnsi="Cambria Math"/>
          </w:rPr>
          <m:t>p=.082</m:t>
        </m:r>
      </m:oMath>
      <w:r>
        <w:t xml:space="preserve">, </w:t>
      </w:r>
      <w:r w:rsidR="00315052">
        <w:t>B</w:t>
      </w:r>
      <w:r>
        <w:t xml:space="preserve">lock 4 </w:t>
      </w:r>
      <m:oMath>
        <m:r>
          <w:rPr>
            <w:rFonts w:ascii="Cambria Math" w:hAnsi="Cambria Math"/>
          </w:rPr>
          <m:t>t(40)=2.39</m:t>
        </m:r>
      </m:oMath>
      <w:r>
        <w:t xml:space="preserve">, </w:t>
      </w:r>
      <m:oMath>
        <m:r>
          <w:rPr>
            <w:rFonts w:ascii="Cambria Math" w:hAnsi="Cambria Math"/>
          </w:rPr>
          <m:t>p=.022</m:t>
        </m:r>
      </m:oMath>
      <w:r>
        <w:t xml:space="preserve">, </w:t>
      </w:r>
      <w:r w:rsidR="00315052">
        <w:t>B</w:t>
      </w:r>
      <w:r>
        <w:t xml:space="preserve">lock 5 </w:t>
      </w:r>
      <m:oMath>
        <m:r>
          <w:rPr>
            <w:rFonts w:ascii="Cambria Math" w:hAnsi="Cambria Math"/>
          </w:rPr>
          <m:t>t(40)=4.59</m:t>
        </m:r>
      </m:oMath>
      <w:r>
        <w:t xml:space="preserve">, </w:t>
      </w:r>
      <m:oMath>
        <m:r>
          <w:rPr>
            <w:rFonts w:ascii="Cambria Math" w:hAnsi="Cambria Math"/>
          </w:rPr>
          <m:t>p&lt;.001</m:t>
        </m:r>
      </m:oMath>
      <w:r>
        <w:t xml:space="preserve">, </w:t>
      </w:r>
      <w:r w:rsidR="00315052">
        <w:t>B</w:t>
      </w:r>
      <w:r>
        <w:t xml:space="preserve">lock 6 </w:t>
      </w:r>
      <m:oMath>
        <m:r>
          <w:rPr>
            <w:rFonts w:ascii="Cambria Math" w:hAnsi="Cambria Math"/>
          </w:rPr>
          <m:t>t(40)=3.48</m:t>
        </m:r>
      </m:oMath>
      <w:r>
        <w:t xml:space="preserve">, </w:t>
      </w:r>
      <m:oMath>
        <m:r>
          <w:rPr>
            <w:rFonts w:ascii="Cambria Math" w:hAnsi="Cambria Math"/>
          </w:rPr>
          <m:t>p=.001</m:t>
        </m:r>
      </m:oMath>
      <w:r>
        <w:t xml:space="preserve">, </w:t>
      </w:r>
      <w:r w:rsidR="00315052">
        <w:t>B</w:t>
      </w:r>
      <w:r>
        <w:t xml:space="preserve">lock 7 </w:t>
      </w:r>
      <m:oMath>
        <m:r>
          <w:rPr>
            <w:rFonts w:ascii="Cambria Math" w:hAnsi="Cambria Math"/>
          </w:rPr>
          <m:t>t(40)=2.32</m:t>
        </m:r>
      </m:oMath>
      <w:r>
        <w:t xml:space="preserve">, </w:t>
      </w:r>
      <m:oMath>
        <m:r>
          <w:rPr>
            <w:rFonts w:ascii="Cambria Math" w:hAnsi="Cambria Math"/>
          </w:rPr>
          <m:t>p=.026</m:t>
        </m:r>
      </m:oMath>
      <w:r>
        <w:t xml:space="preserve">). Given the ubiquity of non-significant effects of OFC lesions on acquisition learning in the literature, two independent replications of this novel effect were conducted (combined here; same pattern of statistical significance in both independent replications) </w:t>
      </w:r>
      <w:r w:rsidR="00DF5F2A">
        <w:t xml:space="preserve">which </w:t>
      </w:r>
      <w:r>
        <w:t>confirm</w:t>
      </w:r>
      <w:r w:rsidR="00DF5F2A">
        <w:t>ed</w:t>
      </w:r>
      <w:r>
        <w:t xml:space="preserve"> the effect was robust.</w:t>
      </w:r>
    </w:p>
    <w:p w14:paraId="3F7E4854" w14:textId="77777777" w:rsidR="00EB7DC6" w:rsidRPr="007F67D5" w:rsidRDefault="00EB7DC6" w:rsidP="00EB7DC6">
      <w:pPr>
        <w:pStyle w:val="BodyText"/>
        <w:rPr>
          <w:i/>
          <w:iCs/>
        </w:rPr>
      </w:pPr>
      <w:r w:rsidRPr="007F67D5">
        <w:rPr>
          <w:b/>
          <w:i/>
          <w:iCs/>
        </w:rPr>
        <w:t>Locomotor activity</w:t>
      </w:r>
    </w:p>
    <w:p w14:paraId="6AA98F83" w14:textId="64D0F51F" w:rsidR="00EB7DC6" w:rsidRDefault="00EB7DC6" w:rsidP="00EB7DC6">
      <w:pPr>
        <w:pStyle w:val="BodyText"/>
      </w:pPr>
      <w:r>
        <w:t>The enhanced responding observed during the Pavlovian conditioning procedure in the OFC lesion group could simply reflect an enhancement of general locomotor activity, however locomotor activity (</w:t>
      </w:r>
      <w:r w:rsidRPr="00136F82">
        <w:rPr>
          <w:highlight w:val="yellow"/>
        </w:rPr>
        <w:t>Figure 1C</w:t>
      </w:r>
      <w:r>
        <w:t xml:space="preserve">) did not differ between groups (main effect of Time </w:t>
      </w:r>
      <m:oMath>
        <m:r>
          <w:rPr>
            <w:rFonts w:ascii="Cambria Math" w:hAnsi="Cambria Math"/>
          </w:rPr>
          <m:t>F(1,33)=62.93</m:t>
        </m:r>
      </m:oMath>
      <w:r>
        <w:t xml:space="preserve">, </w:t>
      </w:r>
      <m:oMath>
        <m:r>
          <w:rPr>
            <w:rFonts w:ascii="Cambria Math" w:hAnsi="Cambria Math"/>
          </w:rPr>
          <m:t>p&lt;.001</m:t>
        </m:r>
      </m:oMath>
      <w:r>
        <w:t xml:space="preserve">, but no significant effect of Group </w:t>
      </w:r>
      <m:oMath>
        <m:r>
          <w:rPr>
            <w:rFonts w:ascii="Cambria Math" w:hAnsi="Cambria Math"/>
          </w:rPr>
          <m:t>F(1,33)=2.87</m:t>
        </m:r>
      </m:oMath>
      <w:r>
        <w:t xml:space="preserve">, </w:t>
      </w:r>
      <m:oMath>
        <m:r>
          <w:rPr>
            <w:rFonts w:ascii="Cambria Math" w:hAnsi="Cambria Math"/>
          </w:rPr>
          <m:t>p=.100</m:t>
        </m:r>
      </m:oMath>
      <w:r>
        <w:t xml:space="preserve">, or Group x TimeBin interaction </w:t>
      </w:r>
      <m:oMath>
        <m:r>
          <w:rPr>
            <w:rFonts w:ascii="Cambria Math" w:hAnsi="Cambria Math"/>
          </w:rPr>
          <m:t>F(1,33)=0.36</m:t>
        </m:r>
      </m:oMath>
      <w:r>
        <w:t xml:space="preserve">, </w:t>
      </w:r>
      <m:oMath>
        <m:r>
          <w:rPr>
            <w:rFonts w:ascii="Cambria Math" w:hAnsi="Cambria Math"/>
          </w:rPr>
          <m:t>p=.555</m:t>
        </m:r>
      </m:oMath>
      <w:r>
        <w:t xml:space="preserve">). Therefore, the enhanced responding during acquisition </w:t>
      </w:r>
      <w:r w:rsidR="00955064">
        <w:t>was</w:t>
      </w:r>
      <w:r>
        <w:t xml:space="preserve"> not simply due to OFC lesions inducing hyperactivity.</w:t>
      </w:r>
    </w:p>
    <w:p w14:paraId="59B31D22" w14:textId="77777777" w:rsidR="00136F82" w:rsidRPr="007F67D5" w:rsidRDefault="00136F82" w:rsidP="00136F82">
      <w:pPr>
        <w:pStyle w:val="BodyText"/>
        <w:rPr>
          <w:i/>
          <w:iCs/>
        </w:rPr>
      </w:pPr>
      <w:r w:rsidRPr="007F67D5">
        <w:rPr>
          <w:b/>
          <w:i/>
          <w:iCs/>
        </w:rPr>
        <w:t>Satiety</w:t>
      </w:r>
    </w:p>
    <w:p w14:paraId="477194D1" w14:textId="01D20690" w:rsidR="00136F82" w:rsidRDefault="00136F82" w:rsidP="00136F82">
      <w:pPr>
        <w:pStyle w:val="BodyText"/>
      </w:pPr>
      <w:r>
        <w:t>To test whether the enhanced responding following OFC lesions was sensitive to levels of hunger or shifts in motivation, a subgroup of animals (subgroup 1) was tested when sated (</w:t>
      </w:r>
      <w:r w:rsidRPr="00136F82">
        <w:rPr>
          <w:highlight w:val="yellow"/>
        </w:rPr>
        <w:t>Figure 1B</w:t>
      </w:r>
      <w:r>
        <w:t xml:space="preserve">). General satiety, </w:t>
      </w:r>
      <w:r w:rsidR="00145779">
        <w:t>providing</w:t>
      </w:r>
      <w:r>
        <w:t xml:space="preserve"> 24 hours access to home-cage food, did not affect the rate of responding in the sham group (Sham: Satiety vs Hungry </w:t>
      </w:r>
      <m:oMath>
        <m:r>
          <w:rPr>
            <w:rFonts w:ascii="Cambria Math" w:hAnsi="Cambria Math"/>
          </w:rPr>
          <m:t>t(13)=-1.38</m:t>
        </m:r>
      </m:oMath>
      <w:r>
        <w:t xml:space="preserve">, </w:t>
      </w:r>
      <m:oMath>
        <m:r>
          <w:rPr>
            <w:rFonts w:ascii="Cambria Math" w:hAnsi="Cambria Math"/>
          </w:rPr>
          <m:t>p=.191</m:t>
        </m:r>
      </m:oMath>
      <w:r>
        <w:t xml:space="preserve">) but significantly suppressed responding in the lesion group (Lesion: Satiety vs Hungry </w:t>
      </w:r>
      <m:oMath>
        <m:r>
          <w:rPr>
            <w:rFonts w:ascii="Cambria Math" w:hAnsi="Cambria Math"/>
          </w:rPr>
          <m:t>t(13)=-4.24</m:t>
        </m:r>
      </m:oMath>
      <w:r>
        <w:t xml:space="preserve">, </w:t>
      </w:r>
      <m:oMath>
        <m:r>
          <w:rPr>
            <w:rFonts w:ascii="Cambria Math" w:hAnsi="Cambria Math"/>
          </w:rPr>
          <m:t>p=.001</m:t>
        </m:r>
      </m:oMath>
      <w:r>
        <w:t>)</w:t>
      </w:r>
      <w:r w:rsidR="00916723">
        <w:t xml:space="preserve"> </w:t>
      </w:r>
      <w:r>
        <w:t xml:space="preserve">compared to subsequent testing 24 hours later when hungry again (no significant main effect of Group </w:t>
      </w:r>
      <m:oMath>
        <m:r>
          <w:rPr>
            <w:rFonts w:ascii="Cambria Math" w:hAnsi="Cambria Math"/>
          </w:rPr>
          <m:t>F(1,13)=1.43</m:t>
        </m:r>
      </m:oMath>
      <w:r>
        <w:t xml:space="preserve">, </w:t>
      </w:r>
      <m:oMath>
        <m:r>
          <w:rPr>
            <w:rFonts w:ascii="Cambria Math" w:hAnsi="Cambria Math"/>
          </w:rPr>
          <m:t>p=.253</m:t>
        </m:r>
      </m:oMath>
      <w:r>
        <w:t xml:space="preserve">, but a significant main effect of Hunger </w:t>
      </w:r>
      <m:oMath>
        <m:r>
          <w:rPr>
            <w:rFonts w:ascii="Cambria Math" w:hAnsi="Cambria Math"/>
          </w:rPr>
          <m:t>F(1,13)=16.30</m:t>
        </m:r>
      </m:oMath>
      <w:r>
        <w:t xml:space="preserve">, </w:t>
      </w:r>
      <m:oMath>
        <m:r>
          <w:rPr>
            <w:rFonts w:ascii="Cambria Math" w:hAnsi="Cambria Math"/>
          </w:rPr>
          <m:t>p=.001</m:t>
        </m:r>
      </m:oMath>
      <w:r>
        <w:t xml:space="preserve">, and Group x Hunger interaction </w:t>
      </w:r>
      <m:oMath>
        <m:r>
          <w:rPr>
            <w:rFonts w:ascii="Cambria Math" w:hAnsi="Cambria Math"/>
          </w:rPr>
          <m:t>F(1,13)=4.63</m:t>
        </m:r>
      </m:oMath>
      <w:r>
        <w:t xml:space="preserve">, </w:t>
      </w:r>
      <m:oMath>
        <m:r>
          <w:rPr>
            <w:rFonts w:ascii="Cambria Math" w:hAnsi="Cambria Math"/>
          </w:rPr>
          <m:t>p=.051</m:t>
        </m:r>
      </m:oMath>
      <w: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00D929BD">
        <w:fldChar w:fldCharType="begin" w:fldLock="1"/>
      </w:r>
      <w:r w:rsidR="00316B19">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00D929BD">
        <w:fldChar w:fldCharType="separate"/>
      </w:r>
      <w:r w:rsidR="00D929BD" w:rsidRPr="00D929BD">
        <w:rPr>
          <w:noProof/>
        </w:rPr>
        <w:t>(Dickinson &amp; Balleine, 2002)</w:t>
      </w:r>
      <w:r w:rsidR="00D929BD">
        <w:fldChar w:fldCharType="end"/>
      </w:r>
      <w:r>
        <w:t xml:space="preserve">. However, this possibility is unlikely as responding was comparable between groups on </w:t>
      </w:r>
      <w:r>
        <w:lastRenderedPageBreak/>
        <w:t>the first trial of the satiety test (</w:t>
      </w:r>
      <m:oMath>
        <m:r>
          <w:rPr>
            <w:rFonts w:ascii="Cambria Math" w:hAnsi="Cambria Math"/>
          </w:rPr>
          <m:t>t(13)=1.04</m:t>
        </m:r>
      </m:oMath>
      <w:r>
        <w:t xml:space="preserve">, </w:t>
      </w:r>
      <m:oMath>
        <m:r>
          <w:rPr>
            <w:rFonts w:ascii="Cambria Math" w:hAnsi="Cambria Math"/>
          </w:rPr>
          <m:t>p=.317</m:t>
        </m:r>
      </m:oMath>
      <w:r>
        <w:t xml:space="preserve">, </w:t>
      </w:r>
      <w:r w:rsidRPr="00916723">
        <w:rPr>
          <w:highlight w:val="yellow"/>
        </w:rPr>
        <w:t>Figure 1-figure supplement 2</w:t>
      </w:r>
      <w:r>
        <w:t>), before the reward was delivered. This suggests that animals with OFC lesions are sensitive to shifts in hunger</w:t>
      </w:r>
      <w:r w:rsidR="0013327E">
        <w:t xml:space="preserve"> and </w:t>
      </w:r>
      <w:r w:rsidR="00C376E5">
        <w:t>general</w:t>
      </w:r>
      <w:r>
        <w:t xml:space="preserve"> motivation.</w:t>
      </w:r>
    </w:p>
    <w:p w14:paraId="4DB4A9AC" w14:textId="77777777" w:rsidR="00F51193" w:rsidRPr="007F67D5" w:rsidRDefault="00F51193" w:rsidP="00F51193">
      <w:pPr>
        <w:pStyle w:val="BodyText"/>
        <w:rPr>
          <w:i/>
          <w:iCs/>
        </w:rPr>
      </w:pPr>
      <w:r w:rsidRPr="007F67D5">
        <w:rPr>
          <w:b/>
          <w:i/>
          <w:iCs/>
        </w:rPr>
        <w:t>Devaluation Test</w:t>
      </w:r>
    </w:p>
    <w:p w14:paraId="26DE1D61" w14:textId="04B6B6A0" w:rsidR="00F51193" w:rsidRDefault="00F51193" w:rsidP="00F51193">
      <w:pPr>
        <w:pStyle w:val="BodyText"/>
      </w:pPr>
      <w:r>
        <w:t xml:space="preserve">Traditionally, OFC lesions have been shown to cause deficits in </w:t>
      </w:r>
      <w:r w:rsidR="00351423">
        <w:t xml:space="preserve">Pavlovian </w:t>
      </w:r>
      <w:r>
        <w:t xml:space="preserve">outcome devaluation </w:t>
      </w:r>
      <w:r w:rsidR="00316B19">
        <w:fldChar w:fldCharType="begin" w:fldLock="1"/>
      </w:r>
      <w:r w:rsidR="00993C2A">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McMahan, &amp; Schoenbaum, 1999; Panayi &amp; Killcross, 2018; Pickens, Saddoris, Gallagher, &amp; Holland, 2005; Pickens et al., 2003)","plainTextFormattedCitation":"(Gallagher, McMahan, &amp; Schoenbaum, 1999; Panayi &amp; Killcross, 2018; Pickens, Saddoris, Gallagher, &amp; Holland, 2005; Pickens et al., 2003)","previouslyFormattedCitation":"(Gallagher, McMahan, &amp; Schoenbaum, 1999; Panayi &amp; Killcross, 2018; Pickens, Saddoris, Gallagher, &amp; Holland, 2005; Pickens et al., 2003)"},"properties":{"noteIndex":0},"schema":"https://github.com/citation-style-language/schema/raw/master/csl-citation.json"}</w:instrText>
      </w:r>
      <w:r w:rsidR="00316B19">
        <w:fldChar w:fldCharType="separate"/>
      </w:r>
      <w:r w:rsidR="00316B19" w:rsidRPr="00316B19">
        <w:rPr>
          <w:noProof/>
        </w:rPr>
        <w:t>(Gallagher, McMahan, &amp; Schoenbaum, 1999; Panayi &amp; Killcross, 2018; Pickens, Saddoris, Gallagher, &amp; Holland, 2005; Pickens et al., 2003)</w:t>
      </w:r>
      <w:r w:rsidR="00316B19">
        <w:fldChar w:fldCharType="end"/>
      </w:r>
      <w: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w:t>
      </w:r>
      <w:r w:rsidRPr="00F820F2">
        <w:rPr>
          <w:highlight w:val="yellow"/>
        </w:rPr>
        <w:t>Figure 1-figure supplement 3A</w:t>
      </w:r>
      <w:r>
        <w:t>). A specific taste aversion was then established by pairing consumption of one of the outcomes with illness (</w:t>
      </w:r>
      <w:proofErr w:type="spellStart"/>
      <w:r>
        <w:t>i.p.</w:t>
      </w:r>
      <w:proofErr w:type="spellEnd"/>
      <w:r>
        <w:t xml:space="preserve"> injection of lithium chloride; Devalued), and the value of the other outcome was left intact (Non-Devalued). Both groups learned the novel cue-outcome associations and acquired the specific taste aversion (</w:t>
      </w:r>
      <w:r w:rsidRPr="00F820F2">
        <w:rPr>
          <w:highlight w:val="yellow"/>
        </w:rPr>
        <w:t>Figure 1-figure supplement 3B</w:t>
      </w:r>
      <w:r>
        <w:t>).</w:t>
      </w:r>
    </w:p>
    <w:p w14:paraId="3219C950" w14:textId="2C670359" w:rsidR="00F51193" w:rsidRDefault="00F51193" w:rsidP="00F51193">
      <w:pPr>
        <w:pStyle w:val="BodyText"/>
      </w:pPr>
      <w:r>
        <w:t>Finally, during a devaluation test (</w:t>
      </w:r>
      <w:r w:rsidRPr="006B6F29">
        <w:rPr>
          <w:highlight w:val="yellow"/>
        </w:rPr>
        <w:t>Figure 1D</w:t>
      </w:r>
      <w:r>
        <w:t>), the two cues were presented in extinction. The sham group showed a significant devaluation effect, i.e. responding was lower to the devalued than non-devalued cue (</w:t>
      </w:r>
      <m:oMath>
        <m:r>
          <w:rPr>
            <w:rFonts w:ascii="Cambria Math" w:hAnsi="Cambria Math"/>
          </w:rPr>
          <m:t>t(11)=-3.06</m:t>
        </m:r>
      </m:oMath>
      <w:r>
        <w:t xml:space="preserve">, </w:t>
      </w:r>
      <m:oMath>
        <m:r>
          <w:rPr>
            <w:rFonts w:ascii="Cambria Math" w:hAnsi="Cambria Math"/>
          </w:rPr>
          <m:t>p=.011</m:t>
        </m:r>
      </m:oMath>
      <w:r>
        <w:t>). In contrast, the devaluation effect was abolished in the lesion group, and responding remained high to both the devalued and non-devalued cue (</w:t>
      </w:r>
      <m:oMath>
        <m:r>
          <w:rPr>
            <w:rFonts w:ascii="Cambria Math" w:hAnsi="Cambria Math"/>
          </w:rPr>
          <m:t>t(11)=1.09</m:t>
        </m:r>
      </m:oMath>
      <w:r>
        <w:t xml:space="preserve">, </w:t>
      </w:r>
      <m:oMath>
        <m:r>
          <w:rPr>
            <w:rFonts w:ascii="Cambria Math" w:hAnsi="Cambria Math"/>
          </w:rPr>
          <m:t>p=.300</m:t>
        </m:r>
      </m:oMath>
      <w:r>
        <w:t xml:space="preserve">; Significant Group x Cue interaction </w:t>
      </w:r>
      <m:oMath>
        <m:r>
          <w:rPr>
            <w:rFonts w:ascii="Cambria Math" w:hAnsi="Cambria Math"/>
          </w:rPr>
          <m:t>F(1,11)=7.55</m:t>
        </m:r>
      </m:oMath>
      <w:r>
        <w:t xml:space="preserve">, </w:t>
      </w:r>
      <m:oMath>
        <m:r>
          <w:rPr>
            <w:rFonts w:ascii="Cambria Math" w:hAnsi="Cambria Math"/>
          </w:rPr>
          <m:t>p=.019</m:t>
        </m:r>
      </m:oMath>
      <w:r>
        <w:t xml:space="preserve">, but no main effect of Group </w:t>
      </w:r>
      <m:oMath>
        <m:r>
          <w:rPr>
            <w:rFonts w:ascii="Cambria Math" w:hAnsi="Cambria Math"/>
          </w:rPr>
          <m:t>F(1,11)=0.54</m:t>
        </m:r>
      </m:oMath>
      <w:r>
        <w:t xml:space="preserve">, </w:t>
      </w:r>
      <m:oMath>
        <m:r>
          <w:rPr>
            <w:rFonts w:ascii="Cambria Math" w:hAnsi="Cambria Math"/>
          </w:rPr>
          <m:t>p=.479</m:t>
        </m:r>
      </m:oMath>
      <w:r>
        <w:t xml:space="preserve">, or Cue </w:t>
      </w:r>
      <m:oMath>
        <m:r>
          <w:rPr>
            <w:rFonts w:ascii="Cambria Math" w:hAnsi="Cambria Math"/>
          </w:rPr>
          <m:t>F(1,11)=1.09</m:t>
        </m:r>
      </m:oMath>
      <w:r>
        <w:t xml:space="preserve">, </w:t>
      </w:r>
      <m:oMath>
        <m:r>
          <w:rPr>
            <w:rFonts w:ascii="Cambria Math" w:hAnsi="Cambria Math"/>
          </w:rPr>
          <m:t>p=.320</m:t>
        </m:r>
      </m:oMath>
      <w:r>
        <w:t>). This finding successfully replicates the finding that both non-specific and focal OFC lesions abolish the outcome devaluation effect in rodents</w:t>
      </w:r>
      <w:r w:rsidR="00993C2A">
        <w:t xml:space="preserve"> </w:t>
      </w:r>
      <w:r w:rsidR="00993C2A">
        <w:fldChar w:fldCharType="begin" w:fldLock="1"/>
      </w:r>
      <w:r w:rsidR="00113618">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2005, 2003)","plainTextFormattedCitation":"(Gallagher et al., 1999; Panayi &amp; Killcross, 2018; Pickens et al., 2005, 2003)","previouslyFormattedCitation":"(Gallagher et al., 1999; Panayi &amp; Killcross, 2018; Pickens et al., 2005, 2003)"},"properties":{"noteIndex":0},"schema":"https://github.com/citation-style-language/schema/raw/master/csl-citation.json"}</w:instrText>
      </w:r>
      <w:r w:rsidR="00993C2A">
        <w:fldChar w:fldCharType="separate"/>
      </w:r>
      <w:r w:rsidR="00993C2A" w:rsidRPr="00993C2A">
        <w:rPr>
          <w:noProof/>
        </w:rPr>
        <w:t>(Gallagher et al., 1999; Panayi &amp; Killcross, 2018; Pickens et al., 2005, 2003)</w:t>
      </w:r>
      <w:r w:rsidR="00993C2A">
        <w:fldChar w:fldCharType="end"/>
      </w:r>
      <w:r>
        <w:t>.</w:t>
      </w:r>
    </w:p>
    <w:p w14:paraId="0687067C" w14:textId="5C93E688" w:rsidR="00887885" w:rsidRDefault="007F67D5" w:rsidP="00887885">
      <w:pPr>
        <w:pStyle w:val="BodyText"/>
      </w:pPr>
      <w:r>
        <w:rPr>
          <w:b/>
        </w:rPr>
        <w:t xml:space="preserve">Experiment 2: </w:t>
      </w:r>
      <w:r w:rsidR="00887885">
        <w:rPr>
          <w:b/>
        </w:rPr>
        <w:t>Post-training muscimol inactivation</w:t>
      </w:r>
    </w:p>
    <w:p w14:paraId="05107674" w14:textId="40ECAB40" w:rsidR="00887885" w:rsidRDefault="00887885" w:rsidP="00887885">
      <w:pPr>
        <w:pStyle w:val="BodyText"/>
      </w:pPr>
      <w:r>
        <w:t>The enhanced Pavlovian responding observed following OFC lesions (</w:t>
      </w:r>
      <w:r w:rsidRPr="00887885">
        <w:rPr>
          <w:highlight w:val="yellow"/>
        </w:rPr>
        <w:t>Figure 1A</w:t>
      </w:r>
      <w:r>
        <w:t>) may be due to enhanced learning of the cue-outcome relationship in the OFC lesion group (</w:t>
      </w:r>
      <w:r w:rsidRPr="00506B43">
        <w:rPr>
          <w:highlight w:val="yellow"/>
        </w:rPr>
        <w:t>Figure 2-figure supplement 1</w:t>
      </w:r>
      <w:r>
        <w:t xml:space="preserve">). This is consistent with a role for the OFC in representing outcome expectancy information. For example, incremental learning about a cue-outcome relationship is thought to depend upon prediction errors </w:t>
      </w:r>
      <w:r w:rsidR="00C433F2">
        <w:fldChar w:fldCharType="begin" w:fldLock="1"/>
      </w:r>
      <w:r w:rsidR="00B91D51">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J.","non-dropping-particle":"","parse-names":false,"suffix":""},{"dropping-particle":"","family":"Schoenbaum","given":"Geoffrey","non-dropping-particle":"","parse-names":false,"suffix":""},{"dropping-particle":"","family":"Sharpe","given":"Melissa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Calu, Schoenbaum, &amp; Sharpe, 2017; Pearce &amp; Hall, 1980; Rescorla &amp; Wagner, 1972; Sutton &amp; Barto, 1998)","plainTextFormattedCitation":"(Esber &amp; Haselgrove, 2011; LePelley, 2004; Mackintosh, 1975; Nasser, Calu, Schoenbaum, &amp; Sharpe, 2017; Pearce &amp; Hall, 1980; Rescorla &amp; Wagner, 1972; Sutton &amp; Barto, 1998)","previouslyFormattedCitation":"(Esber &amp; Haselgrove, 2011; LePelley, 2004; Mackintosh, 1975; Nasser, Calu, Schoenbaum, &amp; Sharpe, 2017; Pearce &amp; Hall, 1980; Rescorla &amp; Wagner, 1972; Sutton &amp; Barto, 1998)"},"properties":{"noteIndex":0},"schema":"https://github.com/citation-style-language/schema/raw/master/csl-citation.json"}</w:instrText>
      </w:r>
      <w:r w:rsidR="00C433F2">
        <w:fldChar w:fldCharType="separate"/>
      </w:r>
      <w:r w:rsidR="00C433F2" w:rsidRPr="00C433F2">
        <w:rPr>
          <w:noProof/>
        </w:rPr>
        <w:t>(Esber &amp; Haselgrove, 2011; LePelley, 2004; Mackintosh, 1975; Nasser, Calu, Schoenbaum, &amp; Sharpe, 2017; Pearce &amp; Hall, 1980; Rescorla &amp; Wagner, 1972; Sutton &amp; Barto, 1998)</w:t>
      </w:r>
      <w:r w:rsidR="00C433F2">
        <w:fldChar w:fldCharType="end"/>
      </w:r>
      <w:r>
        <w:t xml:space="preserve">, i.e. the difference between the experience outcome value and the expected outcome value. The expected outcome value of a cue is incrementally updated until this prediction error discrepancy is </w:t>
      </w:r>
      <w:proofErr w:type="spellStart"/>
      <w:r>
        <w:t>minimised</w:t>
      </w:r>
      <w:proofErr w:type="spellEnd"/>
      <w:r>
        <w:t xml:space="preserve">. If the OFC carries some aspect of outcome expectancy information </w:t>
      </w:r>
      <w:r w:rsidR="00113618">
        <w:fldChar w:fldCharType="begin" w:fldLock="1"/>
      </w:r>
      <w:r w:rsidR="00B91D51">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Parker, Lindner, Izquierdo, &amp; Murray, 2000; Pears, Parkinson, Hopewell, Everitt, &amp; Roberts, 2003; Schoenbaum, Roesch, Stalnaker, &amp; Takahashi, 2009; Takahashi et al., 2009, 2011)","plainTextFormattedCitation":"(Baxter, Parker, Lindner, Izquierdo, &amp; Murray, 2000; Pears, Parkinson, Hopewell, Everitt, &amp; Roberts, 2003; Schoenbaum, Roesch, Stalnaker, &amp; Takahashi, 2009; Takahashi et al., 2009, 2011)","previouslyFormattedCitation":"(Baxter, Parker, Lindner, Izquierdo, &amp; Murray, 2000; Pears, Parkinson, Hopewell, Everitt, &amp; Roberts, 2003; Schoenbaum, Roesch, Stalnaker, &amp; Takahashi, 2009; Y K Takahashi et al., 2009; Yuji K Takahashi et al., 2011)"},"properties":{"noteIndex":0},"schema":"https://github.com/citation-style-language/schema/raw/master/csl-citation.json"}</w:instrText>
      </w:r>
      <w:r w:rsidR="00113618">
        <w:fldChar w:fldCharType="separate"/>
      </w:r>
      <w:r w:rsidR="00B91D51" w:rsidRPr="00B91D51">
        <w:rPr>
          <w:noProof/>
        </w:rPr>
        <w:t>(Baxter, Parker, Lindner, Izquierdo, &amp; Murray, 2000; Pears, Parkinson, Hopewell, Everitt, &amp; Roberts, 2003; Schoenbaum, Roesch, Stalnaker, &amp; Takahashi, 2009; Takahashi et al., 2009, 2011)</w:t>
      </w:r>
      <w:r w:rsidR="00113618">
        <w:fldChar w:fldCharType="end"/>
      </w:r>
      <w:r>
        <w:t>, then OFC lesions might reduce the expected value of a cue which in turn would result in abnormally persistent prediction errors and enhanced learning. Therefore, disruption of OFC function should temporarily lower expected value, and enhance prediction errors and learning</w:t>
      </w:r>
      <w:r w:rsidR="00830B75">
        <w:t xml:space="preserve"> (for modelling of this prediction see </w:t>
      </w:r>
      <w:r w:rsidR="00830B75" w:rsidRPr="00506B43">
        <w:rPr>
          <w:highlight w:val="yellow"/>
        </w:rPr>
        <w:t>Figure 2-figure supplement 1</w:t>
      </w:r>
      <w:r w:rsidR="00830B75">
        <w:t>)</w:t>
      </w:r>
      <w:r>
        <w:t xml:space="preserve">. We tested this hypothesis by inactivating the OFC after first successfully acquiring cue-outcome learning i.e. when expected value is high and prediction errors are low. If the OFC </w:t>
      </w:r>
      <w:r>
        <w:lastRenderedPageBreak/>
        <w:t>carries some aspect of the learned expected value, then inactivation of the OFC should enhance prediction errors, and responding should increase to reflect new learning. Following this, returning 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w:t>
      </w:r>
      <w:r w:rsidRPr="00BA6666">
        <w:rPr>
          <w:highlight w:val="yellow"/>
        </w:rPr>
        <w:t>Figure 1A</w:t>
      </w:r>
      <w:r>
        <w:t>).</w:t>
      </w:r>
    </w:p>
    <w:p w14:paraId="749710DE" w14:textId="77777777" w:rsidR="001F2701" w:rsidRDefault="001F2701" w:rsidP="001F2701">
      <w:pPr>
        <w:pStyle w:val="BodyText"/>
      </w:pPr>
      <w:r>
        <w:t>We tested this hypothesis by first training a new group of animals on the same simple Pavlovian task for 9 days, before implantation of bilateral cannulae targeting the OFC (</w:t>
      </w:r>
      <w:r w:rsidRPr="001F2701">
        <w:rPr>
          <w:highlight w:val="yellow"/>
        </w:rPr>
        <w:t>Figure 2A, Days 1-9</w:t>
      </w:r>
      <w:r>
        <w:t xml:space="preserve">; significant main effect of Day </w:t>
      </w:r>
      <m:oMath>
        <m:r>
          <w:rPr>
            <w:rFonts w:ascii="Cambria Math" w:hAnsi="Cambria Math"/>
          </w:rPr>
          <m:t>F(8,176)=25.42</m:t>
        </m:r>
      </m:oMath>
      <w:r>
        <w:t xml:space="preserve">, </w:t>
      </w:r>
      <m:oMath>
        <m:r>
          <w:rPr>
            <w:rFonts w:ascii="Cambria Math" w:hAnsi="Cambria Math"/>
          </w:rPr>
          <m:t>p&lt;.001</m:t>
        </m:r>
      </m:oMath>
      <w:r>
        <w:t xml:space="preserve">, but no main effect of Group </w:t>
      </w:r>
      <m:oMath>
        <m:r>
          <w:rPr>
            <w:rFonts w:ascii="Cambria Math" w:hAnsi="Cambria Math"/>
          </w:rPr>
          <m:t>F(1,22)=1.08</m:t>
        </m:r>
      </m:oMath>
      <w:r>
        <w:t xml:space="preserve">, </w:t>
      </w:r>
      <m:oMath>
        <m:r>
          <w:rPr>
            <w:rFonts w:ascii="Cambria Math" w:hAnsi="Cambria Math"/>
          </w:rPr>
          <m:t>p=.310</m:t>
        </m:r>
      </m:oMath>
      <w:r>
        <w:t xml:space="preserve">, or Group x Day interaction </w:t>
      </w:r>
      <m:oMath>
        <m:r>
          <w:rPr>
            <w:rFonts w:ascii="Cambria Math" w:hAnsi="Cambria Math"/>
          </w:rPr>
          <m:t>F(8,176)=0.54</m:t>
        </m:r>
      </m:oMath>
      <w:r>
        <w:t xml:space="preserve">, </w:t>
      </w:r>
      <m:oMath>
        <m:r>
          <w:rPr>
            <w:rFonts w:ascii="Cambria Math" w:hAnsi="Cambria Math"/>
          </w:rPr>
          <m:t>p=.825</m:t>
        </m:r>
      </m:oMath>
      <w:r>
        <w:t xml:space="preserve">). Following post-operative recovery (histology depicted in </w:t>
      </w:r>
      <w:r w:rsidRPr="001F2701">
        <w:rPr>
          <w:iCs/>
          <w:highlight w:val="yellow"/>
        </w:rPr>
        <w:t>Figure 2-figure supplement 2</w:t>
      </w:r>
      <w:r>
        <w:t xml:space="preserve">), and prior to infusion, response levels were similar in both groups (Figure 2A, Post; no significant differences between Groups </w:t>
      </w:r>
      <m:oMath>
        <m:r>
          <w:rPr>
            <w:rFonts w:ascii="Cambria Math" w:hAnsi="Cambria Math"/>
          </w:rPr>
          <m:t>t(22)=-0.68</m:t>
        </m:r>
      </m:oMath>
      <w:r>
        <w:t xml:space="preserve">, </w:t>
      </w:r>
      <m:oMath>
        <m:r>
          <w:rPr>
            <w:rFonts w:ascii="Cambria Math" w:hAnsi="Cambria Math"/>
          </w:rPr>
          <m:t>p=.501</m:t>
        </m:r>
      </m:oMath>
      <w:r>
        <w:t>).</w:t>
      </w:r>
    </w:p>
    <w:p w14:paraId="626F075D" w14:textId="5D6DD42B" w:rsidR="001F2701" w:rsidRDefault="001F2701" w:rsidP="001F2701">
      <w:pPr>
        <w:pStyle w:val="BodyText"/>
      </w:pPr>
      <w:r>
        <w:t>Contrary to our prediction, intra-OFC muscimol infusions disrupted further acquisition of responding relative to the saline group (</w:t>
      </w:r>
      <w:r w:rsidRPr="001F2701">
        <w:rPr>
          <w:highlight w:val="yellow"/>
        </w:rPr>
        <w:t>Figure 2A, Infusion - Days 12-15</w:t>
      </w:r>
      <w:r>
        <w:t xml:space="preserve">; Significant Group x Day interaction </w:t>
      </w:r>
      <m:oMath>
        <m:r>
          <w:rPr>
            <w:rFonts w:ascii="Cambria Math" w:hAnsi="Cambria Math"/>
          </w:rPr>
          <m:t>F(3,66)=5.03</m:t>
        </m:r>
      </m:oMath>
      <w:r>
        <w:t xml:space="preserve">, </w:t>
      </w:r>
      <m:oMath>
        <m:r>
          <w:rPr>
            <w:rFonts w:ascii="Cambria Math" w:hAnsi="Cambria Math"/>
          </w:rPr>
          <m:t>p=.003</m:t>
        </m:r>
      </m:oMath>
      <w:r>
        <w:t xml:space="preserve">, but no main effect of Group </w:t>
      </w:r>
      <m:oMath>
        <m:r>
          <w:rPr>
            <w:rFonts w:ascii="Cambria Math" w:hAnsi="Cambria Math"/>
          </w:rPr>
          <m:t>F(1,22)=1.90</m:t>
        </m:r>
      </m:oMath>
      <w:r>
        <w:t xml:space="preserve">, </w:t>
      </w:r>
      <m:oMath>
        <m:r>
          <w:rPr>
            <w:rFonts w:ascii="Cambria Math" w:hAnsi="Cambria Math"/>
          </w:rPr>
          <m:t>p=.182</m:t>
        </m:r>
      </m:oMath>
      <w:r>
        <w:t xml:space="preserve">, or Day </w:t>
      </w:r>
      <m:oMath>
        <m:r>
          <w:rPr>
            <w:rFonts w:ascii="Cambria Math" w:hAnsi="Cambria Math"/>
          </w:rPr>
          <m:t>F(3,66)=0.32</m:t>
        </m:r>
      </m:oMath>
      <w:r>
        <w:t xml:space="preserve">, </w:t>
      </w:r>
      <m:oMath>
        <m:r>
          <w:rPr>
            <w:rFonts w:ascii="Cambria Math" w:hAnsi="Cambria Math"/>
          </w:rPr>
          <m:t>p=.809</m:t>
        </m:r>
      </m:oMath>
      <w:r>
        <w:t xml:space="preserve">). Simple effects revealed significantly greater responding in the saline group on the last 2 days of infusions (Muscimol vs Saline: Day 12 </w:t>
      </w:r>
      <m:oMath>
        <m:r>
          <w:rPr>
            <w:rFonts w:ascii="Cambria Math" w:hAnsi="Cambria Math"/>
          </w:rPr>
          <m:t>t(22)=0.67</m:t>
        </m:r>
      </m:oMath>
      <w:r>
        <w:t xml:space="preserve">, </w:t>
      </w:r>
      <m:oMath>
        <m:r>
          <w:rPr>
            <w:rFonts w:ascii="Cambria Math" w:hAnsi="Cambria Math"/>
          </w:rPr>
          <m:t>p=.508</m:t>
        </m:r>
      </m:oMath>
      <w:r>
        <w:t xml:space="preserve">, Day 13 </w:t>
      </w:r>
      <m:oMath>
        <m:r>
          <w:rPr>
            <w:rFonts w:ascii="Cambria Math" w:hAnsi="Cambria Math"/>
          </w:rPr>
          <m:t>t(22)=-1.03</m:t>
        </m:r>
      </m:oMath>
      <w:r>
        <w:t xml:space="preserve">, </w:t>
      </w:r>
      <m:oMath>
        <m:r>
          <w:rPr>
            <w:rFonts w:ascii="Cambria Math" w:hAnsi="Cambria Math"/>
          </w:rPr>
          <m:t>p=.315</m:t>
        </m:r>
      </m:oMath>
      <w:r>
        <w:t xml:space="preserve">, Day 14 </w:t>
      </w:r>
      <m:oMath>
        <m:r>
          <w:rPr>
            <w:rFonts w:ascii="Cambria Math" w:hAnsi="Cambria Math"/>
          </w:rPr>
          <m:t>t(22)=-2.79</m:t>
        </m:r>
      </m:oMath>
      <w:r>
        <w:t xml:space="preserve">, </w:t>
      </w:r>
      <m:oMath>
        <m:r>
          <w:rPr>
            <w:rFonts w:ascii="Cambria Math" w:hAnsi="Cambria Math"/>
          </w:rPr>
          <m:t>p=.011</m:t>
        </m:r>
      </m:oMath>
      <w:r>
        <w:t xml:space="preserve">, Day 15 </w:t>
      </w:r>
      <m:oMath>
        <m:r>
          <w:rPr>
            <w:rFonts w:ascii="Cambria Math" w:hAnsi="Cambria Math"/>
          </w:rPr>
          <m:t>t(22)=-2.08</m:t>
        </m:r>
      </m:oMath>
      <w:r>
        <w:t xml:space="preserve">, </w:t>
      </w:r>
      <m:oMath>
        <m:r>
          <w:rPr>
            <w:rFonts w:ascii="Cambria Math" w:hAnsi="Cambria Math"/>
          </w:rPr>
          <m:t>p=.049</m:t>
        </m:r>
      </m:oMath>
      <w:r>
        <w:t xml:space="preserve">). Furthermore, </w:t>
      </w:r>
      <w:r w:rsidR="00CA33E4">
        <w:t xml:space="preserve">the </w:t>
      </w:r>
      <w:r>
        <w:t xml:space="preserve">saline group increased responding across infusion days 12-15 (Saline: positive linear trend </w:t>
      </w:r>
      <m:oMath>
        <m:r>
          <w:rPr>
            <w:rFonts w:ascii="Cambria Math" w:hAnsi="Cambria Math"/>
          </w:rPr>
          <m:t>t(22)=2.79</m:t>
        </m:r>
      </m:oMath>
      <w:r>
        <w:t xml:space="preserve">, </w:t>
      </w:r>
      <m:oMath>
        <m:r>
          <w:rPr>
            <w:rFonts w:ascii="Cambria Math" w:hAnsi="Cambria Math"/>
          </w:rPr>
          <m:t>p=.011</m:t>
        </m:r>
      </m:oMath>
      <w:r>
        <w:t xml:space="preserve">), whereas the muscimol group did not (Muscimol: no significant linear trend </w:t>
      </w:r>
      <m:oMath>
        <m:r>
          <w:rPr>
            <w:rFonts w:ascii="Cambria Math" w:hAnsi="Cambria Math"/>
          </w:rPr>
          <m:t>t(22)=-1.57</m:t>
        </m:r>
      </m:oMath>
      <w:r>
        <w:t xml:space="preserve">, </w:t>
      </w:r>
      <m:oMath>
        <m:r>
          <w:rPr>
            <w:rFonts w:ascii="Cambria Math" w:hAnsi="Cambria Math"/>
          </w:rPr>
          <m:t>p=.131</m:t>
        </m:r>
      </m:oMath>
      <w:r>
        <w:t>). Therefore, post-training inactivation of the OFC impaired acquisition.</w:t>
      </w:r>
    </w:p>
    <w:p w14:paraId="587A5838" w14:textId="30501908" w:rsidR="001F2701" w:rsidRDefault="001F2701" w:rsidP="001F2701">
      <w:pPr>
        <w:pStyle w:val="BodyText"/>
      </w:pPr>
      <w:r>
        <w:t>Post-infusion, with function returned to the OFC, the group differences observed under drug infusion were no longer apparent, and both groups continued to acquire responding at similar levels (</w:t>
      </w:r>
      <w:r w:rsidRPr="009A0B5F">
        <w:rPr>
          <w:highlight w:val="yellow"/>
        </w:rPr>
        <w:t>Figure 2A, Days 16-17;</w:t>
      </w:r>
      <w:r>
        <w:t xml:space="preserve"> significant main effect of Day </w:t>
      </w:r>
      <m:oMath>
        <m:r>
          <w:rPr>
            <w:rFonts w:ascii="Cambria Math" w:hAnsi="Cambria Math"/>
          </w:rPr>
          <m:t>F(1,22)=16.05</m:t>
        </m:r>
      </m:oMath>
      <w:r>
        <w:t xml:space="preserve">, </w:t>
      </w:r>
      <m:oMath>
        <m:r>
          <w:rPr>
            <w:rFonts w:ascii="Cambria Math" w:hAnsi="Cambria Math"/>
          </w:rPr>
          <m:t>p=.001</m:t>
        </m:r>
      </m:oMath>
      <w:r>
        <w:t xml:space="preserve">, but no main effect of Group </w:t>
      </w:r>
      <m:oMath>
        <m:r>
          <w:rPr>
            <w:rFonts w:ascii="Cambria Math" w:hAnsi="Cambria Math"/>
          </w:rPr>
          <m:t>F(1,22)=0.11</m:t>
        </m:r>
      </m:oMath>
      <w:r>
        <w:t xml:space="preserve">, </w:t>
      </w:r>
      <m:oMath>
        <m:r>
          <w:rPr>
            <w:rFonts w:ascii="Cambria Math" w:hAnsi="Cambria Math"/>
          </w:rPr>
          <m:t>p=.740</m:t>
        </m:r>
      </m:oMath>
      <w:r>
        <w:t xml:space="preserve">, or Group x Day interaction </w:t>
      </w:r>
      <m:oMath>
        <m:r>
          <w:rPr>
            <w:rFonts w:ascii="Cambria Math" w:hAnsi="Cambria Math"/>
          </w:rPr>
          <m:t>F(1,22)=0.21</m:t>
        </m:r>
      </m:oMath>
      <w:r>
        <w:t xml:space="preserve">, </w:t>
      </w:r>
      <m:oMath>
        <m:r>
          <w:rPr>
            <w:rFonts w:ascii="Cambria Math" w:hAnsi="Cambria Math"/>
          </w:rPr>
          <m:t>p=.649</m:t>
        </m:r>
      </m:oMath>
      <w:r>
        <w:t xml:space="preserve">). Therefore, the effect of OFC inactivation did not persist, which suggests that the OFC plays a role in the behavioural expression (i.e. performance) of learned value and not in learning </w:t>
      </w:r>
      <w:r>
        <w:rPr>
          <w:i/>
        </w:rPr>
        <w:t>per se</w:t>
      </w:r>
      <w:r>
        <w:t>.</w:t>
      </w:r>
    </w:p>
    <w:p w14:paraId="6750D01A" w14:textId="6C3E9440" w:rsidR="00543681" w:rsidRDefault="00CD1176" w:rsidP="00543681">
      <w:pPr>
        <w:pStyle w:val="BodyText"/>
      </w:pPr>
      <w:r>
        <w:rPr>
          <w:b/>
        </w:rPr>
        <w:t xml:space="preserve">Experiment 3: </w:t>
      </w:r>
      <w:r w:rsidR="00543681">
        <w:rPr>
          <w:b/>
        </w:rPr>
        <w:t>Post-Training OFC lesions</w:t>
      </w:r>
    </w:p>
    <w:p w14:paraId="224C60F8" w14:textId="2F5018CB" w:rsidR="00543681" w:rsidRDefault="00543681" w:rsidP="00543681">
      <w:pPr>
        <w:pStyle w:val="BodyText"/>
      </w:pPr>
      <w:r>
        <w:t xml:space="preserve">Next, we </w:t>
      </w:r>
      <w:r w:rsidR="00C065AD">
        <w:t xml:space="preserve">used post-training lesions to </w:t>
      </w:r>
      <w:r>
        <w:t xml:space="preserve">rule out the possibility that the differences between pre- and post-training OFC manipulations </w:t>
      </w:r>
      <w:r w:rsidR="00C22CE3">
        <w:t>were</w:t>
      </w:r>
      <w:r>
        <w:t xml:space="preserve"> simply due to differences in the method of manipulation i.e. excitotoxic lesions vs inactivation using a GABA-A agonist.</w:t>
      </w:r>
      <w:r w:rsidR="00C065AD">
        <w:t xml:space="preserve"> W</w:t>
      </w:r>
      <w:r>
        <w:t xml:space="preserve">e trained </w:t>
      </w:r>
      <w:r w:rsidR="00D14778">
        <w:t>a new</w:t>
      </w:r>
      <w:r>
        <w:t xml:space="preserve"> </w:t>
      </w:r>
      <w:r w:rsidR="00EB72EC">
        <w:t>cohort</w:t>
      </w:r>
      <w:r>
        <w:t xml:space="preserve"> of animals on this simple Pavlovian cue-outcome task for 9 days, and then performed post-training excitotoxic or sham OFC lesions before continuing with acquisition</w:t>
      </w:r>
      <w:r w:rsidR="001E271F">
        <w:t xml:space="preserve"> (lesion extent depicted in </w:t>
      </w:r>
      <w:r w:rsidR="001E271F" w:rsidRPr="00FF31DB">
        <w:rPr>
          <w:highlight w:val="yellow"/>
        </w:rPr>
        <w:t>Figure 2-figure supplement 3</w:t>
      </w:r>
      <w:r w:rsidR="001E271F">
        <w:t>)</w:t>
      </w:r>
      <w:r>
        <w:t>. Prior to surgery, animals acquired responding to the cue (</w:t>
      </w:r>
      <w:r w:rsidRPr="005F0261">
        <w:rPr>
          <w:highlight w:val="yellow"/>
        </w:rPr>
        <w:t>Figure 2B, Pre-Surgery</w:t>
      </w:r>
      <w:r>
        <w:t xml:space="preserve">; significant main effect of Block </w:t>
      </w:r>
      <m:oMath>
        <m:r>
          <w:rPr>
            <w:rFonts w:ascii="Cambria Math" w:hAnsi="Cambria Math"/>
          </w:rPr>
          <m:t>F(2,38)=61.98</m:t>
        </m:r>
      </m:oMath>
      <w:r>
        <w:t xml:space="preserve">, </w:t>
      </w:r>
      <m:oMath>
        <m:r>
          <w:rPr>
            <w:rFonts w:ascii="Cambria Math" w:hAnsi="Cambria Math"/>
          </w:rPr>
          <m:t>p&lt;.001</m:t>
        </m:r>
      </m:oMath>
      <w:r>
        <w:t xml:space="preserve">, but no main effect of Group </w:t>
      </w:r>
      <m:oMath>
        <m:r>
          <w:rPr>
            <w:rFonts w:ascii="Cambria Math" w:hAnsi="Cambria Math"/>
          </w:rPr>
          <m:t>F(1,19)=0.49</m:t>
        </m:r>
      </m:oMath>
      <w:r>
        <w:t xml:space="preserve">, </w:t>
      </w:r>
      <m:oMath>
        <m:r>
          <w:rPr>
            <w:rFonts w:ascii="Cambria Math" w:hAnsi="Cambria Math"/>
          </w:rPr>
          <m:t>p=.492</m:t>
        </m:r>
      </m:oMath>
      <w:r>
        <w:t xml:space="preserve">, or Group x Block interaction </w:t>
      </w:r>
      <m:oMath>
        <m:r>
          <w:rPr>
            <w:rFonts w:ascii="Cambria Math" w:hAnsi="Cambria Math"/>
          </w:rPr>
          <m:t>F(2,38)=0.31</m:t>
        </m:r>
      </m:oMath>
      <w:r>
        <w:t xml:space="preserve">, </w:t>
      </w:r>
      <m:oMath>
        <m:r>
          <w:rPr>
            <w:rFonts w:ascii="Cambria Math" w:hAnsi="Cambria Math"/>
          </w:rPr>
          <m:t>p=.738</m:t>
        </m:r>
      </m:oMath>
      <w:r>
        <w:t>). After surgery, the sham group continued to acquire responding, but the lesion group did not (</w:t>
      </w:r>
      <w:r w:rsidRPr="005F0261">
        <w:rPr>
          <w:highlight w:val="yellow"/>
        </w:rPr>
        <w:t>Figure 2B, Post-Surgery;</w:t>
      </w:r>
      <w:r>
        <w:t xml:space="preserve"> significant Group x Block interaction </w:t>
      </w:r>
      <m:oMath>
        <m:r>
          <w:rPr>
            <w:rFonts w:ascii="Cambria Math" w:hAnsi="Cambria Math"/>
          </w:rPr>
          <m:t>F(2,38)=6.25</m:t>
        </m:r>
      </m:oMath>
      <w:r>
        <w:t xml:space="preserve">, </w:t>
      </w:r>
      <m:oMath>
        <m:r>
          <w:rPr>
            <w:rFonts w:ascii="Cambria Math" w:hAnsi="Cambria Math"/>
          </w:rPr>
          <m:t>p=</m:t>
        </m:r>
        <m:r>
          <w:rPr>
            <w:rFonts w:ascii="Cambria Math" w:hAnsi="Cambria Math"/>
          </w:rPr>
          <w:lastRenderedPageBreak/>
          <m:t>.005</m:t>
        </m:r>
      </m:oMath>
      <w:r>
        <w:t xml:space="preserve"> , but no main effect of Group </w:t>
      </w:r>
      <m:oMath>
        <m:r>
          <w:rPr>
            <w:rFonts w:ascii="Cambria Math" w:hAnsi="Cambria Math"/>
          </w:rPr>
          <m:t>F(1,19)=2.21</m:t>
        </m:r>
      </m:oMath>
      <w:r>
        <w:t xml:space="preserve">, </w:t>
      </w:r>
      <m:oMath>
        <m:r>
          <w:rPr>
            <w:rFonts w:ascii="Cambria Math" w:hAnsi="Cambria Math"/>
          </w:rPr>
          <m:t>p=.154</m:t>
        </m:r>
      </m:oMath>
      <w:r>
        <w:t xml:space="preserve">, or Day </w:t>
      </w:r>
      <m:oMath>
        <m:r>
          <w:rPr>
            <w:rFonts w:ascii="Cambria Math" w:hAnsi="Cambria Math"/>
          </w:rPr>
          <m:t>F(2,38)=0.66</m:t>
        </m:r>
      </m:oMath>
      <w:r>
        <w:t xml:space="preserve">, </w:t>
      </w:r>
      <m:oMath>
        <m:r>
          <w:rPr>
            <w:rFonts w:ascii="Cambria Math" w:hAnsi="Cambria Math"/>
          </w:rPr>
          <m:t>p=.525</m:t>
        </m:r>
      </m:oMath>
      <w:r>
        <w:t xml:space="preserve">). Responding in the sham control group was significantly higher than the lesion group in the final block of 3 days (Block 4 </w:t>
      </w:r>
      <m:oMath>
        <m:r>
          <w:rPr>
            <w:rFonts w:ascii="Cambria Math" w:hAnsi="Cambria Math"/>
          </w:rPr>
          <m:t>t(19)=-0.25</m:t>
        </m:r>
      </m:oMath>
      <w:r>
        <w:t xml:space="preserve">, </w:t>
      </w:r>
      <m:oMath>
        <m:r>
          <w:rPr>
            <w:rFonts w:ascii="Cambria Math" w:hAnsi="Cambria Math"/>
          </w:rPr>
          <m:t>p=.806</m:t>
        </m:r>
      </m:oMath>
      <w:r>
        <w:t xml:space="preserve">, Block 5 </w:t>
      </w:r>
      <m:oMath>
        <m:r>
          <w:rPr>
            <w:rFonts w:ascii="Cambria Math" w:hAnsi="Cambria Math"/>
          </w:rPr>
          <m:t>t(19)=-0.80</m:t>
        </m:r>
      </m:oMath>
      <w:r>
        <w:t xml:space="preserve">, </w:t>
      </w:r>
      <m:oMath>
        <m:r>
          <w:rPr>
            <w:rFonts w:ascii="Cambria Math" w:hAnsi="Cambria Math"/>
          </w:rPr>
          <m:t>p=.434</m:t>
        </m:r>
      </m:oMath>
      <w:r>
        <w:t xml:space="preserve">, Block 6 </w:t>
      </w:r>
      <m:oMath>
        <m:r>
          <w:rPr>
            <w:rFonts w:ascii="Cambria Math" w:hAnsi="Cambria Math"/>
          </w:rPr>
          <m:t>t(19)=-2.65</m:t>
        </m:r>
      </m:oMath>
      <w:r>
        <w:t xml:space="preserve">, </w:t>
      </w:r>
      <m:oMath>
        <m:r>
          <w:rPr>
            <w:rFonts w:ascii="Cambria Math" w:hAnsi="Cambria Math"/>
          </w:rPr>
          <m:t>p=.016</m:t>
        </m:r>
      </m:oMath>
      <w:r>
        <w:t xml:space="preserve">). Furthermore, further acquisition post-surgery was completely abolished in the lesion group (Lesion: no linear trend over Blocks 4-6 </w:t>
      </w:r>
      <m:oMath>
        <m:r>
          <w:rPr>
            <w:rFonts w:ascii="Cambria Math" w:hAnsi="Cambria Math"/>
          </w:rPr>
          <m:t>t(19)=-1.42</m:t>
        </m:r>
      </m:oMath>
      <w:r>
        <w:t xml:space="preserve">, </w:t>
      </w:r>
      <m:oMath>
        <m:r>
          <w:rPr>
            <w:rFonts w:ascii="Cambria Math" w:hAnsi="Cambria Math"/>
          </w:rPr>
          <m:t>p=.172</m:t>
        </m:r>
      </m:oMath>
      <w:r>
        <w:t xml:space="preserve">), but continued in the sham control group (Sham: significant positive linear trend over Blocks 4-6 </w:t>
      </w:r>
      <m:oMath>
        <m:r>
          <w:rPr>
            <w:rFonts w:ascii="Cambria Math" w:hAnsi="Cambria Math"/>
          </w:rPr>
          <m:t>t(19)=2.93</m:t>
        </m:r>
      </m:oMath>
      <w:r>
        <w:t xml:space="preserve">, </w:t>
      </w:r>
      <m:oMath>
        <m:r>
          <w:rPr>
            <w:rFonts w:ascii="Cambria Math" w:hAnsi="Cambria Math"/>
          </w:rPr>
          <m:t>p=.009</m:t>
        </m:r>
      </m:oMath>
      <w:r>
        <w:t>. Therefore, both post-training lesions and inactivation of OFC function effectively block the expression of Pavlovian acquisition.</w:t>
      </w:r>
    </w:p>
    <w:p w14:paraId="6730D6AB" w14:textId="4650F1C1" w:rsidR="00543681" w:rsidRDefault="00543681" w:rsidP="00543681">
      <w:pPr>
        <w:pStyle w:val="BodyText"/>
      </w:pPr>
      <w:r>
        <w:t xml:space="preserve">To facilitate comparisons between experiments, CS-PreCS response rates on Block 6 were </w:t>
      </w:r>
      <w:r w:rsidR="00FA6FF0">
        <w:t>S</w:t>
      </w:r>
      <w:r>
        <w:t>ham</w:t>
      </w:r>
      <w:r w:rsidR="00FA6FF0">
        <w:t>:</w:t>
      </w:r>
      <w:r>
        <w:t xml:space="preserve"> M = 9.61, SD = 3.88,</w:t>
      </w:r>
      <w:r w:rsidR="00FA6FF0">
        <w:t xml:space="preserve"> L</w:t>
      </w:r>
      <w:r>
        <w:t>esion</w:t>
      </w:r>
      <w:r w:rsidR="00FA6FF0">
        <w:t>:</w:t>
      </w:r>
      <w:r>
        <w:t xml:space="preserve"> M = 7.18, SD = 1.74 (</w:t>
      </w:r>
      <w:r w:rsidRPr="00FA6FF0">
        <w:rPr>
          <w:highlight w:val="yellow"/>
        </w:rPr>
        <w:t>Figure 2B)</w:t>
      </w:r>
      <w:r>
        <w:t xml:space="preserve">. The terminal levels of responding in the sham group are </w:t>
      </w:r>
      <w:proofErr w:type="gramStart"/>
      <w:r>
        <w:t>similar to</w:t>
      </w:r>
      <w:proofErr w:type="gramEnd"/>
      <w:r>
        <w:t xml:space="preserve"> those of the saline group in </w:t>
      </w:r>
      <w:r w:rsidRPr="00FF1F3F">
        <w:rPr>
          <w:highlight w:val="yellow"/>
        </w:rPr>
        <w:t>Figure 2A</w:t>
      </w:r>
      <w:r>
        <w:t xml:space="preserve">, and the sham group in </w:t>
      </w:r>
      <w:r w:rsidRPr="00FF1F3F">
        <w:rPr>
          <w:highlight w:val="yellow"/>
        </w:rPr>
        <w:t>Figure 1A</w:t>
      </w:r>
      <w:r>
        <w:t xml:space="preserve"> which used identical session parameters. This suggests that the present findings are unlikely to be due to abnormally elevated levels of responding in the </w:t>
      </w:r>
      <w:r w:rsidR="00F62EA8">
        <w:t xml:space="preserve">control </w:t>
      </w:r>
      <w:r>
        <w:t>group</w:t>
      </w:r>
      <w:r w:rsidR="00F62EA8">
        <w:t>s</w:t>
      </w:r>
      <w:r>
        <w:t xml:space="preserve"> in </w:t>
      </w:r>
      <w:r w:rsidR="00F62EA8">
        <w:t xml:space="preserve">any one of </w:t>
      </w:r>
      <w:r w:rsidR="00C150B3">
        <w:t>these experiments</w:t>
      </w:r>
      <w:r>
        <w:t>.</w:t>
      </w:r>
    </w:p>
    <w:p w14:paraId="0524BEC2" w14:textId="36C92E6A" w:rsidR="00F52D07" w:rsidRDefault="004779A5" w:rsidP="00F52D07">
      <w:pPr>
        <w:pStyle w:val="BodyText"/>
      </w:pPr>
      <w:r>
        <w:rPr>
          <w:b/>
        </w:rPr>
        <w:t xml:space="preserve">Experiment 4: </w:t>
      </w:r>
      <w:r w:rsidR="00F52D07">
        <w:rPr>
          <w:b/>
        </w:rPr>
        <w:t>OFC inactivation early in acquisition</w:t>
      </w:r>
    </w:p>
    <w:p w14:paraId="6DB6CD99" w14:textId="3DF17287" w:rsidR="00F52D07" w:rsidRDefault="00F52D07" w:rsidP="00F52D07">
      <w:pPr>
        <w:pStyle w:val="BodyText"/>
      </w:pPr>
      <w:r>
        <w:t>The results</w:t>
      </w:r>
      <w:r w:rsidR="009D1CF6">
        <w:t xml:space="preserve"> presented</w:t>
      </w:r>
      <w:r>
        <w:t xml:space="preserve"> </w:t>
      </w:r>
      <w:r w:rsidR="009D1CF6">
        <w:t>so</w:t>
      </w:r>
      <w:r>
        <w:t xml:space="preserve"> far suggest that OFC inactivation temporarily suppressed performance, but not learning</w:t>
      </w:r>
      <w:r w:rsidR="00C15920">
        <w:t>. However,</w:t>
      </w:r>
      <w:r>
        <w:t xml:space="preserve"> it is also possible that the </w:t>
      </w:r>
      <w:r w:rsidR="00C15920">
        <w:t>protocol</w:t>
      </w:r>
      <w:r>
        <w:t xml:space="preserve"> </w:t>
      </w:r>
      <w:r w:rsidR="00C15920">
        <w:t>is</w:t>
      </w:r>
      <w:r>
        <w:t xml:space="preserve"> not sensitive enough to observe a learning deficit. For example, rates of responding were still quite high during muscimol inactivation (</w:t>
      </w:r>
      <w:r w:rsidRPr="00F7235B">
        <w:rPr>
          <w:highlight w:val="yellow"/>
        </w:rPr>
        <w:t>Figure 2A, days 12-15</w:t>
      </w:r>
      <w:r>
        <w:t>) and the subsequent recovery of responding (</w:t>
      </w:r>
      <w:r w:rsidRPr="00F7235B">
        <w:rPr>
          <w:highlight w:val="yellow"/>
        </w:rPr>
        <w:t>Figure 2A, days 16-17</w:t>
      </w:r>
      <w:r>
        <w:t>) could reflect rapid within-session learning in the muscimol group. Therefore, we tested the effect of OFC inactivation much earlier in the learning process, after only 4 days of acquisition (</w:t>
      </w:r>
      <w:r w:rsidRPr="00F7235B">
        <w:rPr>
          <w:highlight w:val="yellow"/>
        </w:rPr>
        <w:t>Figure 2C</w:t>
      </w:r>
      <w:r>
        <w:t>)</w:t>
      </w:r>
      <w:r w:rsidR="00875ED3">
        <w:t xml:space="preserve"> when differences in learning </w:t>
      </w:r>
      <w:r w:rsidR="00A9040B">
        <w:t>should have greater impact</w:t>
      </w:r>
      <w:r>
        <w:t>. A new set of animals was implanted with bilateral cannulae (</w:t>
      </w:r>
      <w:r w:rsidRPr="00A9040B">
        <w:rPr>
          <w:highlight w:val="yellow"/>
        </w:rPr>
        <w:t>Figure 2-figure supplement 4</w:t>
      </w:r>
      <w:r>
        <w:t>) and then trained on a simple Pavlovian cue-outcome task (CS was a 10s house light).</w:t>
      </w:r>
    </w:p>
    <w:p w14:paraId="18FA5E78" w14:textId="09D5E474" w:rsidR="00F52D07" w:rsidRDefault="00F52D07" w:rsidP="00F52D07">
      <w:pPr>
        <w:pStyle w:val="BodyText"/>
      </w:pPr>
      <w:r>
        <w:t xml:space="preserve">Prior to drug infusions, all animals acquired responding to the cue </w:t>
      </w:r>
      <w:r w:rsidR="00504A92">
        <w:t>(</w:t>
      </w:r>
      <w:r>
        <w:t xml:space="preserve">Figure 2C, Days 1-4; Significant main effect of Day </w:t>
      </w:r>
      <m:oMath>
        <m:r>
          <w:rPr>
            <w:rFonts w:ascii="Cambria Math" w:hAnsi="Cambria Math"/>
          </w:rPr>
          <m:t>F(3,39)=9.42</m:t>
        </m:r>
      </m:oMath>
      <w:r>
        <w:t xml:space="preserve">, </w:t>
      </w:r>
      <m:oMath>
        <m:r>
          <w:rPr>
            <w:rFonts w:ascii="Cambria Math" w:hAnsi="Cambria Math"/>
          </w:rPr>
          <m:t>p&lt;.001</m:t>
        </m:r>
      </m:oMath>
      <w:r>
        <w:t xml:space="preserve">, but no main effect of Group , or Group x Day interaction </w:t>
      </w:r>
      <m:oMath>
        <m:r>
          <w:rPr>
            <w:rFonts w:ascii="Cambria Math" w:hAnsi="Cambria Math"/>
          </w:rPr>
          <m:t>F(3,39)=0.30</m:t>
        </m:r>
      </m:oMath>
      <w:r>
        <w:t xml:space="preserve">, </w:t>
      </w:r>
      <m:oMath>
        <m:r>
          <w:rPr>
            <w:rFonts w:ascii="Cambria Math" w:hAnsi="Cambria Math"/>
          </w:rPr>
          <m:t>p=.826</m:t>
        </m:r>
      </m:oMath>
      <w:r>
        <w:t xml:space="preserve">). However, </w:t>
      </w:r>
      <w:r w:rsidR="00504A92">
        <w:t>OFC inactivation</w:t>
      </w:r>
      <w:r>
        <w:t xml:space="preserve"> during the next 5 days of conditioning significantly impaired acquisition in the muscimol group (</w:t>
      </w:r>
      <w:r w:rsidRPr="00504A92">
        <w:rPr>
          <w:highlight w:val="yellow"/>
        </w:rPr>
        <w:t>Figure 2C, Days 5-9</w:t>
      </w:r>
      <w:r>
        <w:t xml:space="preserve">; Significant main effect of Group </w:t>
      </w:r>
      <m:oMath>
        <m:r>
          <w:rPr>
            <w:rFonts w:ascii="Cambria Math" w:hAnsi="Cambria Math"/>
          </w:rPr>
          <m:t>F(1,13)=12.57</m:t>
        </m:r>
      </m:oMath>
      <w:r>
        <w:t xml:space="preserve">, </w:t>
      </w:r>
      <m:oMath>
        <m:r>
          <w:rPr>
            <w:rFonts w:ascii="Cambria Math" w:hAnsi="Cambria Math"/>
          </w:rPr>
          <m:t>p=.004</m:t>
        </m:r>
      </m:oMath>
      <w:r>
        <w:t xml:space="preserve">, Day </w:t>
      </w:r>
      <m:oMath>
        <m:r>
          <w:rPr>
            <w:rFonts w:ascii="Cambria Math" w:hAnsi="Cambria Math"/>
          </w:rPr>
          <m:t>F(4,52)=7.72</m:t>
        </m:r>
      </m:oMath>
      <w:r>
        <w:t xml:space="preserve">, </w:t>
      </w:r>
      <m:oMath>
        <m:r>
          <w:rPr>
            <w:rFonts w:ascii="Cambria Math" w:hAnsi="Cambria Math"/>
          </w:rPr>
          <m:t>p&lt;.001</m:t>
        </m:r>
      </m:oMath>
      <w:r>
        <w:t>, a</w:t>
      </w:r>
      <w:proofErr w:type="spellStart"/>
      <w:r>
        <w:t>nd</w:t>
      </w:r>
      <w:proofErr w:type="spellEnd"/>
      <w:r>
        <w:t xml:space="preserve"> Group x Day interaction </w:t>
      </w:r>
      <m:oMath>
        <m:r>
          <w:rPr>
            <w:rFonts w:ascii="Cambria Math" w:hAnsi="Cambria Math"/>
          </w:rPr>
          <m:t>F(4,52)=3.05</m:t>
        </m:r>
      </m:oMath>
      <w:r>
        <w:t xml:space="preserve">, </w:t>
      </w:r>
      <m:oMath>
        <m:r>
          <w:rPr>
            <w:rFonts w:ascii="Cambria Math" w:hAnsi="Cambria Math"/>
          </w:rPr>
          <m:t>p=.025</m:t>
        </m:r>
      </m:oMath>
      <w:r>
        <w:t xml:space="preserve">). Responding in the muscimol group was significantly lower than the saline group on days 7-9 (Muscimol vs Saline: Day 5 </w:t>
      </w:r>
      <m:oMath>
        <m:r>
          <w:rPr>
            <w:rFonts w:ascii="Cambria Math" w:hAnsi="Cambria Math"/>
          </w:rPr>
          <m:t>t(13)=-1.85</m:t>
        </m:r>
      </m:oMath>
      <w:r>
        <w:t xml:space="preserve">, </w:t>
      </w:r>
      <m:oMath>
        <m:r>
          <w:rPr>
            <w:rFonts w:ascii="Cambria Math" w:hAnsi="Cambria Math"/>
          </w:rPr>
          <m:t>p=.087</m:t>
        </m:r>
      </m:oMath>
      <w:r>
        <w:t xml:space="preserve">, Day 6 </w:t>
      </w:r>
      <m:oMath>
        <m:r>
          <w:rPr>
            <w:rFonts w:ascii="Cambria Math" w:hAnsi="Cambria Math"/>
          </w:rPr>
          <m:t>t(13)=-2.10</m:t>
        </m:r>
      </m:oMath>
      <w:r>
        <w:t xml:space="preserve">, </w:t>
      </w:r>
      <m:oMath>
        <m:r>
          <w:rPr>
            <w:rFonts w:ascii="Cambria Math" w:hAnsi="Cambria Math"/>
          </w:rPr>
          <m:t>p=.056</m:t>
        </m:r>
      </m:oMath>
      <w:r>
        <w:t xml:space="preserve">, Day 7 </w:t>
      </w:r>
      <m:oMath>
        <m:r>
          <w:rPr>
            <w:rFonts w:ascii="Cambria Math" w:hAnsi="Cambria Math"/>
          </w:rPr>
          <m:t>t(13)=-3.77</m:t>
        </m:r>
      </m:oMath>
      <w:r>
        <w:t xml:space="preserve">, </w:t>
      </w:r>
      <m:oMath>
        <m:r>
          <w:rPr>
            <w:rFonts w:ascii="Cambria Math" w:hAnsi="Cambria Math"/>
          </w:rPr>
          <m:t>p=.002</m:t>
        </m:r>
      </m:oMath>
      <w:r>
        <w:t xml:space="preserve">, Day 8 </w:t>
      </w:r>
      <m:oMath>
        <m:r>
          <w:rPr>
            <w:rFonts w:ascii="Cambria Math" w:hAnsi="Cambria Math"/>
          </w:rPr>
          <m:t>t(13)=-4.17</m:t>
        </m:r>
      </m:oMath>
      <w:r>
        <w:t xml:space="preserve">, </w:t>
      </w:r>
      <m:oMath>
        <m:r>
          <w:rPr>
            <w:rFonts w:ascii="Cambria Math" w:hAnsi="Cambria Math"/>
          </w:rPr>
          <m:t>p=.001</m:t>
        </m:r>
      </m:oMath>
      <w:r>
        <w:t xml:space="preserve">, Day 9 </w:t>
      </w:r>
      <m:oMath>
        <m:r>
          <w:rPr>
            <w:rFonts w:ascii="Cambria Math" w:hAnsi="Cambria Math"/>
          </w:rPr>
          <m:t>t(13)=-3.80</m:t>
        </m:r>
      </m:oMath>
      <w:r>
        <w:t xml:space="preserve">, </w:t>
      </w:r>
      <m:oMath>
        <m:r>
          <w:rPr>
            <w:rFonts w:ascii="Cambria Math" w:hAnsi="Cambria Math"/>
          </w:rPr>
          <m:t>p=.002</m:t>
        </m:r>
      </m:oMath>
      <w:r>
        <w:t xml:space="preserve">). Again, this deficit was characterised by significant acquisition over days in the saline group that was abolished in the muscimol group (positive linear trend over days 5-9; Saline </w:t>
      </w:r>
      <m:oMath>
        <m:r>
          <w:rPr>
            <w:rFonts w:ascii="Cambria Math" w:hAnsi="Cambria Math"/>
          </w:rPr>
          <m:t>t(13)=6.59</m:t>
        </m:r>
      </m:oMath>
      <w:r>
        <w:t xml:space="preserve">, </w:t>
      </w:r>
      <m:oMath>
        <m:r>
          <w:rPr>
            <w:rFonts w:ascii="Cambria Math" w:hAnsi="Cambria Math"/>
          </w:rPr>
          <m:t>p&lt;.001</m:t>
        </m:r>
      </m:oMath>
      <w:r>
        <w:t xml:space="preserve">, Muscimol </w:t>
      </w:r>
      <m:oMath>
        <m:r>
          <w:rPr>
            <w:rFonts w:ascii="Cambria Math" w:hAnsi="Cambria Math"/>
          </w:rPr>
          <m:t>t(13)=1.45</m:t>
        </m:r>
      </m:oMath>
      <w:r>
        <w:t xml:space="preserve">, </w:t>
      </w:r>
      <m:oMath>
        <m:r>
          <w:rPr>
            <w:rFonts w:ascii="Cambria Math" w:hAnsi="Cambria Math"/>
          </w:rPr>
          <m:t>p=.171</m:t>
        </m:r>
      </m:oMath>
      <w:r>
        <w:t>).</w:t>
      </w:r>
      <w:r w:rsidR="00AD1614">
        <w:t xml:space="preserve"> Finally, t</w:t>
      </w:r>
      <w:r>
        <w:t>his reduction in responding persisted on day 10 when all rats were tested without infusion (</w:t>
      </w:r>
      <w:r w:rsidRPr="003E2123">
        <w:rPr>
          <w:highlight w:val="yellow"/>
        </w:rPr>
        <w:t>Figure 2C, Day 10;</w:t>
      </w:r>
      <w:r>
        <w:t xml:space="preserve"> </w:t>
      </w:r>
      <m:oMath>
        <m:r>
          <w:rPr>
            <w:rFonts w:ascii="Cambria Math" w:hAnsi="Cambria Math"/>
          </w:rPr>
          <m:t>t(12.14)=3.88</m:t>
        </m:r>
      </m:oMath>
      <w:r>
        <w:t xml:space="preserve">, </w:t>
      </w:r>
      <m:oMath>
        <m:r>
          <w:rPr>
            <w:rFonts w:ascii="Cambria Math" w:hAnsi="Cambria Math"/>
          </w:rPr>
          <m:t>p=.002</m:t>
        </m:r>
      </m:oMath>
      <w:r>
        <w:t>). In contrast to OFC inactivation later in acquisition (</w:t>
      </w:r>
      <w:r w:rsidRPr="003E2123">
        <w:rPr>
          <w:highlight w:val="yellow"/>
        </w:rPr>
        <w:t>Figure 2A</w:t>
      </w:r>
      <w:r>
        <w:t xml:space="preserve">), disrupting OFC activity early in learning suppressed performance which persisted when the OFC </w:t>
      </w:r>
      <w:r w:rsidR="0016431B">
        <w:t>wa</w:t>
      </w:r>
      <w:r>
        <w:t xml:space="preserve">s active again. This suggests that OFC inactivation </w:t>
      </w:r>
      <w:r w:rsidR="001A6C50">
        <w:t xml:space="preserve">early in training </w:t>
      </w:r>
      <w:r>
        <w:t>disrupted acquisition learning rather than just behavioural performance.</w:t>
      </w:r>
    </w:p>
    <w:p w14:paraId="319BC886" w14:textId="4B1B9F48" w:rsidR="00027A91" w:rsidRDefault="004779A5" w:rsidP="00027A91">
      <w:pPr>
        <w:pStyle w:val="BodyText"/>
      </w:pPr>
      <w:r>
        <w:rPr>
          <w:b/>
        </w:rPr>
        <w:lastRenderedPageBreak/>
        <w:t xml:space="preserve">Experiment 5: </w:t>
      </w:r>
      <w:r w:rsidR="00027A91">
        <w:rPr>
          <w:b/>
        </w:rPr>
        <w:t>OFC inactivation prior to associative blocking</w:t>
      </w:r>
    </w:p>
    <w:p w14:paraId="5294AAD3" w14:textId="211A644E" w:rsidR="00B95E73" w:rsidRDefault="00B95E73" w:rsidP="00B95E73">
      <w:pPr>
        <w:pStyle w:val="BodyText"/>
      </w:pPr>
      <w:r>
        <w:t>OFC inactivation during acquisition suppresse</w:t>
      </w:r>
      <w:r w:rsidR="00385F55">
        <w:t>d</w:t>
      </w:r>
      <w:r>
        <w:t xml:space="preserve"> cue responding, but it is unclear if this reduction in behaviour is due to suppression of learning (</w:t>
      </w:r>
      <w:r w:rsidRPr="00333D7D">
        <w:rPr>
          <w:highlight w:val="yellow"/>
        </w:rPr>
        <w:t>Figure 2A</w:t>
      </w:r>
      <w:r>
        <w:t>) or behavioural performance (</w:t>
      </w:r>
      <w:r w:rsidRPr="00333D7D">
        <w:rPr>
          <w:highlight w:val="yellow"/>
        </w:rPr>
        <w:t>Figure 2C</w:t>
      </w:r>
      <w:r>
        <w:t xml:space="preserve">). This ambiguity is predominantly driven by the assumption that an animal’s response levels are some monotonic function of acquired learning </w:t>
      </w:r>
      <w:r>
        <w:fldChar w:fldCharType="begin" w:fldLock="1"/>
      </w:r>
      <w:r>
        <w:instrText>ADDIN CSL_CITATION {"citationItems":[{"id":"ITEM-1","itemData":{"author":[{"dropping-particle":"","family":"Wagner","given":"A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1981)"},"properties":{"noteIndex":0},"schema":"https://github.com/citation-style-language/schema/raw/master/csl-citation.json"}</w:instrText>
      </w:r>
      <w:r>
        <w:fldChar w:fldCharType="separate"/>
      </w:r>
      <w:r w:rsidRPr="009A5050">
        <w:rPr>
          <w:noProof/>
        </w:rPr>
        <w:t>(Mackintosh, 1975; Pearce &amp; Hall, 1980; Rescorla &amp; Wagner, 1972; Sutton &amp; Barto, 1998; Wagner, 1981)</w:t>
      </w:r>
      <w:r>
        <w:fldChar w:fldCharType="end"/>
      </w:r>
      <w:r>
        <w:t>. To disambiguate learning from performance effects we employed an associative blocking design (</w:t>
      </w:r>
      <w:r w:rsidRPr="00333D7D">
        <w:rPr>
          <w:highlight w:val="yellow"/>
        </w:rPr>
        <w:t>Figure 3A</w:t>
      </w:r>
      <w:r>
        <w:t xml:space="preserve">).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fldChar w:fldCharType="begin" w:fldLock="1"/>
      </w:r>
      <w: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fldChar w:fldCharType="separate"/>
      </w:r>
      <w:r w:rsidRPr="008032D9">
        <w:rPr>
          <w:noProof/>
        </w:rPr>
        <w:t>(Kamin, 1969)</w:t>
      </w:r>
      <w:r>
        <w:fldChar w:fldCharType="end"/>
      </w:r>
      <w:r>
        <w:t>. However, if learning about cue A is insufficient, then learning about cue B should not be blocked. We predicted that if OFC inactivation is disrupting learning, then OFC inactivation during initial learning about cue A should disrupt the blocking effect.</w:t>
      </w:r>
    </w:p>
    <w:p w14:paraId="2C6A4788" w14:textId="00A923C6" w:rsidR="00B95E73" w:rsidRDefault="00B95E73" w:rsidP="00B95E73">
      <w:pPr>
        <w:pStyle w:val="BodyText"/>
      </w:pPr>
      <w:r>
        <w:t>To test this prediction, a new set of animals was implanted with bilateral cannulae targeting the OFC and tested in a blocking procedure. During stage 1 of blocking (</w:t>
      </w:r>
      <w:r w:rsidRPr="00252843">
        <w:rPr>
          <w:highlight w:val="yellow"/>
        </w:rPr>
        <w:t>Figure 3B</w:t>
      </w:r>
      <w:r>
        <w:t xml:space="preserve">),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rPr>
          <m:t>F(3,72)=5.77</m:t>
        </m:r>
      </m:oMath>
      <w:r>
        <w:t xml:space="preserve">, </w:t>
      </w:r>
      <m:oMath>
        <m:r>
          <w:rPr>
            <w:rFonts w:ascii="Cambria Math" w:hAnsi="Cambria Math"/>
          </w:rPr>
          <m:t>p=.001</m:t>
        </m:r>
      </m:oMath>
      <w:r>
        <w:t xml:space="preserve">, but no effect of Group , or Group x Day interaction </w:t>
      </w:r>
      <m:oMath>
        <m:r>
          <w:rPr>
            <w:rFonts w:ascii="Cambria Math" w:hAnsi="Cambria Math"/>
          </w:rPr>
          <m:t>F(3,72)=0.27</m:t>
        </m:r>
      </m:oMath>
      <w:r>
        <w:t xml:space="preserve">, </w:t>
      </w:r>
      <m:oMath>
        <m:r>
          <w:rPr>
            <w:rFonts w:ascii="Cambria Math" w:hAnsi="Cambria Math"/>
          </w:rPr>
          <m:t>p=.850</m:t>
        </m:r>
      </m:oMath>
      <w:r>
        <w:t>). All animals then received an additional 6 days of acquisition to cue A (</w:t>
      </w:r>
      <w:r w:rsidRPr="00950E01">
        <w:rPr>
          <w:highlight w:val="yellow"/>
        </w:rPr>
        <w:t>Figure 3B, Days 5-10</w:t>
      </w:r>
      <w:r>
        <w:t xml:space="preserve">) following either intra-OFC infusions of muscimol or saline. Infusions of muscimol depressed overall responding relative to saline infusions (significant main effect of Group </w:t>
      </w:r>
      <m:oMath>
        <m:r>
          <w:rPr>
            <w:rFonts w:ascii="Cambria Math" w:hAnsi="Cambria Math"/>
          </w:rPr>
          <m:t>F(1,24)=4.25</m:t>
        </m:r>
      </m:oMath>
      <w:r>
        <w:t xml:space="preserve">, </w:t>
      </w:r>
      <m:oMath>
        <m:r>
          <w:rPr>
            <w:rFonts w:ascii="Cambria Math" w:hAnsi="Cambria Math"/>
          </w:rPr>
          <m:t>p=.050</m:t>
        </m:r>
      </m:oMath>
      <w:r>
        <w:t xml:space="preserve">, and Day </w:t>
      </w:r>
      <m:oMath>
        <m:r>
          <w:rPr>
            <w:rFonts w:ascii="Cambria Math" w:hAnsi="Cambria Math"/>
          </w:rPr>
          <m:t>F(5,120)=17.49</m:t>
        </m:r>
      </m:oMath>
      <w:r>
        <w:t xml:space="preserve">, </w:t>
      </w:r>
      <m:oMath>
        <m:r>
          <w:rPr>
            <w:rFonts w:ascii="Cambria Math" w:hAnsi="Cambria Math"/>
          </w:rPr>
          <m:t>p&lt;.001</m:t>
        </m:r>
      </m:oMath>
      <w:r>
        <w:t xml:space="preserve">, but no Group x Day interaction </w:t>
      </w:r>
      <m:oMath>
        <m:r>
          <w:rPr>
            <w:rFonts w:ascii="Cambria Math" w:hAnsi="Cambria Math"/>
          </w:rPr>
          <m:t>F(5,120)=1.31</m:t>
        </m:r>
      </m:oMath>
      <w:r>
        <w:t xml:space="preserve">, </w:t>
      </w:r>
      <m:oMath>
        <m:r>
          <w:rPr>
            <w:rFonts w:ascii="Cambria Math" w:hAnsi="Cambria Math"/>
          </w:rPr>
          <m:t>p=.263</m:t>
        </m:r>
      </m:oMath>
      <w:r>
        <w:t>). Importantly, on the final day (Day 10), responding in the muscimol group was significantly lower than the saline group (</w:t>
      </w:r>
      <m:oMath>
        <m:r>
          <w:rPr>
            <w:rFonts w:ascii="Cambria Math" w:hAnsi="Cambria Math"/>
          </w:rPr>
          <m:t>t(24)=-2.69</m:t>
        </m:r>
      </m:oMath>
      <w:r>
        <w:t xml:space="preserve">, </w:t>
      </w:r>
      <m:oMath>
        <m:r>
          <w:rPr>
            <w:rFonts w:ascii="Cambria Math" w:hAnsi="Cambria Math"/>
          </w:rPr>
          <m:t>p=.013</m:t>
        </m:r>
      </m:oMath>
      <w:r>
        <w:t>).</w:t>
      </w:r>
    </w:p>
    <w:p w14:paraId="21A20015" w14:textId="77777777" w:rsidR="004437AA" w:rsidRDefault="008359E2" w:rsidP="008359E2">
      <w:pPr>
        <w:pStyle w:val="BodyText"/>
      </w:pPr>
      <w:r>
        <w:t>Next, animals were trained such that compounds AB and CD also predicted reward (</w:t>
      </w:r>
      <w:r w:rsidRPr="008359E2">
        <w:rPr>
          <w:highlight w:val="yellow"/>
        </w:rPr>
        <w:t>Figure 3C, Stage 2</w:t>
      </w:r>
      <w:r>
        <w:t xml:space="preserve">), importantly OFC function was intact in all animals i.e. no infusions. Responding in both the saline and muscimol groups was initially lower to the novel compound CD than to AB (Significant Cue x Day interaction </w:t>
      </w:r>
      <m:oMath>
        <m:r>
          <w:rPr>
            <w:rFonts w:ascii="Cambria Math" w:hAnsi="Cambria Math"/>
          </w:rPr>
          <m:t>F(2,48)=12.12</m:t>
        </m:r>
      </m:oMath>
      <w:r>
        <w:t xml:space="preserve">, </w:t>
      </w:r>
      <m:oMath>
        <m:r>
          <w:rPr>
            <w:rFonts w:ascii="Cambria Math" w:hAnsi="Cambria Math"/>
          </w:rPr>
          <m:t>p&lt;.001</m:t>
        </m:r>
      </m:oMath>
      <w:r>
        <w:t xml:space="preserve">, and main effect of Day </w:t>
      </w:r>
      <m:oMath>
        <m:r>
          <w:rPr>
            <w:rFonts w:ascii="Cambria Math" w:hAnsi="Cambria Math"/>
          </w:rPr>
          <m:t>F(2,48)=20.09</m:t>
        </m:r>
      </m:oMath>
      <w:r>
        <w:t xml:space="preserve">, </w:t>
      </w:r>
      <m:oMath>
        <m:r>
          <w:rPr>
            <w:rFonts w:ascii="Cambria Math" w:hAnsi="Cambria Math"/>
          </w:rPr>
          <m:t>p&lt;.001</m:t>
        </m:r>
      </m:oMath>
      <w:r>
        <w:t xml:space="preserve">, but no other main effects or interactions with Group were significant, all remaining effects </w:t>
      </w:r>
      <w:r>
        <w:rPr>
          <w:i/>
        </w:rPr>
        <w:t>F</w:t>
      </w:r>
      <w:r>
        <w:t xml:space="preserve"> &lt; 1.91, </w:t>
      </w:r>
      <w:r>
        <w:rPr>
          <w:i/>
        </w:rPr>
        <w:t>p</w:t>
      </w:r>
      <w:r>
        <w:t xml:space="preserve"> &gt; .160; Cue AB vs CD: Day 12 </w:t>
      </w:r>
      <m:oMath>
        <m:r>
          <w:rPr>
            <w:rFonts w:ascii="Cambria Math" w:hAnsi="Cambria Math"/>
          </w:rPr>
          <m:t>t(24)=3.74</m:t>
        </m:r>
      </m:oMath>
      <w:r>
        <w:t xml:space="preserve">, </w:t>
      </w:r>
      <m:oMath>
        <m:r>
          <w:rPr>
            <w:rFonts w:ascii="Cambria Math" w:hAnsi="Cambria Math"/>
          </w:rPr>
          <m:t>p=.001</m:t>
        </m:r>
      </m:oMath>
      <w:r>
        <w:t xml:space="preserve">, Day 13 </w:t>
      </w:r>
      <m:oMath>
        <m:r>
          <w:rPr>
            <w:rFonts w:ascii="Cambria Math" w:hAnsi="Cambria Math"/>
          </w:rPr>
          <m:t>t(24)=-0.44</m:t>
        </m:r>
      </m:oMath>
      <w:r>
        <w:t xml:space="preserve">, </w:t>
      </w:r>
      <m:oMath>
        <m:r>
          <w:rPr>
            <w:rFonts w:ascii="Cambria Math" w:hAnsi="Cambria Math"/>
          </w:rPr>
          <m:t>p=.663</m:t>
        </m:r>
      </m:oMath>
      <w:r>
        <w:t xml:space="preserve">, Day 14 </w:t>
      </w:r>
      <m:oMath>
        <m:r>
          <w:rPr>
            <w:rFonts w:ascii="Cambria Math" w:hAnsi="Cambria Math"/>
          </w:rPr>
          <m:t>t(24)=-1.80</m:t>
        </m:r>
      </m:oMath>
      <w:r>
        <w:t xml:space="preserve">, </w:t>
      </w:r>
      <m:oMath>
        <m:r>
          <w:rPr>
            <w:rFonts w:ascii="Cambria Math" w:hAnsi="Cambria Math"/>
          </w:rPr>
          <m:t>p=.085</m:t>
        </m:r>
      </m:oMath>
      <w:r>
        <w:t>). However, the pattern of means suggests that responding to compound AB in the muscimol group was similar to the novel compound CD on Day 12 (</w:t>
      </w:r>
      <w:r w:rsidRPr="008359E2">
        <w:rPr>
          <w:highlight w:val="yellow"/>
        </w:rPr>
        <w:t>Figure 3C, Right - Day 12,</w:t>
      </w:r>
      <w:r>
        <w:t xml:space="preserve"> Muscimol: AB vs CD </w:t>
      </w:r>
      <m:oMath>
        <m:r>
          <w:rPr>
            <w:rFonts w:ascii="Cambria Math" w:hAnsi="Cambria Math"/>
          </w:rPr>
          <m:t>t(24)=1.82</m:t>
        </m:r>
      </m:oMath>
      <w:r>
        <w:t xml:space="preserve">, </w:t>
      </w:r>
      <m:oMath>
        <m:r>
          <w:rPr>
            <w:rFonts w:ascii="Cambria Math" w:hAnsi="Cambria Math"/>
          </w:rPr>
          <m:t>p=.081</m:t>
        </m:r>
      </m:oMath>
      <w:r>
        <w:t>), and lower than compound AB in the saline group (</w:t>
      </w:r>
      <w:r w:rsidRPr="008359E2">
        <w:rPr>
          <w:highlight w:val="yellow"/>
        </w:rPr>
        <w:t>Figure 3C, Left - Day 12</w:t>
      </w:r>
      <w:r>
        <w:t xml:space="preserve">; Day 12, Saline: AB vs CD </w:t>
      </w:r>
      <m:oMath>
        <m:r>
          <w:rPr>
            <w:rFonts w:ascii="Cambria Math" w:hAnsi="Cambria Math"/>
          </w:rPr>
          <m:t>t(24)=3.47</m:t>
        </m:r>
      </m:oMath>
      <w:r>
        <w:t xml:space="preserve">, </w:t>
      </w:r>
      <m:oMath>
        <m:r>
          <w:rPr>
            <w:rFonts w:ascii="Cambria Math" w:hAnsi="Cambria Math"/>
          </w:rPr>
          <m:t>p=.002</m:t>
        </m:r>
      </m:oMath>
      <w:r>
        <w:t xml:space="preserve">). </w:t>
      </w:r>
      <w:r w:rsidR="001F2782">
        <w:t xml:space="preserve">Furthermore, </w:t>
      </w:r>
      <w:r>
        <w:t>Within-session changes over trials on Day 12 revealed rapid within-session acquisition to both compounds in both groups, but responding was significantly lower in the muscimol group at the start of the session (</w:t>
      </w:r>
      <w:r w:rsidRPr="001F2782">
        <w:rPr>
          <w:highlight w:val="yellow"/>
        </w:rPr>
        <w:t>Figure 3 - Supplemental figure 2</w:t>
      </w:r>
      <w:r>
        <w:t xml:space="preserve">; First 2 trials, significant main effect of Group </w:t>
      </w:r>
      <m:oMath>
        <m:r>
          <w:rPr>
            <w:rFonts w:ascii="Cambria Math" w:hAnsi="Cambria Math"/>
          </w:rPr>
          <m:t>F(1,24)=8.67</m:t>
        </m:r>
      </m:oMath>
      <w:r>
        <w:t xml:space="preserve">, </w:t>
      </w:r>
      <m:oMath>
        <m:r>
          <w:rPr>
            <w:rFonts w:ascii="Cambria Math" w:hAnsi="Cambria Math"/>
          </w:rPr>
          <m:t>p=.007</m:t>
        </m:r>
      </m:oMath>
      <w:r>
        <w:t xml:space="preserve">, and Cue </w:t>
      </w:r>
      <m:oMath>
        <m:r>
          <w:rPr>
            <w:rFonts w:ascii="Cambria Math" w:hAnsi="Cambria Math"/>
          </w:rPr>
          <m:t>F(1,24)=7.61</m:t>
        </m:r>
      </m:oMath>
      <w:r>
        <w:t xml:space="preserve">, </w:t>
      </w:r>
      <m:oMath>
        <m:r>
          <w:rPr>
            <w:rFonts w:ascii="Cambria Math" w:hAnsi="Cambria Math"/>
          </w:rPr>
          <m:t>p=.011</m:t>
        </m:r>
      </m:oMath>
      <w:r>
        <w:t xml:space="preserve">, but no Group x Cue interaction </w:t>
      </w:r>
      <m:oMath>
        <m:r>
          <w:rPr>
            <w:rFonts w:ascii="Cambria Math" w:hAnsi="Cambria Math"/>
          </w:rPr>
          <m:t>F(1,24)=0.19</m:t>
        </m:r>
      </m:oMath>
      <w:r>
        <w:t xml:space="preserve">, </w:t>
      </w:r>
      <m:oMath>
        <m:r>
          <w:rPr>
            <w:rFonts w:ascii="Cambria Math" w:hAnsi="Cambria Math"/>
          </w:rPr>
          <m:t>p=.670</m:t>
        </m:r>
      </m:oMath>
      <w:r>
        <w:t>).</w:t>
      </w:r>
      <w:r w:rsidR="004645AD">
        <w:t xml:space="preserve"> </w:t>
      </w:r>
      <w:r>
        <w:t xml:space="preserve">The lower responding to cue AB in the muscimol group suggests that acquisition to cue A was </w:t>
      </w:r>
      <w:r>
        <w:lastRenderedPageBreak/>
        <w:t xml:space="preserve">impaired following infusions in Stage 1 and this impairment persisted (albeit transiently) when test drug free in stage 2. Indeed, the levels of responding to compound AB in the muscimol group at the start of Day 12 (Figure 3 - Supplemental figure 2) are </w:t>
      </w:r>
      <w:proofErr w:type="gramStart"/>
      <w:r>
        <w:t>similar to</w:t>
      </w:r>
      <w:proofErr w:type="gramEnd"/>
      <w:r>
        <w:t xml:space="preserve"> levels of </w:t>
      </w:r>
      <w:r w:rsidR="00B27FF5">
        <w:t>responding</w:t>
      </w:r>
      <w:r>
        <w:t xml:space="preserve"> to the novel compound CD in the saline group. This would suggest that learning about cue A in the muscimol group was impaired in stage 1, and therefore cue A will not effectively block learning to cue B in stage 2. </w:t>
      </w:r>
    </w:p>
    <w:p w14:paraId="1990FC8D" w14:textId="5FDECE17" w:rsidR="008359E2" w:rsidRDefault="004437AA" w:rsidP="008359E2">
      <w:pPr>
        <w:pStyle w:val="BodyText"/>
      </w:pPr>
      <w:r>
        <w:t>At</w:t>
      </w:r>
      <w:r w:rsidR="008359E2">
        <w:t xml:space="preserve"> test both groups showed significant blocking of learning to cue B relative to the control cue D (</w:t>
      </w:r>
      <w:r w:rsidR="008359E2" w:rsidRPr="004437AA">
        <w:rPr>
          <w:highlight w:val="yellow"/>
        </w:rPr>
        <w:t>Figure 3D;</w:t>
      </w:r>
      <w:r w:rsidR="008359E2">
        <w:t xml:space="preserve"> Significant main effect of Cue </w:t>
      </w:r>
      <m:oMath>
        <m:r>
          <w:rPr>
            <w:rFonts w:ascii="Cambria Math" w:hAnsi="Cambria Math"/>
          </w:rPr>
          <m:t>F(1,24)=7.29</m:t>
        </m:r>
      </m:oMath>
      <w:r w:rsidR="008359E2">
        <w:t xml:space="preserve">, </w:t>
      </w:r>
      <m:oMath>
        <m:r>
          <w:rPr>
            <w:rFonts w:ascii="Cambria Math" w:hAnsi="Cambria Math"/>
          </w:rPr>
          <m:t>p=.013</m:t>
        </m:r>
      </m:oMath>
      <w:r w:rsidR="008359E2">
        <w:t xml:space="preserve">, but no main effect of Group </w:t>
      </w:r>
      <m:oMath>
        <m:r>
          <w:rPr>
            <w:rFonts w:ascii="Cambria Math" w:hAnsi="Cambria Math"/>
          </w:rPr>
          <m:t>F(1,24)=0.54</m:t>
        </m:r>
      </m:oMath>
      <w:r w:rsidR="008359E2">
        <w:t xml:space="preserve">, </w:t>
      </w:r>
      <m:oMath>
        <m:r>
          <w:rPr>
            <w:rFonts w:ascii="Cambria Math" w:hAnsi="Cambria Math"/>
          </w:rPr>
          <m:t>p=.471</m:t>
        </m:r>
      </m:oMath>
      <w:r w:rsidR="008359E2">
        <w:t xml:space="preserve">, or Group x Cue interaction </w:t>
      </w:r>
      <m:oMath>
        <m:r>
          <w:rPr>
            <w:rFonts w:ascii="Cambria Math" w:hAnsi="Cambria Math"/>
          </w:rPr>
          <m:t>F(1,24)=0.04</m:t>
        </m:r>
      </m:oMath>
      <w:r w:rsidR="008359E2">
        <w:t xml:space="preserve">, </w:t>
      </w:r>
      <m:oMath>
        <m:r>
          <w:rPr>
            <w:rFonts w:ascii="Cambria Math" w:hAnsi="Cambria Math"/>
          </w:rPr>
          <m:t>p=.843</m:t>
        </m:r>
      </m:oMath>
      <w:r w:rsidR="008359E2">
        <w:t>).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w:t>
      </w:r>
      <w:r w:rsidR="008359E2" w:rsidRPr="004437AA">
        <w:rPr>
          <w:highlight w:val="yellow"/>
        </w:rPr>
        <w:t>Figure 2A &amp; C</w:t>
      </w:r>
      <w:r w:rsidR="008359E2">
        <w:t>, post infusion) are unlikely to be due to impairments in learning. In addition to this, we rule out the possibility that the two groups used different attentional solutions to achieve a similar blocking result (</w:t>
      </w:r>
      <w:r w:rsidR="008359E2" w:rsidRPr="00994C11">
        <w:rPr>
          <w:highlight w:val="yellow"/>
        </w:rPr>
        <w:t xml:space="preserve">Figure 3-Figure </w:t>
      </w:r>
      <w:r w:rsidR="008359E2" w:rsidRPr="00EF4474">
        <w:rPr>
          <w:highlight w:val="yellow"/>
        </w:rPr>
        <w:t xml:space="preserve">supplement </w:t>
      </w:r>
      <w:r w:rsidR="00EF4474" w:rsidRPr="00EF4474">
        <w:rPr>
          <w:highlight w:val="yellow"/>
        </w:rPr>
        <w:t>3</w:t>
      </w:r>
      <w:r w:rsidR="008359E2">
        <w:t>).</w:t>
      </w:r>
    </w:p>
    <w:p w14:paraId="727A122C" w14:textId="2CB12ADD" w:rsidR="00F56CB9" w:rsidRDefault="004779A5" w:rsidP="00F56CB9">
      <w:pPr>
        <w:pStyle w:val="BodyText"/>
      </w:pPr>
      <w:r>
        <w:rPr>
          <w:b/>
        </w:rPr>
        <w:t xml:space="preserve">Experiment 6: </w:t>
      </w:r>
      <w:r w:rsidR="00F56CB9">
        <w:rPr>
          <w:b/>
        </w:rPr>
        <w:t>Competing response values</w:t>
      </w:r>
    </w:p>
    <w:p w14:paraId="7B23838E" w14:textId="1FA681F1" w:rsidR="00774CAC" w:rsidRDefault="00F56CB9" w:rsidP="00F56CB9">
      <w:pPr>
        <w:pStyle w:val="BodyText"/>
      </w:pPr>
      <w:r>
        <w:t>One possible account of the impaired performance following OFC inactivation in the present study is an inability to potentiate behaviour based on the current</w:t>
      </w:r>
      <w:r w:rsidR="00EF020D">
        <w:t xml:space="preserve"> </w:t>
      </w:r>
      <w:r>
        <w:t>value of the outcome. Specifically,</w:t>
      </w:r>
      <w:r w:rsidR="0025314B">
        <w:t xml:space="preserve"> OFC inactivation ma</w:t>
      </w:r>
      <w:r w:rsidR="007E2415">
        <w:t>y disrupt</w:t>
      </w:r>
      <w:r>
        <w:t xml:space="preserve"> the ability to potentiate performance based on the current motivational value of the </w:t>
      </w:r>
      <w:proofErr w:type="gramStart"/>
      <w:r>
        <w:t xml:space="preserve">outcome, </w:t>
      </w:r>
      <w:r w:rsidR="007E2415">
        <w:t>but</w:t>
      </w:r>
      <w:proofErr w:type="gramEnd"/>
      <w:r w:rsidR="007E2415">
        <w:t xml:space="preserve"> leave</w:t>
      </w:r>
      <w:r>
        <w:t xml:space="preserve"> intact</w:t>
      </w:r>
      <w:r w:rsidR="007E2415">
        <w:t xml:space="preserve"> knowledge about</w:t>
      </w:r>
      <w:r>
        <w:t xml:space="preserve"> the predictive cue-outcome relationship. The current value of an outcome can be modulated by a number of factors such as current motivation (e.g. hunger), the magnitude of the outcome (e.g. volume, concentration, or number or rewards), </w:t>
      </w:r>
      <w:r w:rsidR="006410ED">
        <w:t xml:space="preserve">the </w:t>
      </w:r>
      <w:r w:rsidR="00D00783">
        <w:t xml:space="preserve">probability of the outcome, </w:t>
      </w:r>
      <w:r>
        <w:t>and the relative value of competing alternative outcomes. To assess this possibility a novel task was created in which the strength of responding to a Pavlovian cue is modulated by the relative value of competing unsignalled reward</w:t>
      </w:r>
      <w:r w:rsidR="006D2B09">
        <w:t xml:space="preserve">s i.e. the background rate </w:t>
      </w:r>
      <w:r w:rsidR="00CF435A">
        <w:t>of reward</w:t>
      </w:r>
      <w:r>
        <w:t>.</w:t>
      </w:r>
      <w:r w:rsidR="000603BF">
        <w:t xml:space="preserve"> </w:t>
      </w:r>
    </w:p>
    <w:p w14:paraId="1D4DEAAF" w14:textId="7BFD2842" w:rsidR="0067425B" w:rsidRDefault="00C93E9C" w:rsidP="00F56CB9">
      <w:pPr>
        <w:pStyle w:val="BodyText"/>
      </w:pPr>
      <w:r>
        <w:t xml:space="preserve">The task involved a Pavlovian cue-outcome procedure </w:t>
      </w:r>
      <w:proofErr w:type="gramStart"/>
      <w:r>
        <w:t>similar to</w:t>
      </w:r>
      <w:proofErr w:type="gramEnd"/>
      <w:r>
        <w:t xml:space="preserve"> those described above i.e. a 15s white-noise auditory stimulus predicted the delivery of a food pellet into a reward magazine</w:t>
      </w:r>
      <w:r w:rsidR="00504ACE">
        <w:t xml:space="preserve"> at the front of the chamber</w:t>
      </w:r>
      <w:r>
        <w:t xml:space="preserve"> </w:t>
      </w:r>
      <w:r w:rsidRPr="00994493">
        <w:rPr>
          <w:color w:val="FF0000"/>
          <w:highlight w:val="yellow"/>
          <w:u w:val="single"/>
        </w:rPr>
        <w:t>(Figure 4A).</w:t>
      </w:r>
      <w:r w:rsidR="00994493">
        <w:rPr>
          <w:color w:val="FF0000"/>
          <w:u w:val="single"/>
        </w:rPr>
        <w:t xml:space="preserve"> </w:t>
      </w:r>
      <w:r w:rsidR="00400837">
        <w:t xml:space="preserve">Independently of this contingency, the background rate of reward in the environment was </w:t>
      </w:r>
      <w:r w:rsidR="00A5719C">
        <w:t xml:space="preserve">also </w:t>
      </w:r>
      <w:r w:rsidR="00400837">
        <w:t>manipulated</w:t>
      </w:r>
      <w:r w:rsidR="00A5719C">
        <w:t>.</w:t>
      </w:r>
      <w:r w:rsidR="007740BE">
        <w:t xml:space="preserve"> Liquid sucrose reward was made available </w:t>
      </w:r>
      <w:r w:rsidR="00504ACE">
        <w:t>randomly</w:t>
      </w:r>
      <w:r w:rsidR="00AB613A">
        <w:t xml:space="preserve"> (i.e. unsignalled delivery)</w:t>
      </w:r>
      <w:r w:rsidR="00504ACE">
        <w:t xml:space="preserve"> throughout the session in a second reward magazine located at the back of the chamber.</w:t>
      </w:r>
      <w:r w:rsidR="00AB613A">
        <w:t xml:space="preserve"> </w:t>
      </w:r>
      <w:r w:rsidR="008D35CB">
        <w:t xml:space="preserve">The probability of sucrose availability </w:t>
      </w:r>
      <w:r w:rsidR="004D5DFF">
        <w:t xml:space="preserve">stayed constant for blocks of </w:t>
      </w:r>
      <w:r w:rsidR="00341C66">
        <w:t>8 trials but</w:t>
      </w:r>
      <w:r w:rsidR="004D5DFF">
        <w:t xml:space="preserve"> </w:t>
      </w:r>
      <w:r w:rsidR="00C238C2">
        <w:t xml:space="preserve">changed </w:t>
      </w:r>
      <w:r w:rsidR="008D35CB">
        <w:t xml:space="preserve">within each session </w:t>
      </w:r>
      <w:r w:rsidR="00C238C2">
        <w:t>in a randomized order</w:t>
      </w:r>
      <w:r w:rsidR="008D35CB">
        <w:t xml:space="preserve"> </w:t>
      </w:r>
      <w:r w:rsidR="008D35CB" w:rsidRPr="00BE3EA7">
        <w:rPr>
          <w:color w:val="FF0000"/>
          <w:highlight w:val="yellow"/>
        </w:rPr>
        <w:t>(Figure 4 – Supplementary Figure 1)</w:t>
      </w:r>
      <w:r w:rsidR="008D35CB">
        <w:t>.</w:t>
      </w:r>
      <w:r w:rsidR="000869AD">
        <w:t xml:space="preserve"> </w:t>
      </w:r>
      <w:r w:rsidR="00546588">
        <w:t>S</w:t>
      </w:r>
      <w:r w:rsidR="00DE562A">
        <w:t xml:space="preserve">ucrose was </w:t>
      </w:r>
      <w:r w:rsidR="00861576">
        <w:t>presented</w:t>
      </w:r>
      <w:r w:rsidR="00DE562A">
        <w:t xml:space="preserve"> in a dipper cup for 5s and then retracted </w:t>
      </w:r>
      <w:r w:rsidR="00C96F49">
        <w:t>so that t</w:t>
      </w:r>
      <w:r w:rsidR="000869AD">
        <w:t xml:space="preserve">his background reinforcement rate could only be determined by sampling the magazine </w:t>
      </w:r>
      <w:r w:rsidR="00DE562A">
        <w:t>location</w:t>
      </w:r>
      <w:r w:rsidR="000869AD">
        <w:t>.</w:t>
      </w:r>
      <w:r w:rsidR="003A5BC0">
        <w:t xml:space="preserve"> This task provided a measure of a reward guided exploratory behaviour in the sucrose magazine, and Pavlovian behaviour to the pellet magazine driven by the expected value of the predicted outcome</w:t>
      </w:r>
      <w:r w:rsidR="00BE3EA7">
        <w:t xml:space="preserve"> </w:t>
      </w:r>
      <w:r w:rsidR="00BE3EA7" w:rsidRPr="00BE3EA7">
        <w:rPr>
          <w:color w:val="FF0000"/>
          <w:highlight w:val="yellow"/>
        </w:rPr>
        <w:t>(Figure 4 – Supplementary Figure 2)</w:t>
      </w:r>
      <w:r w:rsidR="00BE3EA7">
        <w:t xml:space="preserve">. Normally, animals will engage in a range of unmeasured and uncontrolled alternative behaviours in a testing chamber (e.g. exploration, orienting, grooming, </w:t>
      </w:r>
      <w:proofErr w:type="spellStart"/>
      <w:r w:rsidR="00BE3EA7">
        <w:t>etc</w:t>
      </w:r>
      <w:proofErr w:type="spellEnd"/>
      <w:r w:rsidR="00BE3EA7">
        <w:t xml:space="preserve">…) that may compete with Pavlovian magazine approach. Here we provide a means to guide and control these alternative behaviours towards </w:t>
      </w:r>
      <w:r w:rsidR="00BE3EA7">
        <w:lastRenderedPageBreak/>
        <w:t>the sucrose magazine, and explicitly measure the integration of un-cued and cued expected value.</w:t>
      </w:r>
      <w:r w:rsidR="00DA22B0">
        <w:t xml:space="preserve"> </w:t>
      </w:r>
      <w:r w:rsidR="002E6720">
        <w:t xml:space="preserve">We also </w:t>
      </w:r>
      <w:r w:rsidR="00263DBE">
        <w:t>confirmed that behaviour in this task was sensitive to changes in reward value</w:t>
      </w:r>
      <w:r w:rsidR="00C72862">
        <w:t>/</w:t>
      </w:r>
      <w:proofErr w:type="gramStart"/>
      <w:r w:rsidR="00C72862">
        <w:t>size</w:t>
      </w:r>
      <w:r w:rsidR="00263DBE">
        <w:t>, and</w:t>
      </w:r>
      <w:proofErr w:type="gramEnd"/>
      <w:r w:rsidR="00C72862">
        <w:t xml:space="preserve"> ruled out </w:t>
      </w:r>
      <w:r w:rsidR="005A26E5">
        <w:t>the influence of thirst on the valuation of the liquid sucrose reward.</w:t>
      </w:r>
      <w:r w:rsidR="00263DBE">
        <w:t xml:space="preserve"> </w:t>
      </w:r>
    </w:p>
    <w:p w14:paraId="29C726B1" w14:textId="66B3771A" w:rsidR="00DC3952" w:rsidRDefault="000F0A98" w:rsidP="00F56CB9">
      <w:pPr>
        <w:pStyle w:val="BodyText"/>
      </w:pPr>
      <w:r>
        <w:t xml:space="preserve">An analysis of the separate magazine approach data (top and middle row) was performed using a Shift (Acquisition, Thirst, 4xSucrose) x Period (PreCS, CS) x Magazine (Sucrose, Pellet) x Probability (Low, Medium, High) repeated measures ANOVA. First, we confirmed </w:t>
      </w:r>
      <w:r w:rsidR="000879A2">
        <w:t xml:space="preserve">that the CS </w:t>
      </w:r>
      <w:r w:rsidR="007F206C">
        <w:t xml:space="preserve">increased behaviour </w:t>
      </w:r>
      <w:r w:rsidR="00E5376B">
        <w:t xml:space="preserve">above PreCS levels </w:t>
      </w:r>
      <w:r w:rsidR="006444FC">
        <w:t xml:space="preserve">at the Pellet but not the Sucrose magazine </w:t>
      </w:r>
      <w:r w:rsidR="007F206C">
        <w:t xml:space="preserve"> </w:t>
      </w:r>
      <w:r w:rsidR="00DC3952">
        <w:t xml:space="preserve">(Pellet magazine: PreCS vs CS </w:t>
      </w:r>
      <m:oMath>
        <m:r>
          <w:rPr>
            <w:rFonts w:ascii="Cambria Math" w:hAnsi="Cambria Math"/>
          </w:rPr>
          <m:t>t(7)=-5.44</m:t>
        </m:r>
      </m:oMath>
      <w:r w:rsidR="00DC3952">
        <w:t xml:space="preserve">, </w:t>
      </w:r>
      <m:oMath>
        <m:r>
          <w:rPr>
            <w:rFonts w:ascii="Cambria Math" w:hAnsi="Cambria Math"/>
          </w:rPr>
          <m:t>p=.001</m:t>
        </m:r>
      </m:oMath>
      <w:r w:rsidR="00DC3952">
        <w:t xml:space="preserve">, Sucrose magazine: PreCS vs CS </w:t>
      </w:r>
      <m:oMath>
        <m:r>
          <w:rPr>
            <w:rFonts w:ascii="Cambria Math" w:hAnsi="Cambria Math"/>
          </w:rPr>
          <m:t>t(7)=-1.07</m:t>
        </m:r>
      </m:oMath>
      <w:r w:rsidR="00DC3952">
        <w:t xml:space="preserve">, </w:t>
      </w:r>
      <m:oMath>
        <m:r>
          <w:rPr>
            <w:rFonts w:ascii="Cambria Math" w:hAnsi="Cambria Math"/>
          </w:rPr>
          <m:t>p=.322</m:t>
        </m:r>
      </m:oMath>
      <w:r w:rsidR="00DC3952">
        <w:t xml:space="preserve">; Significant Period x Magazine interaction </w:t>
      </w:r>
      <m:oMath>
        <m:r>
          <w:rPr>
            <w:rFonts w:ascii="Cambria Math" w:hAnsi="Cambria Math"/>
          </w:rPr>
          <m:t>F(1,7)=13.44</m:t>
        </m:r>
      </m:oMath>
      <w:r w:rsidR="00DC3952">
        <w:t xml:space="preserve">, </w:t>
      </w:r>
      <m:oMath>
        <m:r>
          <w:rPr>
            <w:rFonts w:ascii="Cambria Math" w:hAnsi="Cambria Math"/>
          </w:rPr>
          <m:t>p=.008</m:t>
        </m:r>
      </m:oMath>
      <w:r w:rsidR="00DC3952">
        <w:t xml:space="preserve">, and main effect of Period </w:t>
      </w:r>
      <m:oMath>
        <m:r>
          <w:rPr>
            <w:rFonts w:ascii="Cambria Math" w:hAnsi="Cambria Math"/>
          </w:rPr>
          <m:t>F(1,7)=71.86</m:t>
        </m:r>
      </m:oMath>
      <w:r w:rsidR="00DC3952">
        <w:t xml:space="preserve">, </w:t>
      </w:r>
      <m:oMath>
        <m:r>
          <w:rPr>
            <w:rFonts w:ascii="Cambria Math" w:hAnsi="Cambria Math"/>
          </w:rPr>
          <m:t>p&lt;.001</m:t>
        </m:r>
      </m:oMath>
      <w:r w:rsidR="00DC3952">
        <w:t xml:space="preserve">). </w:t>
      </w:r>
      <w:r w:rsidR="004320CD">
        <w:t>Therefore,</w:t>
      </w:r>
      <w:r w:rsidR="006E44B7">
        <w:t xml:space="preserve"> we could effectively </w:t>
      </w:r>
      <w:r w:rsidR="009A3D22">
        <w:t>dissociate</w:t>
      </w:r>
      <w:r w:rsidR="006E44B7">
        <w:t xml:space="preserve"> </w:t>
      </w:r>
      <w:r w:rsidR="009A3D22">
        <w:t>Pavlovian behaviour directed at the Pellet magazine from exploratory sampling behaviour directed at the Sucrose magazine.</w:t>
      </w:r>
    </w:p>
    <w:p w14:paraId="7B629913" w14:textId="5491DC6C" w:rsidR="004F5644" w:rsidRDefault="009F5D99" w:rsidP="0090665A">
      <w:pPr>
        <w:pStyle w:val="BodyText"/>
      </w:pPr>
      <w:r>
        <w:t>Next, we confirmed that</w:t>
      </w:r>
      <w:r w:rsidR="00844071">
        <w:t xml:space="preserve"> animals </w:t>
      </w:r>
      <w:r w:rsidR="00183C55">
        <w:t>were sensitive to the</w:t>
      </w:r>
      <w:r w:rsidR="001B767A">
        <w:t xml:space="preserve"> background rate of sucrose delivery</w:t>
      </w:r>
      <w:r w:rsidR="00183C55">
        <w:t xml:space="preserve">. The </w:t>
      </w:r>
      <w:r w:rsidR="00135D13">
        <w:t>probability of sucrose affected modulated activity in the Sucrose and Pellet magazines in opposing directions</w:t>
      </w:r>
      <w:r w:rsidR="0090665A">
        <w:t xml:space="preserve"> (significant Magazine x Probability interaction </w:t>
      </w:r>
      <m:oMath>
        <m:r>
          <w:rPr>
            <w:rFonts w:ascii="Cambria Math" w:hAnsi="Cambria Math"/>
          </w:rPr>
          <m:t>F(2,14)=22.49</m:t>
        </m:r>
      </m:oMath>
      <w:r w:rsidR="0090665A">
        <w:t xml:space="preserve">, </w:t>
      </w:r>
      <m:oMath>
        <m:r>
          <w:rPr>
            <w:rFonts w:ascii="Cambria Math" w:hAnsi="Cambria Math"/>
          </w:rPr>
          <m:t>p&lt;.001</m:t>
        </m:r>
      </m:oMath>
      <w:r w:rsidR="0090665A">
        <w:t xml:space="preserve">). As the probability of sucrose availability increased, activity at the sucrose magazine increased whereas activity at the pellet magazine decreased (Sucrose magazine: Low vs Medium </w:t>
      </w:r>
      <m:oMath>
        <m:r>
          <w:rPr>
            <w:rFonts w:ascii="Cambria Math" w:hAnsi="Cambria Math"/>
          </w:rPr>
          <m:t>t(7)=-8.93</m:t>
        </m:r>
      </m:oMath>
      <w:r w:rsidR="0090665A">
        <w:t xml:space="preserve">, </w:t>
      </w:r>
      <m:oMath>
        <m:r>
          <w:rPr>
            <w:rFonts w:ascii="Cambria Math" w:hAnsi="Cambria Math"/>
          </w:rPr>
          <m:t>p&lt;.001</m:t>
        </m:r>
      </m:oMath>
      <w:r w:rsidR="0090665A">
        <w:t xml:space="preserve">, Low vs High </w:t>
      </w:r>
      <m:oMath>
        <m:r>
          <w:rPr>
            <w:rFonts w:ascii="Cambria Math" w:hAnsi="Cambria Math"/>
          </w:rPr>
          <m:t>t(7)=-6.81</m:t>
        </m:r>
      </m:oMath>
      <w:r w:rsidR="0090665A">
        <w:t xml:space="preserve">, </w:t>
      </w:r>
      <m:oMath>
        <m:r>
          <w:rPr>
            <w:rFonts w:ascii="Cambria Math" w:hAnsi="Cambria Math"/>
          </w:rPr>
          <m:t>p=.001</m:t>
        </m:r>
      </m:oMath>
      <w:r w:rsidR="0090665A">
        <w:t xml:space="preserve">, Medium vs High </w:t>
      </w:r>
      <m:oMath>
        <m:r>
          <w:rPr>
            <w:rFonts w:ascii="Cambria Math" w:hAnsi="Cambria Math"/>
          </w:rPr>
          <m:t>t(7)=-4.86</m:t>
        </m:r>
      </m:oMath>
      <w:r w:rsidR="0090665A">
        <w:t xml:space="preserve">, </w:t>
      </w:r>
      <m:oMath>
        <m:r>
          <w:rPr>
            <w:rFonts w:ascii="Cambria Math" w:hAnsi="Cambria Math"/>
          </w:rPr>
          <m:t>p=.005</m:t>
        </m:r>
      </m:oMath>
      <w:r w:rsidR="0090665A">
        <w:t xml:space="preserve">, Pellet magazine: Low vs Medium </w:t>
      </w:r>
      <m:oMath>
        <m:r>
          <w:rPr>
            <w:rFonts w:ascii="Cambria Math" w:hAnsi="Cambria Math"/>
          </w:rPr>
          <m:t>t(7)=1.68</m:t>
        </m:r>
      </m:oMath>
      <w:r w:rsidR="0090665A">
        <w:t xml:space="preserve">, </w:t>
      </w:r>
      <m:oMath>
        <m:r>
          <w:rPr>
            <w:rFonts w:ascii="Cambria Math" w:hAnsi="Cambria Math"/>
          </w:rPr>
          <m:t>p=.279</m:t>
        </m:r>
      </m:oMath>
      <w:r w:rsidR="0090665A">
        <w:t xml:space="preserve">, Low vs High </w:t>
      </w:r>
      <m:oMath>
        <m:r>
          <w:rPr>
            <w:rFonts w:ascii="Cambria Math" w:hAnsi="Cambria Math"/>
          </w:rPr>
          <m:t>t(7)=2.78</m:t>
        </m:r>
      </m:oMath>
      <w:r w:rsidR="0090665A">
        <w:t xml:space="preserve">, </w:t>
      </w:r>
      <m:oMath>
        <m:r>
          <w:rPr>
            <w:rFonts w:ascii="Cambria Math" w:hAnsi="Cambria Math"/>
          </w:rPr>
          <m:t>p=.062</m:t>
        </m:r>
      </m:oMath>
      <w:r w:rsidR="0090665A">
        <w:t xml:space="preserve">, Medium vs High </w:t>
      </w:r>
      <m:oMath>
        <m:r>
          <w:rPr>
            <w:rFonts w:ascii="Cambria Math" w:hAnsi="Cambria Math"/>
          </w:rPr>
          <m:t>t(7)=4.00</m:t>
        </m:r>
      </m:oMath>
      <w:r w:rsidR="0090665A">
        <w:t xml:space="preserve">, </w:t>
      </w:r>
      <m:oMath>
        <m:r>
          <w:rPr>
            <w:rFonts w:ascii="Cambria Math" w:hAnsi="Cambria Math"/>
          </w:rPr>
          <m:t>p=.013</m:t>
        </m:r>
      </m:oMath>
      <w:r w:rsidR="0090665A">
        <w:t xml:space="preserve">). </w:t>
      </w:r>
      <w:r w:rsidR="004320CD">
        <w:t xml:space="preserve">This shows that (1) </w:t>
      </w:r>
      <w:r w:rsidR="004F5644">
        <w:t xml:space="preserve">Sucrose magazine behaviour </w:t>
      </w:r>
      <w:r w:rsidR="00971589">
        <w:t xml:space="preserve">was sensitive to the </w:t>
      </w:r>
      <w:r w:rsidR="003332C9">
        <w:t xml:space="preserve">unsignalled changes in the </w:t>
      </w:r>
      <w:r w:rsidR="00971589">
        <w:t>background rate of sucrose availability</w:t>
      </w:r>
      <w:r w:rsidR="003332C9">
        <w:t xml:space="preserve">, and (2) </w:t>
      </w:r>
      <w:r w:rsidR="00811F0D">
        <w:t xml:space="preserve">Pellet magazine behaviour </w:t>
      </w:r>
      <w:r w:rsidR="005A027E">
        <w:t xml:space="preserve">reflects </w:t>
      </w:r>
      <w:r w:rsidR="003A1D41">
        <w:t>the trade-off between</w:t>
      </w:r>
      <w:r w:rsidR="005E63EC">
        <w:t>, and integration of,</w:t>
      </w:r>
      <w:r w:rsidR="003A1D41">
        <w:t xml:space="preserve"> the expected Pavlovian pellet reward and the background rate of sucrose availability.</w:t>
      </w:r>
    </w:p>
    <w:p w14:paraId="7AC210CB" w14:textId="20E74E2C" w:rsidR="005E63EC" w:rsidRDefault="005E63EC" w:rsidP="0090665A">
      <w:pPr>
        <w:pStyle w:val="BodyText"/>
      </w:pPr>
      <w:r>
        <w:t xml:space="preserve">Finally, </w:t>
      </w:r>
      <w:r w:rsidR="002602D2">
        <w:t xml:space="preserve">we confirmed that the motivation for the sucrose reward was not significantly driven by </w:t>
      </w:r>
      <w:r w:rsidR="0090306A">
        <w:t xml:space="preserve">a motivational state of thirst, and that </w:t>
      </w:r>
      <w:r w:rsidR="00882B4C">
        <w:t xml:space="preserve">the behaviours in this task were sensitive to changes in reward </w:t>
      </w:r>
      <w:r w:rsidR="00D64733">
        <w:t>value (i.e. a 4-fold increase in sucrose volume</w:t>
      </w:r>
      <w:r w:rsidR="00AA0A4B">
        <w:t xml:space="preserve">). </w:t>
      </w:r>
      <w:r w:rsidR="001E631D">
        <w:t xml:space="preserve">Increasing sucrose reward size selectively increased behaviour at the Sucrose </w:t>
      </w:r>
      <w:r w:rsidR="008775A0">
        <w:t xml:space="preserve">but not the Pellet magazine, whereas </w:t>
      </w:r>
      <w:r w:rsidR="003B3CCD">
        <w:t>a motivational state of thirst did not significantly affect behaviour at either magazine (</w:t>
      </w:r>
      <w:r w:rsidR="00417F8D">
        <w:t xml:space="preserve">significant Magazine x Shift interaction </w:t>
      </w:r>
      <m:oMath>
        <m:r>
          <w:rPr>
            <w:rFonts w:ascii="Cambria Math" w:hAnsi="Cambria Math"/>
          </w:rPr>
          <m:t>F(2,14)=5.03</m:t>
        </m:r>
      </m:oMath>
      <w:r w:rsidR="00417F8D">
        <w:t xml:space="preserve">, </w:t>
      </w:r>
      <m:oMath>
        <m:r>
          <w:rPr>
            <w:rFonts w:ascii="Cambria Math" w:hAnsi="Cambria Math"/>
          </w:rPr>
          <m:t>p=.023</m:t>
        </m:r>
      </m:oMath>
      <w:r w:rsidR="00417F8D">
        <w:t xml:space="preserve">; Sucrose magazine: Acquisition vs Thirst </w:t>
      </w:r>
      <m:oMath>
        <m:r>
          <w:rPr>
            <w:rFonts w:ascii="Cambria Math" w:hAnsi="Cambria Math"/>
          </w:rPr>
          <m:t>t(7)=-2.50</m:t>
        </m:r>
      </m:oMath>
      <w:r w:rsidR="00417F8D">
        <w:t xml:space="preserve">, </w:t>
      </w:r>
      <m:oMath>
        <m:r>
          <w:rPr>
            <w:rFonts w:ascii="Cambria Math" w:hAnsi="Cambria Math"/>
          </w:rPr>
          <m:t>p=.092</m:t>
        </m:r>
      </m:oMath>
      <w:r w:rsidR="00417F8D">
        <w:t xml:space="preserve"> 4xSucrose vs Acquisition </w:t>
      </w:r>
      <m:oMath>
        <m:r>
          <w:rPr>
            <w:rFonts w:ascii="Cambria Math" w:hAnsi="Cambria Math"/>
          </w:rPr>
          <m:t>t(7)=-3.86</m:t>
        </m:r>
      </m:oMath>
      <w:r w:rsidR="00417F8D">
        <w:t xml:space="preserve">, </w:t>
      </w:r>
      <m:oMath>
        <m:r>
          <w:rPr>
            <w:rFonts w:ascii="Cambria Math" w:hAnsi="Cambria Math"/>
          </w:rPr>
          <m:t>p=.015</m:t>
        </m:r>
      </m:oMath>
      <w:r w:rsidR="00417F8D">
        <w:t xml:space="preserve"> 4xSucrose vs Thirst </w:t>
      </w:r>
      <m:oMath>
        <m:r>
          <w:rPr>
            <w:rFonts w:ascii="Cambria Math" w:hAnsi="Cambria Math"/>
          </w:rPr>
          <m:t>t(7)=-4.19</m:t>
        </m:r>
      </m:oMath>
      <w:r w:rsidR="00417F8D">
        <w:t xml:space="preserve">, </w:t>
      </w:r>
      <m:oMath>
        <m:r>
          <w:rPr>
            <w:rFonts w:ascii="Cambria Math" w:hAnsi="Cambria Math"/>
          </w:rPr>
          <m:t>p=.010</m:t>
        </m:r>
      </m:oMath>
      <w:r w:rsidR="00417F8D">
        <w:t xml:space="preserve">; Pellet magazine: Acquisition vs Thirst </w:t>
      </w:r>
      <m:oMath>
        <m:r>
          <w:rPr>
            <w:rFonts w:ascii="Cambria Math" w:hAnsi="Cambria Math"/>
          </w:rPr>
          <m:t>t(7)=0.65</m:t>
        </m:r>
      </m:oMath>
      <w:r w:rsidR="00417F8D">
        <w:t xml:space="preserve">, </w:t>
      </w:r>
      <m:oMath>
        <m:r>
          <w:rPr>
            <w:rFonts w:ascii="Cambria Math" w:hAnsi="Cambria Math"/>
          </w:rPr>
          <m:t>p=.801</m:t>
        </m:r>
      </m:oMath>
      <w:r w:rsidR="00417F8D">
        <w:t xml:space="preserve"> 4xSucrose vs Acquisition </w:t>
      </w:r>
      <m:oMath>
        <m:r>
          <w:rPr>
            <w:rFonts w:ascii="Cambria Math" w:hAnsi="Cambria Math"/>
          </w:rPr>
          <m:t>t(7)=1.86</m:t>
        </m:r>
      </m:oMath>
      <w:r w:rsidR="00417F8D">
        <w:t xml:space="preserve">, </w:t>
      </w:r>
      <m:oMath>
        <m:r>
          <w:rPr>
            <w:rFonts w:ascii="Cambria Math" w:hAnsi="Cambria Math"/>
          </w:rPr>
          <m:t>p=.221</m:t>
        </m:r>
      </m:oMath>
      <w:r w:rsidR="00417F8D">
        <w:t xml:space="preserve"> 4xSucrose vs Thirst </w:t>
      </w:r>
      <m:oMath>
        <m:r>
          <w:rPr>
            <w:rFonts w:ascii="Cambria Math" w:hAnsi="Cambria Math"/>
          </w:rPr>
          <m:t>t(7)=1.01</m:t>
        </m:r>
      </m:oMath>
      <w:r w:rsidR="00417F8D">
        <w:t xml:space="preserve">, </w:t>
      </w:r>
      <m:oMath>
        <m:r>
          <w:rPr>
            <w:rFonts w:ascii="Cambria Math" w:hAnsi="Cambria Math"/>
          </w:rPr>
          <m:t>p=.596</m:t>
        </m:r>
      </m:oMath>
      <w:r w:rsidR="00417F8D">
        <w:t xml:space="preserve">). No other meaningful effects were significant (significant Period x Probability interaction </w:t>
      </w:r>
      <m:oMath>
        <m:r>
          <w:rPr>
            <w:rFonts w:ascii="Cambria Math" w:hAnsi="Cambria Math"/>
          </w:rPr>
          <m:t>F(2,14)=9.58</m:t>
        </m:r>
      </m:oMath>
      <w:r w:rsidR="00417F8D">
        <w:t xml:space="preserve">, </w:t>
      </w:r>
      <m:oMath>
        <m:r>
          <w:rPr>
            <w:rFonts w:ascii="Cambria Math" w:hAnsi="Cambria Math"/>
          </w:rPr>
          <m:t>p=.002</m:t>
        </m:r>
      </m:oMath>
      <w:r w:rsidR="00417F8D">
        <w:t xml:space="preserve">; all remaining effects </w:t>
      </w:r>
      <w:r w:rsidR="00417F8D">
        <w:rPr>
          <w:i/>
        </w:rPr>
        <w:t>F</w:t>
      </w:r>
      <w:r w:rsidR="00417F8D">
        <w:t xml:space="preserve"> &lt; 3.421, </w:t>
      </w:r>
      <w:r w:rsidR="00417F8D">
        <w:rPr>
          <w:i/>
        </w:rPr>
        <w:t>p</w:t>
      </w:r>
      <w:r w:rsidR="00417F8D">
        <w:t xml:space="preserve"> &gt; .06).</w:t>
      </w:r>
      <w:r w:rsidR="00946107">
        <w:t xml:space="preserve"> </w:t>
      </w:r>
    </w:p>
    <w:p w14:paraId="541ED0AC" w14:textId="77777777" w:rsidR="002D2A1F" w:rsidRPr="004779A5" w:rsidRDefault="002D2A1F" w:rsidP="002D2A1F">
      <w:pPr>
        <w:pStyle w:val="BodyText"/>
        <w:rPr>
          <w:i/>
          <w:iCs/>
        </w:rPr>
      </w:pPr>
      <w:r w:rsidRPr="004779A5">
        <w:rPr>
          <w:b/>
          <w:i/>
          <w:iCs/>
        </w:rPr>
        <w:t>The effect of OFC inactivation on updating relative expected value</w:t>
      </w:r>
    </w:p>
    <w:p w14:paraId="5CAEB0DC" w14:textId="0E053863" w:rsidR="00922170" w:rsidRDefault="002D2A1F" w:rsidP="002D2A1F">
      <w:pPr>
        <w:pStyle w:val="BodyText"/>
      </w:pPr>
      <w:r>
        <w:t xml:space="preserve">Next, these animals were implanted with bilateral cannulae to assess the role of the OFC in updating relative expected value. </w:t>
      </w:r>
      <w:r w:rsidR="00922170">
        <w:t xml:space="preserve">Animals were tested following muscimol </w:t>
      </w:r>
      <w:r w:rsidR="00FB2D5A">
        <w:t>or saline infusions (within-subjects, counterbalanced order) on a modified task that went from low to high probability</w:t>
      </w:r>
      <w:r w:rsidR="00986352">
        <w:t xml:space="preserve"> only. This provided a shorter session to </w:t>
      </w:r>
      <w:r w:rsidR="00B336DF">
        <w:t>ensure the efficacy of</w:t>
      </w:r>
      <w:r w:rsidR="00D57689">
        <w:t xml:space="preserve"> muscimol </w:t>
      </w:r>
      <w:r w:rsidR="00B336DF">
        <w:t>throughout the session</w:t>
      </w:r>
      <w:r w:rsidR="00D57689">
        <w:t xml:space="preserve">, and the fixed probability order minimized any potential </w:t>
      </w:r>
      <w:r w:rsidR="00DB616C">
        <w:t>for satiety to confound behaviour later in the session.</w:t>
      </w:r>
    </w:p>
    <w:p w14:paraId="5A676BE6" w14:textId="2D317051" w:rsidR="00096B58" w:rsidRDefault="00096B58" w:rsidP="002D2A1F">
      <w:pPr>
        <w:pStyle w:val="BodyText"/>
      </w:pPr>
      <w:r>
        <w:lastRenderedPageBreak/>
        <w:t xml:space="preserve">We </w:t>
      </w:r>
      <w:r w:rsidR="003A0F63">
        <w:t xml:space="preserve">hypothesized that OFC </w:t>
      </w:r>
      <w:r w:rsidR="00130D72">
        <w:t xml:space="preserve">function </w:t>
      </w:r>
      <w:r w:rsidR="003A0F63">
        <w:t>was necessary for</w:t>
      </w:r>
      <w:r w:rsidR="00310864">
        <w:t xml:space="preserve"> </w:t>
      </w:r>
      <w:r w:rsidR="00246F20">
        <w:t xml:space="preserve">flexibly </w:t>
      </w:r>
      <w:r w:rsidR="00690A1C">
        <w:t>controlling</w:t>
      </w:r>
      <w:r w:rsidR="00310864">
        <w:t xml:space="preserve"> the strength of</w:t>
      </w:r>
      <w:r w:rsidR="00690A1C">
        <w:t xml:space="preserve"> Pavlovian </w:t>
      </w:r>
      <w:r w:rsidR="00AC46D2">
        <w:t xml:space="preserve">anticipatory </w:t>
      </w:r>
      <w:r w:rsidR="00310864">
        <w:t>behaviour</w:t>
      </w:r>
      <w:r w:rsidR="00AC46D2">
        <w:t xml:space="preserve"> </w:t>
      </w:r>
      <w:r w:rsidR="00917E4F">
        <w:t xml:space="preserve">relative to the </w:t>
      </w:r>
      <w:r w:rsidR="00C46E9D">
        <w:t xml:space="preserve">current </w:t>
      </w:r>
      <w:r w:rsidR="00917E4F">
        <w:t>value of</w:t>
      </w:r>
      <w:r w:rsidR="00C46E9D">
        <w:t xml:space="preserve"> the outcome and </w:t>
      </w:r>
      <w:r w:rsidR="00246F20">
        <w:t>alternative behavioural options in the environment.</w:t>
      </w:r>
      <w:r w:rsidR="00917E4F">
        <w:t xml:space="preserve"> </w:t>
      </w:r>
      <w:r w:rsidR="00BD3437">
        <w:t>Specifically, in the present task</w:t>
      </w:r>
      <w:r w:rsidR="003F4E23">
        <w:t>, following muscimol inactivation,</w:t>
      </w:r>
      <w:r w:rsidR="00BD3437">
        <w:t xml:space="preserve"> we predicted that </w:t>
      </w:r>
      <w:r w:rsidR="002C4C6C">
        <w:t xml:space="preserve">behaviour at the Sucrose </w:t>
      </w:r>
      <w:r w:rsidR="003F4E23">
        <w:t xml:space="preserve">magazine  </w:t>
      </w:r>
      <w:r w:rsidR="002C4C6C">
        <w:t xml:space="preserve">would remain sensitive to the </w:t>
      </w:r>
      <w:r w:rsidR="003F4E23">
        <w:t xml:space="preserve">probability of sucrose whereas behaviour at the </w:t>
      </w:r>
      <w:r w:rsidR="00105877">
        <w:t xml:space="preserve">Pellet magazine during the CS would no longer be modulated by probability of sucrose i.e. </w:t>
      </w:r>
      <w:r w:rsidR="003E6D4B">
        <w:t xml:space="preserve">behaviour based on Pavlovian expected value </w:t>
      </w:r>
      <w:r w:rsidR="004C778B">
        <w:t>would become inflexible</w:t>
      </w:r>
      <w:r w:rsidR="00105877">
        <w:t>.</w:t>
      </w:r>
      <w:r w:rsidR="004C778B">
        <w:t xml:space="preserve"> </w:t>
      </w:r>
      <w:r w:rsidR="00105877">
        <w:t xml:space="preserve"> </w:t>
      </w:r>
    </w:p>
    <w:p w14:paraId="7F11D0DC" w14:textId="77CF0B5D" w:rsidR="00A82FD4" w:rsidRDefault="00A82FD4" w:rsidP="00A82FD4">
      <w:pPr>
        <w:pStyle w:val="BodyText"/>
      </w:pPr>
      <w:r>
        <w:t>First, during the PreCS period, all animals were able to detect changes in the probability of the unsignalled sucrose reward, and appropriately update Sucrose magazine approach behaviour (</w:t>
      </w:r>
      <w:r w:rsidRPr="00A82FD4">
        <w:rPr>
          <w:highlight w:val="yellow"/>
        </w:rPr>
        <w:t>Figure 4B &amp; D;</w:t>
      </w:r>
      <w:r>
        <w:t xml:space="preserve"> PreCS period: Significant Probability x Magazine interaction </w:t>
      </w:r>
      <m:oMath>
        <m:r>
          <w:rPr>
            <w:rFonts w:ascii="Cambria Math" w:hAnsi="Cambria Math"/>
          </w:rPr>
          <m:t>F(1,5)=9.06</m:t>
        </m:r>
      </m:oMath>
      <w:r>
        <w:t xml:space="preserve">, </w:t>
      </w:r>
      <m:oMath>
        <m:r>
          <w:rPr>
            <w:rFonts w:ascii="Cambria Math" w:hAnsi="Cambria Math"/>
          </w:rPr>
          <m:t>p=.030</m:t>
        </m:r>
      </m:oMath>
      <w:r>
        <w:t xml:space="preserve">, and main effects of Probability </w:t>
      </w:r>
      <m:oMath>
        <m:r>
          <w:rPr>
            <w:rFonts w:ascii="Cambria Math" w:hAnsi="Cambria Math"/>
          </w:rPr>
          <m:t>F(1,5)=12.23</m:t>
        </m:r>
      </m:oMath>
      <w:r>
        <w:t xml:space="preserve">, </w:t>
      </w:r>
      <m:oMath>
        <m:r>
          <w:rPr>
            <w:rFonts w:ascii="Cambria Math" w:hAnsi="Cambria Math"/>
          </w:rPr>
          <m:t>p=.017</m:t>
        </m:r>
      </m:oMath>
      <w:r>
        <w:t xml:space="preserve">, and Magazine </w:t>
      </w:r>
      <m:oMath>
        <m:r>
          <w:rPr>
            <w:rFonts w:ascii="Cambria Math" w:hAnsi="Cambria Math"/>
          </w:rPr>
          <m:t>F(1,5)=20.50</m:t>
        </m:r>
      </m:oMath>
      <w:r>
        <w:t xml:space="preserve">, </w:t>
      </w:r>
      <m:oMath>
        <m:r>
          <w:rPr>
            <w:rFonts w:ascii="Cambria Math" w:hAnsi="Cambria Math"/>
          </w:rPr>
          <m:t>p=.006</m:t>
        </m:r>
      </m:oMath>
      <w:r>
        <w:t xml:space="preserve">; No significant main effect or interaction with Drug). Specifically, during the PreCS period, anticipatory approach to the Sucrose magazine in both drug conditions increased with the probability of sucrose (Sucrose magazine: Low vs High probability </w:t>
      </w:r>
      <m:oMath>
        <m:r>
          <w:rPr>
            <w:rFonts w:ascii="Cambria Math" w:hAnsi="Cambria Math"/>
          </w:rPr>
          <m:t>t(5)=-3.28</m:t>
        </m:r>
      </m:oMath>
      <w:r>
        <w:t xml:space="preserve">, </w:t>
      </w:r>
      <m:oMath>
        <m:r>
          <w:rPr>
            <w:rFonts w:ascii="Cambria Math" w:hAnsi="Cambria Math"/>
          </w:rPr>
          <m:t>p=.022</m:t>
        </m:r>
      </m:oMath>
      <w:r>
        <w:t xml:space="preserve">), whereas approach to the </w:t>
      </w:r>
      <w:r w:rsidR="009550DE">
        <w:t>P</w:t>
      </w:r>
      <w:r>
        <w:t xml:space="preserve">ellet magazine did not change (Pellet magazine: Low vs High probability </w:t>
      </w:r>
      <m:oMath>
        <m:r>
          <w:rPr>
            <w:rFonts w:ascii="Cambria Math" w:hAnsi="Cambria Math"/>
          </w:rPr>
          <m:t>t(5)=-1.42</m:t>
        </m:r>
      </m:oMath>
      <w:r>
        <w:t xml:space="preserve">, </w:t>
      </w:r>
      <m:oMath>
        <m:r>
          <w:rPr>
            <w:rFonts w:ascii="Cambria Math" w:hAnsi="Cambria Math"/>
          </w:rPr>
          <m:t>p=.215</m:t>
        </m:r>
      </m:oMath>
      <w:r>
        <w:t>).</w:t>
      </w:r>
      <w:r w:rsidR="00E27E33">
        <w:t xml:space="preserve"> </w:t>
      </w:r>
    </w:p>
    <w:p w14:paraId="77C3B32F" w14:textId="6955DE64" w:rsidR="009550DE" w:rsidRDefault="00E27E33" w:rsidP="009550DE">
      <w:pPr>
        <w:pStyle w:val="BodyText"/>
      </w:pPr>
      <w:r>
        <w:t xml:space="preserve">Next, </w:t>
      </w:r>
      <w:r w:rsidR="00C17021">
        <w:t xml:space="preserve">during the CS period, </w:t>
      </w:r>
      <w:r w:rsidR="009550DE">
        <w:t>OFC inactivation significantly disrupted activity at the Pellet magazine but left activity at the Sucrose magazine intact (</w:t>
      </w:r>
      <w:r w:rsidR="009550DE" w:rsidRPr="009550DE">
        <w:rPr>
          <w:highlight w:val="yellow"/>
        </w:rPr>
        <w:t>Figure 4C &amp; E</w:t>
      </w:r>
      <w:r w:rsidR="009550DE">
        <w:t xml:space="preserve">; CS period: significant Drug x Magazine x Probability 3-way interaction </w:t>
      </w:r>
      <m:oMath>
        <m:r>
          <w:rPr>
            <w:rFonts w:ascii="Cambria Math" w:hAnsi="Cambria Math"/>
          </w:rPr>
          <m:t>F(1,5)=8.37</m:t>
        </m:r>
      </m:oMath>
      <w:r w:rsidR="009550DE">
        <w:t xml:space="preserve">, </w:t>
      </w:r>
      <m:oMath>
        <m:r>
          <w:rPr>
            <w:rFonts w:ascii="Cambria Math" w:hAnsi="Cambria Math"/>
          </w:rPr>
          <m:t>p=.034</m:t>
        </m:r>
      </m:oMath>
      <w:r w:rsidR="009550DE">
        <w:t>). Activity at the Sucrose magazine was not affected by muscimol infusions (</w:t>
      </w:r>
      <w:r w:rsidR="009550DE" w:rsidRPr="009550DE">
        <w:rPr>
          <w:highlight w:val="yellow"/>
        </w:rPr>
        <w:t>Figure 4C;</w:t>
      </w:r>
      <w:r w:rsidR="009550DE">
        <w:t xml:space="preserve"> Sucrose magazine: no significant main effect of Drug </w:t>
      </w:r>
      <m:oMath>
        <m:r>
          <w:rPr>
            <w:rFonts w:ascii="Cambria Math" w:hAnsi="Cambria Math"/>
          </w:rPr>
          <m:t>F(1,5)=3.53</m:t>
        </m:r>
      </m:oMath>
      <w:r w:rsidR="009550DE">
        <w:t xml:space="preserve">, </w:t>
      </w:r>
      <m:oMath>
        <m:r>
          <w:rPr>
            <w:rFonts w:ascii="Cambria Math" w:hAnsi="Cambria Math"/>
          </w:rPr>
          <m:t>p=.119</m:t>
        </m:r>
      </m:oMath>
      <w:r w:rsidR="009550DE">
        <w:t xml:space="preserve">, or Drug x Probability interaction </w:t>
      </w:r>
      <m:oMath>
        <m:r>
          <w:rPr>
            <w:rFonts w:ascii="Cambria Math" w:hAnsi="Cambria Math"/>
          </w:rPr>
          <m:t>F(1,5)=4.67</m:t>
        </m:r>
      </m:oMath>
      <w:r w:rsidR="009550DE">
        <w:t xml:space="preserve">, </w:t>
      </w:r>
      <m:oMath>
        <m:r>
          <w:rPr>
            <w:rFonts w:ascii="Cambria Math" w:hAnsi="Cambria Math"/>
          </w:rPr>
          <m:t>p=.083</m:t>
        </m:r>
      </m:oMath>
      <w:r w:rsidR="009550DE">
        <w:t>), whereas activity at the Pellet magazine was significantly disrupted by muscimol infusions (</w:t>
      </w:r>
      <w:r w:rsidR="009550DE" w:rsidRPr="009550DE">
        <w:rPr>
          <w:highlight w:val="yellow"/>
        </w:rPr>
        <w:t>Figure 4E;</w:t>
      </w:r>
      <w:r w:rsidR="009550DE">
        <w:t xml:space="preserve"> Pellet magazine: significant Drug x Probability interaction </w:t>
      </w:r>
      <m:oMath>
        <m:r>
          <w:rPr>
            <w:rFonts w:ascii="Cambria Math" w:hAnsi="Cambria Math"/>
          </w:rPr>
          <m:t>F(1,5)=9.93</m:t>
        </m:r>
      </m:oMath>
      <w:r w:rsidR="009550DE">
        <w:t xml:space="preserve">, </w:t>
      </w:r>
      <m:oMath>
        <m:r>
          <w:rPr>
            <w:rFonts w:ascii="Cambria Math" w:hAnsi="Cambria Math"/>
          </w:rPr>
          <m:t>p=.025</m:t>
        </m:r>
      </m:oMath>
      <w:r w:rsidR="009550DE">
        <w:t xml:space="preserve">). Simple effects revealed that </w:t>
      </w:r>
      <w:r w:rsidR="00EF749A">
        <w:t>P</w:t>
      </w:r>
      <w:r w:rsidR="009550DE">
        <w:t>ellet magazine responding was lower after muscimol than saline infusions for the low probability of dipper reward (</w:t>
      </w:r>
      <m:oMath>
        <m:r>
          <w:rPr>
            <w:rFonts w:ascii="Cambria Math" w:hAnsi="Cambria Math"/>
          </w:rPr>
          <m:t>t(5)=5.07</m:t>
        </m:r>
      </m:oMath>
      <w:r w:rsidR="009550DE">
        <w:t xml:space="preserve">, </w:t>
      </w:r>
      <m:oMath>
        <m:r>
          <w:rPr>
            <w:rFonts w:ascii="Cambria Math" w:hAnsi="Cambria Math"/>
          </w:rPr>
          <m:t>p=.004</m:t>
        </m:r>
      </m:oMath>
      <w:r w:rsidR="009550DE">
        <w:t>) but did not differ between infusions for the high probability of dipper reward (</w:t>
      </w:r>
      <m:oMath>
        <m:r>
          <w:rPr>
            <w:rFonts w:ascii="Cambria Math" w:hAnsi="Cambria Math"/>
          </w:rPr>
          <m:t>t(5)=-0.97</m:t>
        </m:r>
      </m:oMath>
      <w:r w:rsidR="009550DE">
        <w:t xml:space="preserve">, </w:t>
      </w:r>
      <m:oMath>
        <m:r>
          <w:rPr>
            <w:rFonts w:ascii="Cambria Math" w:hAnsi="Cambria Math"/>
          </w:rPr>
          <m:t>p=.378</m:t>
        </m:r>
      </m:oMath>
      <w:r w:rsidR="009550DE">
        <w:t>).</w:t>
      </w:r>
    </w:p>
    <w:p w14:paraId="5527E28C" w14:textId="6450A363" w:rsidR="00040D80" w:rsidRDefault="00040D80" w:rsidP="00040D80">
      <w:pPr>
        <w:pStyle w:val="BodyText"/>
      </w:pPr>
      <w:r>
        <w:t>Finally, comparing the analysis of the PreCS and CS periods using a full Drug</w:t>
      </w:r>
      <w:r w:rsidR="00933B2C">
        <w:t xml:space="preserve"> </w:t>
      </w:r>
      <w:r>
        <w:t>(Saline, Muscimol) x Period</w:t>
      </w:r>
      <w:r w:rsidR="00933B2C">
        <w:t xml:space="preserve"> </w:t>
      </w:r>
      <w:r>
        <w:t>(PreCS, CS) x Magazine</w:t>
      </w:r>
      <w:r w:rsidR="00933B2C">
        <w:t xml:space="preserve"> </w:t>
      </w:r>
      <w:r>
        <w:t xml:space="preserve">(Sucrose, Pellet) x Probability (Low, High) repeated measures ANOVA confirmed </w:t>
      </w:r>
      <w:r w:rsidR="009D3AEB">
        <w:t xml:space="preserve">our prediction </w:t>
      </w:r>
      <w:r>
        <w:t>that the muscimol deficit was specific to the Pellet magazine in the CS period (</w:t>
      </w:r>
      <w:r w:rsidRPr="00FD60BB">
        <w:rPr>
          <w:highlight w:val="yellow"/>
        </w:rPr>
        <w:t>Figure 4 B-E;</w:t>
      </w:r>
      <w:r>
        <w:t xml:space="preserve"> Significant Drug x Period x Magazine x Probability 4-way interaction </w:t>
      </w:r>
      <m:oMath>
        <m:r>
          <w:rPr>
            <w:rFonts w:ascii="Cambria Math" w:hAnsi="Cambria Math"/>
          </w:rPr>
          <m:t>F(1,5)=12.08</m:t>
        </m:r>
      </m:oMath>
      <w:r>
        <w:t xml:space="preserve">, </w:t>
      </w:r>
      <m:oMath>
        <m:r>
          <w:rPr>
            <w:rFonts w:ascii="Cambria Math" w:hAnsi="Cambria Math"/>
          </w:rPr>
          <m:t>p=.018</m:t>
        </m:r>
      </m:oMath>
      <w:r>
        <w:t>). OFC inactivation selectively disrupted the ability to modulate behaviour based on integrating Pavlovian expected values with the current rate of alternative rewards i.e. the current subjective value of the predicted reward.</w:t>
      </w:r>
      <w:r w:rsidR="00534EFE">
        <w:t xml:space="preserve"> </w:t>
      </w:r>
    </w:p>
    <w:p w14:paraId="644ADD9B" w14:textId="22F7236D" w:rsidR="006B4DE6" w:rsidRDefault="006B4DE6">
      <w:pPr>
        <w:rPr>
          <w:sz w:val="24"/>
          <w:szCs w:val="24"/>
        </w:rPr>
      </w:pPr>
      <w:r>
        <w:br w:type="page"/>
      </w:r>
    </w:p>
    <w:p w14:paraId="7BBAF2E6" w14:textId="0F0870F1" w:rsidR="00DC3952" w:rsidRDefault="004D6E79" w:rsidP="00F56CB9">
      <w:pPr>
        <w:pStyle w:val="BodyText"/>
        <w:rPr>
          <w:b/>
          <w:bCs/>
        </w:rPr>
      </w:pPr>
      <w:r w:rsidRPr="004D6E79">
        <w:rPr>
          <w:b/>
          <w:bCs/>
        </w:rPr>
        <w:lastRenderedPageBreak/>
        <w:t>Discussion</w:t>
      </w:r>
    </w:p>
    <w:p w14:paraId="13A981EB" w14:textId="77777777" w:rsidR="00293003" w:rsidRDefault="00394431" w:rsidP="00D33C06">
      <w:pPr>
        <w:pStyle w:val="BodyText"/>
        <w:numPr>
          <w:ilvl w:val="0"/>
          <w:numId w:val="2"/>
        </w:numPr>
      </w:pPr>
      <w:r>
        <w:t>Null result consistently reported</w:t>
      </w:r>
      <w:r w:rsidR="0052592B">
        <w:t xml:space="preserve">. </w:t>
      </w:r>
      <w:r>
        <w:t>Latent state and specific outcome expectancy theories predict no effect in</w:t>
      </w:r>
    </w:p>
    <w:p w14:paraId="2FDEFCAF" w14:textId="4224AA63" w:rsidR="00394431" w:rsidRDefault="00394431" w:rsidP="00D33C06">
      <w:pPr>
        <w:pStyle w:val="BodyText"/>
        <w:numPr>
          <w:ilvl w:val="0"/>
          <w:numId w:val="2"/>
        </w:numPr>
      </w:pPr>
      <w:r>
        <w:t xml:space="preserve"> simple, single cue-outcome design where th</w:t>
      </w:r>
      <w:r w:rsidR="00D443D4">
        <w:t xml:space="preserve">e outcome identity is irrelevant to the task and </w:t>
      </w:r>
      <w:r w:rsidR="00FF5E3B">
        <w:t xml:space="preserve">all task states are explicitly cued and </w:t>
      </w:r>
      <w:r w:rsidR="0052592B">
        <w:t>stable.</w:t>
      </w:r>
    </w:p>
    <w:p w14:paraId="32C0B440" w14:textId="4198A8A4" w:rsidR="0052592B" w:rsidRDefault="0052592B" w:rsidP="00D33C06">
      <w:pPr>
        <w:pStyle w:val="BodyText"/>
        <w:numPr>
          <w:ilvl w:val="0"/>
          <w:numId w:val="2"/>
        </w:numPr>
      </w:pPr>
      <w:r>
        <w:t xml:space="preserve">In contrast to these predictions and </w:t>
      </w:r>
      <w:r w:rsidR="00103933">
        <w:t xml:space="preserve">the extant literature, we observed a </w:t>
      </w:r>
      <w:r w:rsidR="007747F8">
        <w:t>significant and replicable effect of OFC lesions and inactivation on acquisition behaviour.</w:t>
      </w:r>
    </w:p>
    <w:p w14:paraId="68711F74" w14:textId="31968596" w:rsidR="00696874" w:rsidRDefault="00FD468D" w:rsidP="00696874">
      <w:pPr>
        <w:pStyle w:val="BodyText"/>
        <w:numPr>
          <w:ilvl w:val="1"/>
          <w:numId w:val="2"/>
        </w:numPr>
      </w:pPr>
      <w:r>
        <w:t xml:space="preserve">Why did we find this effect? </w:t>
      </w:r>
      <w:proofErr w:type="gramStart"/>
      <w:r>
        <w:t>The majority of</w:t>
      </w:r>
      <w:proofErr w:type="gramEnd"/>
      <w:r>
        <w:t xml:space="preserve"> studies never trained </w:t>
      </w:r>
      <w:r w:rsidR="00991FE5">
        <w:t xml:space="preserve">animals to asymptote, notably at around 9-12 days when most procedures </w:t>
      </w:r>
      <w:r w:rsidR="003C2DA8">
        <w:t xml:space="preserve">proceed to a new phase of learning, we did not observe differences. Instead, </w:t>
      </w:r>
      <w:r w:rsidR="000C6140">
        <w:t xml:space="preserve">differences emerged only later in the asymptote of conditioning </w:t>
      </w:r>
      <w:r w:rsidR="00F07A0F">
        <w:t>(around 15-</w:t>
      </w:r>
      <w:r w:rsidR="005B16B3">
        <w:t>21 days in this procedure).</w:t>
      </w:r>
    </w:p>
    <w:p w14:paraId="768F8782" w14:textId="5C253C7A" w:rsidR="005B16B3" w:rsidRDefault="005B16B3" w:rsidP="00696874">
      <w:pPr>
        <w:pStyle w:val="BodyText"/>
        <w:numPr>
          <w:ilvl w:val="1"/>
          <w:numId w:val="2"/>
        </w:numPr>
      </w:pPr>
      <w:r>
        <w:t xml:space="preserve">This effect is consistent with </w:t>
      </w:r>
      <w:r w:rsidR="00A13431">
        <w:t xml:space="preserve">the finding that after extensive </w:t>
      </w:r>
      <w:r w:rsidR="00C6122B">
        <w:t xml:space="preserve">acquisition </w:t>
      </w:r>
      <w:r w:rsidR="00A13431">
        <w:t>training</w:t>
      </w:r>
      <w:r w:rsidR="00C6122B">
        <w:t xml:space="preserve"> in a discrete choice go-</w:t>
      </w:r>
      <w:proofErr w:type="spellStart"/>
      <w:r w:rsidR="00C6122B">
        <w:t>nogo</w:t>
      </w:r>
      <w:proofErr w:type="spellEnd"/>
      <w:r w:rsidR="00C6122B">
        <w:t xml:space="preserve"> task, Schoenbaum et al </w:t>
      </w:r>
      <w:r w:rsidR="000E38FD">
        <w:t xml:space="preserve">[REFS] </w:t>
      </w:r>
      <w:r w:rsidR="00C6122B">
        <w:t xml:space="preserve">observed significant </w:t>
      </w:r>
      <w:r w:rsidR="002E659B">
        <w:t>effects of OFC lesions on response</w:t>
      </w:r>
      <w:r w:rsidR="00940ADC">
        <w:t xml:space="preserve"> vigour as measured by</w:t>
      </w:r>
      <w:r w:rsidR="002E659B">
        <w:t xml:space="preserve"> latenc</w:t>
      </w:r>
      <w:r w:rsidR="00D2794F">
        <w:t>y to respond</w:t>
      </w:r>
      <w:r w:rsidR="00940ADC">
        <w:t xml:space="preserve">, but not </w:t>
      </w:r>
      <w:r w:rsidR="00D2794F">
        <w:t>o</w:t>
      </w:r>
      <w:r w:rsidR="00940ADC">
        <w:t>n choice accuracy.</w:t>
      </w:r>
    </w:p>
    <w:p w14:paraId="1B8E0CCF" w14:textId="686CF097" w:rsidR="000E38FD" w:rsidRDefault="008C6C49" w:rsidP="000E38FD">
      <w:pPr>
        <w:pStyle w:val="BodyText"/>
        <w:numPr>
          <w:ilvl w:val="0"/>
          <w:numId w:val="2"/>
        </w:numPr>
      </w:pPr>
      <w:r>
        <w:t xml:space="preserve">We modelled these deficits within the framework of the OFC representing some </w:t>
      </w:r>
      <w:r w:rsidR="00980EBF">
        <w:t xml:space="preserve">aspect of outcome expectancy that informs a full </w:t>
      </w:r>
      <w:r w:rsidR="00D0054C">
        <w:t xml:space="preserve">reward </w:t>
      </w:r>
      <w:r w:rsidR="00980EBF">
        <w:t>prediction</w:t>
      </w:r>
      <w:r w:rsidR="00D0054C">
        <w:t xml:space="preserve">-error. Loss of this information </w:t>
      </w:r>
      <w:r w:rsidR="00384050">
        <w:t xml:space="preserve">would lead to systematic under expectation of reward and therefore </w:t>
      </w:r>
      <w:r w:rsidR="00DC4280">
        <w:t xml:space="preserve">increase the asymptote of learning. This model predicted a similar increase in learning </w:t>
      </w:r>
      <w:r w:rsidR="00E874A1">
        <w:t xml:space="preserve">following post-training OFC </w:t>
      </w:r>
      <w:r w:rsidR="00CE4D97">
        <w:t xml:space="preserve">inactivation. However, </w:t>
      </w:r>
      <w:r w:rsidR="00A84EE9">
        <w:t xml:space="preserve">this hypothesis was not </w:t>
      </w:r>
      <w:r w:rsidR="009F308F">
        <w:t>confirmed,</w:t>
      </w:r>
      <w:r w:rsidR="00A84EE9">
        <w:t xml:space="preserve"> and instead post-training OFC inactivation </w:t>
      </w:r>
      <w:r w:rsidR="00807603">
        <w:t xml:space="preserve">suppressed any further learning. This finding was replicated </w:t>
      </w:r>
      <w:r w:rsidR="005552D2">
        <w:t>with post-training lesions, and post-training inactivation at an earlier time point during acquisition.</w:t>
      </w:r>
      <w:r w:rsidR="005B564D">
        <w:t xml:space="preserve"> </w:t>
      </w:r>
    </w:p>
    <w:p w14:paraId="188A7EF0" w14:textId="3656CA64" w:rsidR="0086392A" w:rsidRDefault="005B564D" w:rsidP="009F308F">
      <w:pPr>
        <w:pStyle w:val="BodyText"/>
        <w:numPr>
          <w:ilvl w:val="1"/>
          <w:numId w:val="2"/>
        </w:numPr>
      </w:pPr>
      <w:r>
        <w:t xml:space="preserve">Therefore, the </w:t>
      </w:r>
      <w:r w:rsidR="002A6F2D">
        <w:t xml:space="preserve">dissociable effects of pre- and post- training OFC </w:t>
      </w:r>
      <w:r w:rsidR="00074141">
        <w:t xml:space="preserve">lesions/inactivation </w:t>
      </w:r>
      <w:r>
        <w:t xml:space="preserve">were not simply differences </w:t>
      </w:r>
      <w:r w:rsidR="002752A9">
        <w:t>between lesions and inactivation via muscimol infusions.</w:t>
      </w:r>
    </w:p>
    <w:p w14:paraId="3A9F29A2" w14:textId="46BD021B" w:rsidR="009F308F" w:rsidRDefault="008A3871" w:rsidP="009F308F">
      <w:pPr>
        <w:pStyle w:val="BodyText"/>
        <w:numPr>
          <w:ilvl w:val="1"/>
          <w:numId w:val="2"/>
        </w:numPr>
      </w:pPr>
      <w:r>
        <w:t>Reference inhibition paper here? Control cue Z?</w:t>
      </w:r>
    </w:p>
    <w:p w14:paraId="2B1F8D28" w14:textId="2B270708" w:rsidR="003A7F4D" w:rsidRDefault="002662B5" w:rsidP="00D33C06">
      <w:pPr>
        <w:pStyle w:val="BodyText"/>
        <w:numPr>
          <w:ilvl w:val="0"/>
          <w:numId w:val="2"/>
        </w:numPr>
      </w:pPr>
      <w:r>
        <w:t xml:space="preserve">Next, we </w:t>
      </w:r>
      <w:r w:rsidR="00EB0EC6">
        <w:t>tested whether the suppressed behaviour following post-training inactivation of the OFC reflected a disruption of learning</w:t>
      </w:r>
      <w:r w:rsidR="00B25B14">
        <w:t xml:space="preserve"> or performance. Using a</w:t>
      </w:r>
      <w:r w:rsidR="00636F32">
        <w:t>n associative blocking design</w:t>
      </w:r>
      <w:r w:rsidR="00B978A9">
        <w:t>,</w:t>
      </w:r>
      <w:r w:rsidR="00636F32">
        <w:t xml:space="preserve"> we confirmed that the disruption of behaviour to a </w:t>
      </w:r>
      <w:r w:rsidR="00AF31DD">
        <w:t xml:space="preserve">single Pavlovian cue did not affect the ability of this cue to </w:t>
      </w:r>
      <w:r w:rsidR="00BB63C8">
        <w:t xml:space="preserve">effectively block learning about a novel cue. This suggests that OFC inactivation </w:t>
      </w:r>
      <w:r w:rsidR="00656441">
        <w:t xml:space="preserve">did not disrupt learning about the cue-outcome relationship but instead disrupted the ability </w:t>
      </w:r>
      <w:r w:rsidR="00B5493A">
        <w:t>to modulate behaviour based on the current learned value of the cue.</w:t>
      </w:r>
    </w:p>
    <w:p w14:paraId="13458877" w14:textId="6BD275A6" w:rsidR="00B978A9" w:rsidRDefault="00B978A9" w:rsidP="00B978A9">
      <w:pPr>
        <w:pStyle w:val="BodyText"/>
        <w:numPr>
          <w:ilvl w:val="1"/>
          <w:numId w:val="2"/>
        </w:numPr>
      </w:pPr>
      <w:r>
        <w:t xml:space="preserve">Maybe refer to </w:t>
      </w:r>
      <w:proofErr w:type="spellStart"/>
      <w:r>
        <w:t>Kieflin</w:t>
      </w:r>
      <w:proofErr w:type="spellEnd"/>
      <w:r>
        <w:t xml:space="preserve"> et al study with Hierarchical stuff to indicate th</w:t>
      </w:r>
      <w:r w:rsidR="00084C0F">
        <w:t>at you rule out a possible account of this effect being a state dependent learning effect.</w:t>
      </w:r>
    </w:p>
    <w:p w14:paraId="03F84929" w14:textId="4FF07A62" w:rsidR="00891B0D" w:rsidRDefault="00891B0D" w:rsidP="00B978A9">
      <w:pPr>
        <w:pStyle w:val="BodyText"/>
        <w:numPr>
          <w:ilvl w:val="1"/>
          <w:numId w:val="2"/>
        </w:numPr>
      </w:pPr>
      <w:r>
        <w:lastRenderedPageBreak/>
        <w:t xml:space="preserve">Discuss the importance of not simply relying on performance levels to a target cue to indicate </w:t>
      </w:r>
      <w:r w:rsidR="00BC7F38">
        <w:t>how much learning has occurred</w:t>
      </w:r>
    </w:p>
    <w:p w14:paraId="78711A22" w14:textId="0B4A6C9F" w:rsidR="00F426A5" w:rsidRDefault="00920EA3" w:rsidP="00A24061">
      <w:pPr>
        <w:pStyle w:val="BodyText"/>
        <w:numPr>
          <w:ilvl w:val="0"/>
          <w:numId w:val="2"/>
        </w:numPr>
      </w:pPr>
      <w:r>
        <w:t xml:space="preserve">We concluded from these studies that the OFC was indeed </w:t>
      </w:r>
      <w:r w:rsidR="007561D2">
        <w:t>important in simple Pavlovian cue-outcome behaviour</w:t>
      </w:r>
      <w:r w:rsidR="00A846BE">
        <w:t xml:space="preserve"> even when the </w:t>
      </w:r>
      <w:r w:rsidR="001D7BB0">
        <w:t xml:space="preserve">cue-outcome contingencies remain stable and the </w:t>
      </w:r>
      <w:r w:rsidR="00A846BE">
        <w:t xml:space="preserve">identity of the outcome is not </w:t>
      </w:r>
      <w:r w:rsidR="001D7BB0">
        <w:t>relevant to task performance.</w:t>
      </w:r>
      <w:r w:rsidR="002607C3">
        <w:t xml:space="preserve"> Furthermore, it appeared that these effects likely reflected </w:t>
      </w:r>
      <w:r w:rsidR="00A85597">
        <w:t xml:space="preserve">impaired behavioural control rather than impaired learning. To explain </w:t>
      </w:r>
      <w:r w:rsidR="00F87742">
        <w:t>these effects, we proposed that the OFC was critical fo</w:t>
      </w:r>
      <w:r w:rsidR="00365819">
        <w:t>r calculating the current value of an expected outcome relative to the value of other options in the environment</w:t>
      </w:r>
      <w:r w:rsidR="00867748">
        <w:t>.</w:t>
      </w:r>
    </w:p>
    <w:p w14:paraId="4135CB8E" w14:textId="42970545" w:rsidR="00625094" w:rsidRDefault="00FA4D4B" w:rsidP="00452FC5">
      <w:pPr>
        <w:pStyle w:val="BodyText"/>
        <w:numPr>
          <w:ilvl w:val="1"/>
          <w:numId w:val="2"/>
        </w:numPr>
      </w:pPr>
      <w:r>
        <w:t xml:space="preserve">We created a task in which </w:t>
      </w:r>
      <w:r w:rsidR="00414EAC">
        <w:t xml:space="preserve">the relative value of alternative behaviours is integrated into Pavlovian expected outcomes </w:t>
      </w:r>
      <w:r>
        <w:t>to test this hypothesis</w:t>
      </w:r>
      <w:r w:rsidR="00414EAC">
        <w:t xml:space="preserve">. </w:t>
      </w:r>
      <w:r w:rsidR="001E2351">
        <w:t xml:space="preserve">As predicted, the OFC was necessary for the </w:t>
      </w:r>
      <w:r w:rsidR="001F78F4">
        <w:t xml:space="preserve">integration of </w:t>
      </w:r>
      <w:r w:rsidR="00B25283">
        <w:t xml:space="preserve">the relative value of alternative behaviours into </w:t>
      </w:r>
      <w:r w:rsidR="00C75A86">
        <w:t>the flexible control of Pavlovian expected value.</w:t>
      </w:r>
      <w:r w:rsidR="00452FC5">
        <w:t xml:space="preserve"> </w:t>
      </w:r>
    </w:p>
    <w:p w14:paraId="36B1FB9D" w14:textId="7B44540A" w:rsidR="00452FC5" w:rsidRDefault="00804058" w:rsidP="00452FC5">
      <w:pPr>
        <w:pStyle w:val="BodyText"/>
        <w:numPr>
          <w:ilvl w:val="1"/>
          <w:numId w:val="2"/>
        </w:numPr>
      </w:pPr>
      <w:r>
        <w:t xml:space="preserve">One possibility is that the failure to integrate </w:t>
      </w:r>
      <w:r w:rsidR="005F2509">
        <w:t>be</w:t>
      </w:r>
      <w:r>
        <w:t>tween the Pavlovia</w:t>
      </w:r>
      <w:r w:rsidR="005F2509">
        <w:t xml:space="preserve">n and non-Pavlovian values is due to the </w:t>
      </w:r>
      <w:r w:rsidR="00F272D5">
        <w:t>different outcome identities of each of the outcomes i.e. pellet vs liquid sucrose</w:t>
      </w:r>
      <w:r w:rsidR="00C40403">
        <w:t xml:space="preserve"> [REFS]</w:t>
      </w:r>
      <w:r w:rsidR="00F272D5">
        <w:t xml:space="preserve">. </w:t>
      </w:r>
      <w:r w:rsidR="00A7033C">
        <w:t xml:space="preserve">However, it is still the case that the </w:t>
      </w:r>
      <w:r w:rsidR="00E5777E">
        <w:t>OFC was not necessary for flexibly modulating non-Pavlovian foraging behaviours, but impaired at modulating specifically Pavlovian behaviour based on the expected value of the outcome.</w:t>
      </w:r>
    </w:p>
    <w:p w14:paraId="0759093C" w14:textId="632EBFAC" w:rsidR="00EA745E" w:rsidRDefault="00EA745E" w:rsidP="00452FC5">
      <w:pPr>
        <w:pStyle w:val="BodyText"/>
        <w:numPr>
          <w:ilvl w:val="1"/>
          <w:numId w:val="2"/>
        </w:numPr>
      </w:pPr>
      <w:r>
        <w:t xml:space="preserve">This adds to the finding that the OFC does not appear to be involved in </w:t>
      </w:r>
      <w:r w:rsidR="00A1696E">
        <w:t>other non-Pavlovian learned behaviours such as instrumental action-outcome learning (REFS). T</w:t>
      </w:r>
      <w:r w:rsidR="00537C4F">
        <w:t xml:space="preserve">he specificity of this neural deficits supports the </w:t>
      </w:r>
      <w:r w:rsidR="007344AB">
        <w:t xml:space="preserve">idea that Pavlovian cue-outcome </w:t>
      </w:r>
      <w:r w:rsidR="00674964">
        <w:t>behaviours are</w:t>
      </w:r>
      <w:r w:rsidR="007344AB">
        <w:t xml:space="preserve"> </w:t>
      </w:r>
      <w:r w:rsidR="00674964">
        <w:t>psychologically separate from instrumental action-outcome behaviours</w:t>
      </w:r>
      <w:r w:rsidR="00DC07E5">
        <w:t xml:space="preserve"> [Refs – Omission; SD vs CS in blocking]. </w:t>
      </w:r>
    </w:p>
    <w:p w14:paraId="16A90252" w14:textId="4D2C1901" w:rsidR="00F426A5" w:rsidRDefault="00C40403" w:rsidP="00C40403">
      <w:pPr>
        <w:pStyle w:val="BodyText"/>
      </w:pPr>
      <w:r>
        <w:t>Accounting for the pre vs. post training lesion differences</w:t>
      </w:r>
    </w:p>
    <w:p w14:paraId="2FC80C10" w14:textId="023E846C" w:rsidR="00C40403" w:rsidRDefault="00BA1AB2" w:rsidP="00C40403">
      <w:pPr>
        <w:pStyle w:val="BodyText"/>
        <w:numPr>
          <w:ilvl w:val="0"/>
          <w:numId w:val="2"/>
        </w:numPr>
      </w:pPr>
      <w:r>
        <w:t>The dissociable effects of pre</w:t>
      </w:r>
      <w:r w:rsidR="00952E58">
        <w:t>-</w:t>
      </w:r>
      <w:r>
        <w:t xml:space="preserve"> vs post</w:t>
      </w:r>
      <w:r w:rsidR="00952E58">
        <w:t>-</w:t>
      </w:r>
      <w:r>
        <w:t xml:space="preserve">training lesions </w:t>
      </w:r>
      <w:r w:rsidR="005E0701">
        <w:t xml:space="preserve">are important to understand. </w:t>
      </w:r>
    </w:p>
    <w:p w14:paraId="24BD3600" w14:textId="47595CBD" w:rsidR="000273B9" w:rsidRDefault="00BD388E" w:rsidP="00C40403">
      <w:pPr>
        <w:pStyle w:val="BodyText"/>
        <w:numPr>
          <w:ilvl w:val="0"/>
          <w:numId w:val="2"/>
        </w:numPr>
      </w:pPr>
      <w:r>
        <w:t>Updating the value of s</w:t>
      </w:r>
      <w:r w:rsidR="000273B9">
        <w:t>ensory</w:t>
      </w:r>
      <w:r>
        <w:t>-</w:t>
      </w:r>
      <w:r w:rsidR="000273B9">
        <w:t>specific outcome expectancies</w:t>
      </w:r>
    </w:p>
    <w:p w14:paraId="1E93A92D" w14:textId="70EACFDC" w:rsidR="000A14B5" w:rsidRDefault="00BD388E" w:rsidP="00270C77">
      <w:pPr>
        <w:pStyle w:val="BodyText"/>
        <w:numPr>
          <w:ilvl w:val="1"/>
          <w:numId w:val="2"/>
        </w:numPr>
      </w:pPr>
      <w:r>
        <w:t xml:space="preserve">From an associative learning framework, </w:t>
      </w:r>
      <w:r w:rsidR="000A14B5">
        <w:t xml:space="preserve">the </w:t>
      </w:r>
      <w:r w:rsidR="00E51AF0">
        <w:t xml:space="preserve">even putatively “simple” single cue-outcome </w:t>
      </w:r>
      <w:r w:rsidR="000A14B5">
        <w:t>Pavlovian</w:t>
      </w:r>
      <w:r w:rsidR="008A63AF">
        <w:t xml:space="preserve"> learning can </w:t>
      </w:r>
      <w:r w:rsidR="00E51AF0">
        <w:t xml:space="preserve">involve </w:t>
      </w:r>
      <w:proofErr w:type="gramStart"/>
      <w:r w:rsidR="00E51AF0">
        <w:t>a number of</w:t>
      </w:r>
      <w:proofErr w:type="gramEnd"/>
      <w:r w:rsidR="00E51AF0">
        <w:t xml:space="preserve"> </w:t>
      </w:r>
      <w:r w:rsidR="00C13929">
        <w:t>different processes (REFS; Hall; Dickinson; Rescorla content of learning; Holland</w:t>
      </w:r>
      <w:r w:rsidR="00D868F5">
        <w:t xml:space="preserve"> nature of responding; Delamater</w:t>
      </w:r>
      <w:r w:rsidR="00C13929">
        <w:t>)</w:t>
      </w:r>
      <w:r w:rsidR="00D868F5">
        <w:t>.</w:t>
      </w:r>
      <w:r w:rsidR="00687FED">
        <w:t xml:space="preserve"> Take</w:t>
      </w:r>
      <w:r w:rsidR="00D868F5">
        <w:t xml:space="preserve"> </w:t>
      </w:r>
      <w:r w:rsidR="00687FED">
        <w:t>f</w:t>
      </w:r>
      <w:r w:rsidR="00D868F5">
        <w:t xml:space="preserve">or example a </w:t>
      </w:r>
      <w:r w:rsidR="00687FED">
        <w:t>10s light cue that reliably predicts the delivery of a pellet reward</w:t>
      </w:r>
      <w:r w:rsidR="002764CD">
        <w:t>. A rat</w:t>
      </w:r>
      <w:r w:rsidR="000A14B5" w:rsidRPr="000A14B5">
        <w:t xml:space="preserve"> can learn that the cue predicts the sensory-specific properties of the outcome (e.g. taste, texture, sweetness, </w:t>
      </w:r>
      <w:proofErr w:type="spellStart"/>
      <w:r w:rsidR="000A14B5" w:rsidRPr="000A14B5">
        <w:t>colour</w:t>
      </w:r>
      <w:proofErr w:type="spellEnd"/>
      <w:r w:rsidR="000A14B5" w:rsidRPr="000A14B5">
        <w:t xml:space="preserve">, size, location etc...), </w:t>
      </w:r>
      <w:r w:rsidR="002764CD">
        <w:t xml:space="preserve">or the general motivational value of that reward, </w:t>
      </w:r>
      <w:r w:rsidR="000A14B5" w:rsidRPr="000A14B5">
        <w:t xml:space="preserve">or simply develop a stimulus-response habit to approach the reward location when the cue is presented. Indeed, there is experimental evidence for </w:t>
      </w:r>
      <w:r w:rsidR="002764CD">
        <w:t xml:space="preserve">these multiple aspects of learning </w:t>
      </w:r>
      <w:r w:rsidR="00782A13">
        <w:t>occurring during Pavlovian conditioning</w:t>
      </w:r>
      <w:r w:rsidR="000A14B5" w:rsidRPr="000A14B5">
        <w:t xml:space="preserve"> [REFS].</w:t>
      </w:r>
      <w:r w:rsidR="00782A13">
        <w:t xml:space="preserve"> </w:t>
      </w:r>
    </w:p>
    <w:p w14:paraId="7B351D69" w14:textId="55B8ACA0" w:rsidR="000B014B" w:rsidRDefault="0047033E" w:rsidP="00270C77">
      <w:pPr>
        <w:pStyle w:val="BodyText"/>
        <w:numPr>
          <w:ilvl w:val="1"/>
          <w:numId w:val="2"/>
        </w:numPr>
      </w:pPr>
      <w:r>
        <w:lastRenderedPageBreak/>
        <w:t>It i</w:t>
      </w:r>
      <w:r w:rsidR="000B014B">
        <w:t xml:space="preserve">s possible that </w:t>
      </w:r>
      <w:r>
        <w:t xml:space="preserve">pretraining OFC lesions disrupt </w:t>
      </w:r>
      <w:r w:rsidR="000B014B">
        <w:t xml:space="preserve">the </w:t>
      </w:r>
      <w:r w:rsidR="00B1010F">
        <w:t xml:space="preserve">balance of these different </w:t>
      </w:r>
      <w:r>
        <w:t xml:space="preserve">aspects of Pavlovian </w:t>
      </w:r>
      <w:r w:rsidR="00AC6E3A">
        <w:t xml:space="preserve">learning and behavior. If the OFC is necessary for the representation of the </w:t>
      </w:r>
      <w:r w:rsidR="001536F4">
        <w:t xml:space="preserve">sensory specific properties of expected outcomes, then OFC lesions might </w:t>
      </w:r>
      <w:r w:rsidR="00AA2CCD">
        <w:t xml:space="preserve">allow a stimulus-response habit system to dominate behavioural control. This </w:t>
      </w:r>
      <w:r w:rsidR="00AD3D0F">
        <w:t>may lead to an unconstrained learning system (REFS; Adams and Dickinson chapter)</w:t>
      </w:r>
      <w:r w:rsidR="00AA2CCD">
        <w:t xml:space="preserve"> </w:t>
      </w:r>
      <w:r w:rsidR="00AD3D0F">
        <w:t xml:space="preserve">that is not bounded by the actual value of the outcome and is instead limited by </w:t>
      </w:r>
      <w:r w:rsidR="00CD4B3C">
        <w:t xml:space="preserve">a behavioural ceiling and overly sensitive to the current general motivation </w:t>
      </w:r>
      <w:r w:rsidR="00760F60">
        <w:t>(e.g. overall hunger levels) of the organism.</w:t>
      </w:r>
    </w:p>
    <w:p w14:paraId="64198CCA" w14:textId="77777777" w:rsidR="00A42E20" w:rsidRDefault="00760F60" w:rsidP="00270C77">
      <w:pPr>
        <w:pStyle w:val="BodyText"/>
        <w:numPr>
          <w:ilvl w:val="1"/>
          <w:numId w:val="2"/>
        </w:numPr>
      </w:pPr>
      <w:r>
        <w:t xml:space="preserve">However, once initial learning </w:t>
      </w:r>
      <w:r w:rsidR="002B509E">
        <w:t>occurs with an intact OFC, the initial encoding of the identity of the expected outcome is likely to have occurred (</w:t>
      </w:r>
      <w:r w:rsidR="0077404F">
        <w:t xml:space="preserve">REFS; Delamater- shows this can occur very rapidly). Now, a post-training lesion or inactivation of the OFC </w:t>
      </w:r>
      <w:r w:rsidR="00D72747">
        <w:t xml:space="preserve">is likely to affect the flexible </w:t>
      </w:r>
      <w:r w:rsidR="00224776">
        <w:t xml:space="preserve">updating of this information. </w:t>
      </w:r>
      <w:r w:rsidR="00B948AE">
        <w:t xml:space="preserve">Here we propose that the impaired acquisition behaviour </w:t>
      </w:r>
      <w:r w:rsidR="00022BFE">
        <w:t>we observed following post-training inactivation reflects an inability to update the current motivational value of the specific</w:t>
      </w:r>
      <w:r w:rsidR="00152ABF">
        <w:t xml:space="preserve"> outcome that is expected.</w:t>
      </w:r>
    </w:p>
    <w:p w14:paraId="28C350A4" w14:textId="3BBDAF0E" w:rsidR="00760F60" w:rsidRDefault="000C4CD7" w:rsidP="00A42E20">
      <w:pPr>
        <w:pStyle w:val="BodyText"/>
        <w:numPr>
          <w:ilvl w:val="0"/>
          <w:numId w:val="2"/>
        </w:numPr>
      </w:pPr>
      <w:r>
        <w:t xml:space="preserve">Inflexible </w:t>
      </w:r>
      <w:r w:rsidR="00A42E20">
        <w:t>Latent states</w:t>
      </w:r>
      <w:r w:rsidR="00224776">
        <w:t xml:space="preserve"> </w:t>
      </w:r>
    </w:p>
    <w:p w14:paraId="76F1821A" w14:textId="01B67693" w:rsidR="000C4CD7" w:rsidRDefault="000C4CD7" w:rsidP="000C4CD7">
      <w:pPr>
        <w:pStyle w:val="BodyText"/>
        <w:numPr>
          <w:ilvl w:val="1"/>
          <w:numId w:val="2"/>
        </w:numPr>
      </w:pPr>
      <w:r>
        <w:t>The latent state representation account of the OFC</w:t>
      </w:r>
      <w:r w:rsidR="007A0709">
        <w:t xml:space="preserve"> might also be able to account for the differences observed dissociation between pre- and post-training OFC lesions on acquisition.</w:t>
      </w:r>
    </w:p>
    <w:p w14:paraId="4FEF9030" w14:textId="669715B1" w:rsidR="00BD74AA" w:rsidRDefault="00CA120F" w:rsidP="000C4CD7">
      <w:pPr>
        <w:pStyle w:val="BodyText"/>
        <w:numPr>
          <w:ilvl w:val="1"/>
          <w:numId w:val="2"/>
        </w:numPr>
      </w:pPr>
      <w:r>
        <w:t>C</w:t>
      </w:r>
      <w:r w:rsidR="00BD74AA">
        <w:t xml:space="preserve">omputational modeling has </w:t>
      </w:r>
      <w:proofErr w:type="gramStart"/>
      <w:r>
        <w:t xml:space="preserve">made </w:t>
      </w:r>
      <w:r w:rsidR="00660401">
        <w:t xml:space="preserve">the </w:t>
      </w:r>
      <w:r w:rsidR="00BD74AA">
        <w:t>assum</w:t>
      </w:r>
      <w:r w:rsidR="00660401">
        <w:t>ption</w:t>
      </w:r>
      <w:proofErr w:type="gramEnd"/>
      <w:r w:rsidR="00660401">
        <w:t>,</w:t>
      </w:r>
      <w:r w:rsidR="00BD74AA">
        <w:t xml:space="preserve"> </w:t>
      </w:r>
      <w:r w:rsidR="001F5482">
        <w:t>for simplicity</w:t>
      </w:r>
      <w:r w:rsidR="00660401">
        <w:t>,</w:t>
      </w:r>
      <w:r w:rsidR="001F5482">
        <w:t xml:space="preserve"> </w:t>
      </w:r>
      <w:r w:rsidR="00BD74AA">
        <w:t xml:space="preserve">that in a </w:t>
      </w:r>
      <w:r w:rsidR="001F5482">
        <w:t xml:space="preserve">simple single cue-outcome procedure, the </w:t>
      </w:r>
      <w:r>
        <w:t xml:space="preserve">cue state (e.g. “light on”) is stable throughout </w:t>
      </w:r>
      <w:r w:rsidR="00E31EE9">
        <w:t xml:space="preserve">acquisition. Given that the </w:t>
      </w:r>
      <w:r w:rsidR="009F60E6">
        <w:t xml:space="preserve">same cue is presented, and it always leads to the pellet outcome, this stable representation is a reasonable assumption. However, it is </w:t>
      </w:r>
      <w:r w:rsidR="00055101">
        <w:t>also likely that during acquisition this state representation is not stable in healthy control animals.</w:t>
      </w:r>
      <w:r w:rsidR="00FC1DB0">
        <w:t xml:space="preserve"> How can the animal be certain that the light cue</w:t>
      </w:r>
      <w:r w:rsidR="00337A19">
        <w:t xml:space="preserve">, the </w:t>
      </w:r>
      <w:r w:rsidR="00D250A3">
        <w:t>testing chamber context, or the reward pellet that</w:t>
      </w:r>
      <w:r w:rsidR="00FC1DB0">
        <w:t xml:space="preserve"> they see on each trial is identical to the </w:t>
      </w:r>
      <w:r w:rsidR="00464BF8">
        <w:t>trials they have already experienced within the session, and</w:t>
      </w:r>
      <w:r w:rsidR="00337A19">
        <w:t xml:space="preserve"> from previous days? </w:t>
      </w:r>
      <w:r w:rsidR="00533068">
        <w:t xml:space="preserve">The subjective experience of these states is very likely to be different </w:t>
      </w:r>
      <w:r w:rsidR="00A351B9">
        <w:t>within and between sessions</w:t>
      </w:r>
      <w:r w:rsidR="004E3DAE">
        <w:t xml:space="preserve"> </w:t>
      </w:r>
      <w:r w:rsidR="00886AF6">
        <w:t xml:space="preserve">such as the </w:t>
      </w:r>
      <w:r w:rsidR="00A351B9">
        <w:t>ambient noise</w:t>
      </w:r>
      <w:r w:rsidR="00F664FA">
        <w:t>s</w:t>
      </w:r>
      <w:r w:rsidR="00A351B9">
        <w:t xml:space="preserve">, </w:t>
      </w:r>
      <w:proofErr w:type="spellStart"/>
      <w:r w:rsidR="00F664FA">
        <w:t>odours</w:t>
      </w:r>
      <w:proofErr w:type="spellEnd"/>
      <w:r w:rsidR="00F664FA">
        <w:t xml:space="preserve">, temperature </w:t>
      </w:r>
      <w:proofErr w:type="gramStart"/>
      <w:r w:rsidR="00F664FA">
        <w:t>etc..</w:t>
      </w:r>
      <w:proofErr w:type="gramEnd"/>
      <w:r w:rsidR="00886AF6">
        <w:t xml:space="preserve"> of the context, the location and intensity of the light cue </w:t>
      </w:r>
      <w:r w:rsidR="00A143A4">
        <w:t>based on where the rat happens to be located when it turns on, and the</w:t>
      </w:r>
      <w:r w:rsidR="00C52E10">
        <w:t xml:space="preserve"> gradual onset of sensory specific satiety to the </w:t>
      </w:r>
      <w:r w:rsidR="007620C6">
        <w:t xml:space="preserve">pellet. </w:t>
      </w:r>
      <w:r w:rsidR="008C5EF8">
        <w:t xml:space="preserve">Informally, how does the rat know that this light is the same light that they saw </w:t>
      </w:r>
      <w:r w:rsidR="006E5B91">
        <w:t xml:space="preserve">at the start of the session, or the day before? </w:t>
      </w:r>
      <w:r w:rsidR="001E6641">
        <w:t xml:space="preserve">The perception and recognition of these states is therefore subject to differences in </w:t>
      </w:r>
      <w:r w:rsidR="006E5B91">
        <w:t xml:space="preserve">such as </w:t>
      </w:r>
      <w:r w:rsidR="001E6641">
        <w:t xml:space="preserve">generalization, </w:t>
      </w:r>
      <w:proofErr w:type="gramStart"/>
      <w:r w:rsidR="001E6641">
        <w:t>confidence</w:t>
      </w:r>
      <w:proofErr w:type="gramEnd"/>
      <w:r w:rsidR="009F182F">
        <w:t xml:space="preserve"> and</w:t>
      </w:r>
      <w:r w:rsidR="008C5EF8">
        <w:t xml:space="preserve"> certainty </w:t>
      </w:r>
      <w:r w:rsidR="006E5B91">
        <w:t>etc.</w:t>
      </w:r>
      <w:r w:rsidR="008C5EF8">
        <w:t>…</w:t>
      </w:r>
    </w:p>
    <w:p w14:paraId="4D28269A" w14:textId="2D906B16" w:rsidR="00041056" w:rsidRDefault="00041056" w:rsidP="000C4CD7">
      <w:pPr>
        <w:pStyle w:val="BodyText"/>
        <w:numPr>
          <w:ilvl w:val="1"/>
          <w:numId w:val="2"/>
        </w:numPr>
      </w:pPr>
      <w:r>
        <w:t>Paradoxically,</w:t>
      </w:r>
      <w:r w:rsidR="00B30A7F">
        <w:t xml:space="preserve"> in a simple and stable cue-outcome training procedure</w:t>
      </w:r>
      <w:r>
        <w:t xml:space="preserve"> pre-training </w:t>
      </w:r>
      <w:r w:rsidR="00B30A7F">
        <w:t xml:space="preserve">OFC </w:t>
      </w:r>
      <w:proofErr w:type="gramStart"/>
      <w:r w:rsidR="00B30A7F">
        <w:t>lesions</w:t>
      </w:r>
      <w:proofErr w:type="gramEnd"/>
      <w:r>
        <w:t xml:space="preserve"> may result in </w:t>
      </w:r>
      <w:r w:rsidR="009900A4">
        <w:t>relatively rapid and inflexible formation of task states</w:t>
      </w:r>
      <w:r w:rsidR="00752169">
        <w:t>.</w:t>
      </w:r>
      <w:r w:rsidR="00B30A7F">
        <w:t xml:space="preserve"> </w:t>
      </w:r>
      <w:r w:rsidR="007C2353">
        <w:t xml:space="preserve">The inability to integrate partially observable latent </w:t>
      </w:r>
      <w:r w:rsidR="000D7B1E">
        <w:t xml:space="preserve">state information about the task </w:t>
      </w:r>
      <w:r w:rsidR="00B54C85">
        <w:t xml:space="preserve">could allow for an inflexible and certain representation of the </w:t>
      </w:r>
      <w:r w:rsidR="001D5590">
        <w:t xml:space="preserve">CS state early in training. </w:t>
      </w:r>
      <w:r w:rsidR="006539CF">
        <w:t xml:space="preserve">In this stable and simple training context this would lead to enhanced </w:t>
      </w:r>
      <w:r w:rsidR="006255AB">
        <w:t xml:space="preserve">Pavlovian acquisition. However, in a </w:t>
      </w:r>
      <w:r w:rsidR="00C77147">
        <w:t>task</w:t>
      </w:r>
      <w:r w:rsidR="006255AB">
        <w:t xml:space="preserve"> with multiple </w:t>
      </w:r>
      <w:r w:rsidR="00C77147">
        <w:t xml:space="preserve">or uncertain </w:t>
      </w:r>
      <w:r w:rsidR="00C77147">
        <w:lastRenderedPageBreak/>
        <w:t>cue-outcome contingencies pretraining OFC lesions should impair acquisition [REFS- Walton; Certainty Paper; Hiro’s gambling].</w:t>
      </w:r>
    </w:p>
    <w:p w14:paraId="1868F33A" w14:textId="46697F36" w:rsidR="00DA1307" w:rsidRDefault="00076F2C" w:rsidP="000C4CD7">
      <w:pPr>
        <w:pStyle w:val="BodyText"/>
        <w:numPr>
          <w:ilvl w:val="1"/>
          <w:numId w:val="2"/>
        </w:numPr>
      </w:pPr>
      <w:r>
        <w:t xml:space="preserve">However, post-training inactivation of the OFC would disrupt the ability to update the state representation at whatever stage of certainty/stability that it </w:t>
      </w:r>
      <w:r w:rsidR="00CE2A32">
        <w:t xml:space="preserve">has </w:t>
      </w:r>
      <w:r>
        <w:t xml:space="preserve">currently </w:t>
      </w:r>
      <w:r w:rsidR="00CE2A32">
        <w:t xml:space="preserve">achieved. In </w:t>
      </w:r>
      <w:r w:rsidR="008A0350">
        <w:t>the</w:t>
      </w:r>
      <w:r w:rsidR="00CE2A32">
        <w:t xml:space="preserve"> stable single cue-outcome learning situation </w:t>
      </w:r>
      <w:r w:rsidR="008A0350">
        <w:t xml:space="preserve">employed in the present studies, this would result in disruption of further </w:t>
      </w:r>
      <w:r w:rsidR="00FC32EF">
        <w:t xml:space="preserve">acquisition. Again, </w:t>
      </w:r>
      <w:r w:rsidR="00850B81">
        <w:t xml:space="preserve">in a task with interference from multiple cue-outcome relationships, post-training lesions might </w:t>
      </w:r>
      <w:proofErr w:type="gramStart"/>
      <w:r w:rsidR="00850B81">
        <w:t>actually significantly</w:t>
      </w:r>
      <w:proofErr w:type="gramEnd"/>
      <w:r w:rsidR="00850B81">
        <w:t xml:space="preserve"> improve performance</w:t>
      </w:r>
      <w:r w:rsidR="009D04C1">
        <w:t>.</w:t>
      </w:r>
    </w:p>
    <w:p w14:paraId="4B9866E5" w14:textId="77777777" w:rsidR="00706BE6" w:rsidRDefault="009D04C1" w:rsidP="009D04C1">
      <w:pPr>
        <w:pStyle w:val="BodyText"/>
        <w:numPr>
          <w:ilvl w:val="0"/>
          <w:numId w:val="2"/>
        </w:numPr>
      </w:pPr>
      <w:r>
        <w:t>Discussion of multiple subregions of OFC</w:t>
      </w:r>
      <w:r w:rsidR="00AA037B">
        <w:t>/homology [look at Mark’s paper]</w:t>
      </w:r>
    </w:p>
    <w:p w14:paraId="58421CEC" w14:textId="30B03BE1" w:rsidR="009D04C1" w:rsidRDefault="00B26A49" w:rsidP="00706BE6">
      <w:pPr>
        <w:pStyle w:val="BodyText"/>
        <w:numPr>
          <w:ilvl w:val="1"/>
          <w:numId w:val="2"/>
        </w:numPr>
      </w:pPr>
      <w:r>
        <w:t xml:space="preserve">Bring in </w:t>
      </w:r>
      <w:proofErr w:type="spellStart"/>
      <w:r>
        <w:t>Devalaution</w:t>
      </w:r>
      <w:proofErr w:type="spellEnd"/>
      <w:r>
        <w:t xml:space="preserve"> result as positive control</w:t>
      </w:r>
    </w:p>
    <w:p w14:paraId="0C12E340" w14:textId="7E069194" w:rsidR="009D04C1" w:rsidRDefault="009D04C1" w:rsidP="009D04C1">
      <w:pPr>
        <w:pStyle w:val="BodyText"/>
        <w:numPr>
          <w:ilvl w:val="0"/>
          <w:numId w:val="2"/>
        </w:numPr>
      </w:pPr>
      <w:r>
        <w:t>Discussion of connectivity of OFC</w:t>
      </w:r>
    </w:p>
    <w:p w14:paraId="5D0BE0F6" w14:textId="75328699" w:rsidR="00BF5A90" w:rsidRDefault="00BF5A90" w:rsidP="00BF5A90">
      <w:pPr>
        <w:pStyle w:val="BodyText"/>
        <w:numPr>
          <w:ilvl w:val="1"/>
          <w:numId w:val="2"/>
        </w:numPr>
      </w:pPr>
      <w:r>
        <w:t>BLA effects – Shauna/Juan Carlos?</w:t>
      </w:r>
    </w:p>
    <w:p w14:paraId="2E628635" w14:textId="284ADACB" w:rsidR="005E61C0" w:rsidRDefault="005E61C0" w:rsidP="005E61C0">
      <w:pPr>
        <w:pStyle w:val="BodyText"/>
        <w:numPr>
          <w:ilvl w:val="0"/>
          <w:numId w:val="2"/>
        </w:numPr>
      </w:pPr>
      <w:r>
        <w:t xml:space="preserve">In general – need to cite specific studies </w:t>
      </w:r>
      <w:r w:rsidR="00C460A5">
        <w:t>to back up statements</w:t>
      </w:r>
    </w:p>
    <w:p w14:paraId="5AB86B5F" w14:textId="3CC90D40" w:rsidR="00C460A5" w:rsidRDefault="00C460A5" w:rsidP="00C460A5">
      <w:pPr>
        <w:pStyle w:val="BodyText"/>
        <w:numPr>
          <w:ilvl w:val="1"/>
          <w:numId w:val="2"/>
        </w:numPr>
      </w:pPr>
      <w:r>
        <w:t>Consider the new studies claiming OFC effects on learning but not showing it?</w:t>
      </w:r>
    </w:p>
    <w:p w14:paraId="7038567F" w14:textId="77777777" w:rsidR="007F67D5" w:rsidRDefault="007F67D5" w:rsidP="00F56CB9">
      <w:pPr>
        <w:pStyle w:val="BodyText"/>
        <w:rPr>
          <w:b/>
          <w:bCs/>
        </w:rPr>
      </w:pPr>
    </w:p>
    <w:p w14:paraId="5EA048B4" w14:textId="77777777" w:rsidR="007F67D5" w:rsidRPr="007F67D5" w:rsidRDefault="007F67D5" w:rsidP="007F67D5">
      <w:pPr>
        <w:rPr>
          <w:rFonts w:ascii="Times New Roman" w:hAnsi="Times New Roman" w:cs="Times New Roman"/>
          <w:bCs/>
          <w:color w:val="BFBFBF" w:themeColor="background1" w:themeShade="BF"/>
          <w:sz w:val="24"/>
          <w:szCs w:val="24"/>
        </w:rPr>
      </w:pPr>
      <w:r w:rsidRPr="007F67D5">
        <w:rPr>
          <w:rFonts w:ascii="Times New Roman" w:hAnsi="Times New Roman" w:cs="Times New Roman"/>
          <w:bCs/>
          <w:color w:val="BFBFBF" w:themeColor="background1" w:themeShade="BF"/>
          <w:sz w:val="24"/>
          <w:szCs w:val="24"/>
        </w:rPr>
        <w:t xml:space="preserve">The orbitofrontal cortex (OFC) is critical to behavioural flexibility when learning and behaviour need to be updated to reflect a change in the environment [REFS]. In a range of learning situations, neural activity within the OFC initially tracks the value of rewards, and cues that have reliably predicted these rewards [REFS]. This suggests that the OFC represents the expected value of rewards based predictive stimuli in the environment. Expected values play an integral in prediction-error learning theories in which learning is based on the difference between predictions and actual experienced outcomes i.e. actual experienced value – expected value. Indeed, expected value information within the OFC has been tied to mid-brain dopaminergic prediction-error activity [REFS]. </w:t>
      </w:r>
    </w:p>
    <w:p w14:paraId="461214B5" w14:textId="77777777" w:rsidR="007F67D5" w:rsidRPr="007F67D5" w:rsidRDefault="007F67D5" w:rsidP="007F67D5">
      <w:pPr>
        <w:rPr>
          <w:rFonts w:ascii="Times New Roman" w:hAnsi="Times New Roman" w:cs="Times New Roman"/>
          <w:bCs/>
          <w:color w:val="BFBFBF" w:themeColor="background1" w:themeShade="BF"/>
          <w:sz w:val="24"/>
          <w:szCs w:val="24"/>
        </w:rPr>
      </w:pPr>
      <w:r w:rsidRPr="007F67D5">
        <w:rPr>
          <w:rFonts w:ascii="Times New Roman" w:hAnsi="Times New Roman" w:cs="Times New Roman"/>
          <w:bCs/>
          <w:color w:val="BFBFBF" w:themeColor="background1" w:themeShade="BF"/>
          <w:sz w:val="24"/>
          <w:szCs w:val="24"/>
        </w:rPr>
        <w:t xml:space="preserve">Consistent with a role for the OFC in representing expected values involved in prediction-error learning, OFC lesions and inactivation disrupt learning when rewards are no longer available (extinction), when cue-outcome contingencies change (reversal learning), and when multiple outcomes are expected (over-expectation). However, it is also clear that the OFC does not simply represent all information about the expected value of outcomes since OFC lesions do not affect initial, prediction-error dependent, cue-outcome learning. Instead the OFC has been proposed to represent specific aspects of outcome expectancy information. Take for example a putatively simple Pavlovian cue-outcome experiment in which a 10s light cue is immediately followed by a grain pellet reward. </w:t>
      </w:r>
      <w:bookmarkStart w:id="0" w:name="_Hlk46175242"/>
      <w:r w:rsidRPr="007F67D5">
        <w:rPr>
          <w:rFonts w:ascii="Times New Roman" w:hAnsi="Times New Roman" w:cs="Times New Roman"/>
          <w:bCs/>
          <w:color w:val="BFBFBF" w:themeColor="background1" w:themeShade="BF"/>
          <w:sz w:val="24"/>
          <w:szCs w:val="24"/>
        </w:rPr>
        <w:t xml:space="preserve">An animal can learn that the cue predicts a reward of a certain motivational value, but also about the sensory-specific properties of the outcome (e.g. taste, texture, sweetness, </w:t>
      </w:r>
      <w:proofErr w:type="spellStart"/>
      <w:r w:rsidRPr="007F67D5">
        <w:rPr>
          <w:rFonts w:ascii="Times New Roman" w:hAnsi="Times New Roman" w:cs="Times New Roman"/>
          <w:bCs/>
          <w:color w:val="BFBFBF" w:themeColor="background1" w:themeShade="BF"/>
          <w:sz w:val="24"/>
          <w:szCs w:val="24"/>
        </w:rPr>
        <w:t>colour</w:t>
      </w:r>
      <w:proofErr w:type="spellEnd"/>
      <w:r w:rsidRPr="007F67D5">
        <w:rPr>
          <w:rFonts w:ascii="Times New Roman" w:hAnsi="Times New Roman" w:cs="Times New Roman"/>
          <w:bCs/>
          <w:color w:val="BFBFBF" w:themeColor="background1" w:themeShade="BF"/>
          <w:sz w:val="24"/>
          <w:szCs w:val="24"/>
        </w:rPr>
        <w:t xml:space="preserve">, size, location etc...), or simply develop a stimulus-response habit to approach the reward location when the cue is presented. Indeed, there is strong experimental evidence for </w:t>
      </w:r>
      <w:r w:rsidRPr="007F67D5">
        <w:rPr>
          <w:rFonts w:ascii="Times New Roman" w:hAnsi="Times New Roman" w:cs="Times New Roman"/>
          <w:bCs/>
          <w:color w:val="BFBFBF" w:themeColor="background1" w:themeShade="BF"/>
          <w:sz w:val="24"/>
          <w:szCs w:val="24"/>
        </w:rPr>
        <w:lastRenderedPageBreak/>
        <w:t xml:space="preserve">learning about these multiple aspects of expected outcomes [REFS]. </w:t>
      </w:r>
      <w:bookmarkEnd w:id="0"/>
      <w:r w:rsidRPr="007F67D5">
        <w:rPr>
          <w:rFonts w:ascii="Times New Roman" w:hAnsi="Times New Roman" w:cs="Times New Roman"/>
          <w:bCs/>
          <w:color w:val="BFBFBF" w:themeColor="background1" w:themeShade="BF"/>
          <w:sz w:val="24"/>
          <w:szCs w:val="24"/>
        </w:rPr>
        <w:t xml:space="preserve">For example, if after learning about the light-pellet contingency, the value of the pellet was reduced by pairing consumption with </w:t>
      </w:r>
    </w:p>
    <w:p w14:paraId="3EB12C23" w14:textId="77777777" w:rsidR="007F67D5" w:rsidRDefault="007F67D5" w:rsidP="007F67D5">
      <w:pPr>
        <w:rPr>
          <w:rFonts w:ascii="Times New Roman" w:hAnsi="Times New Roman" w:cs="Times New Roman"/>
          <w:bCs/>
          <w:sz w:val="24"/>
          <w:szCs w:val="24"/>
        </w:rPr>
      </w:pPr>
    </w:p>
    <w:p w14:paraId="2DF70006" w14:textId="77777777" w:rsidR="007F67D5" w:rsidRDefault="007F67D5" w:rsidP="007F67D5">
      <w:pPr>
        <w:rPr>
          <w:rFonts w:ascii="Times New Roman" w:hAnsi="Times New Roman" w:cs="Times New Roman"/>
          <w:bCs/>
          <w:sz w:val="24"/>
          <w:szCs w:val="24"/>
        </w:rPr>
      </w:pPr>
    </w:p>
    <w:p w14:paraId="77C8C0B1" w14:textId="77777777" w:rsidR="007F67D5" w:rsidRDefault="007F67D5" w:rsidP="007F67D5">
      <w:pPr>
        <w:rPr>
          <w:rFonts w:ascii="Times New Roman" w:hAnsi="Times New Roman" w:cs="Times New Roman"/>
          <w:bCs/>
          <w:sz w:val="24"/>
          <w:szCs w:val="24"/>
        </w:rPr>
      </w:pPr>
    </w:p>
    <w:p w14:paraId="7FEB8C73" w14:textId="0A7817E9" w:rsidR="006B4DE6" w:rsidRDefault="006B4DE6" w:rsidP="00F56CB9">
      <w:pPr>
        <w:pStyle w:val="BodyText"/>
        <w:rPr>
          <w:b/>
          <w:bCs/>
        </w:rPr>
      </w:pPr>
    </w:p>
    <w:p w14:paraId="3C3A0110" w14:textId="18479E3A" w:rsidR="006B4DE6" w:rsidRDefault="006B4DE6">
      <w:pPr>
        <w:rPr>
          <w:b/>
          <w:bCs/>
          <w:sz w:val="24"/>
          <w:szCs w:val="24"/>
        </w:rPr>
      </w:pPr>
      <w:r>
        <w:rPr>
          <w:b/>
          <w:bCs/>
        </w:rPr>
        <w:br w:type="page"/>
      </w:r>
    </w:p>
    <w:p w14:paraId="741586B2"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sz w:val="24"/>
          <w:szCs w:val="24"/>
        </w:rPr>
        <w:lastRenderedPageBreak/>
        <w:t>Methods and materials</w:t>
      </w:r>
    </w:p>
    <w:p w14:paraId="78DD571E"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Animals.</w:t>
      </w:r>
      <w:r w:rsidRPr="00CB3771">
        <w:rPr>
          <w:rFonts w:ascii="Times New Roman" w:hAnsi="Times New Roman" w:cs="Times New Roman"/>
          <w:sz w:val="24"/>
          <w:szCs w:val="24"/>
        </w:rPr>
        <w:t xml:space="preserve"> Subjects were male Long Evans rats (Monash Animal Services, Gippsland, Victoria, Australia) approximately 4 months old. Rats were housed four per cage in ventilated Plexiglass cages in a temperature regulated (22 ± 1</w:t>
      </w:r>
      <w:r w:rsidRPr="00CB3771">
        <w:rPr>
          <w:rFonts w:ascii="Times New Roman" w:hAnsi="Times New Roman" w:cs="Times New Roman"/>
          <w:sz w:val="24"/>
          <w:szCs w:val="24"/>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5E640EDC"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Apparatus.</w:t>
      </w:r>
      <w:r w:rsidRPr="00CB3771">
        <w:rPr>
          <w:rFonts w:ascii="Times New Roman" w:hAnsi="Times New Roman" w:cs="Times New Roman"/>
          <w:sz w:val="24"/>
          <w:szCs w:val="24"/>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back-right corner of the cabinet was used as an auditory stimulus. The chambers were wiped down with ethanol (80% v/v) between each session. A computer equipped with Med-PC software </w:t>
      </w:r>
      <w:r w:rsidRPr="00CB3771">
        <w:rPr>
          <w:rFonts w:ascii="Times New Roman" w:hAnsi="Times New Roman" w:cs="Times New Roman"/>
          <w:color w:val="000000"/>
          <w:sz w:val="24"/>
          <w:szCs w:val="24"/>
        </w:rPr>
        <w:t>(Med Associates Inc., St. Albans, VT, USA)</w:t>
      </w:r>
      <w:r w:rsidRPr="00CB3771">
        <w:rPr>
          <w:rFonts w:ascii="Times New Roman" w:hAnsi="Times New Roman" w:cs="Times New Roman"/>
          <w:sz w:val="24"/>
          <w:szCs w:val="24"/>
        </w:rPr>
        <w:t xml:space="preserve"> was used to control the experimental procedures and record data.</w:t>
      </w:r>
    </w:p>
    <w:p w14:paraId="3F9AFC97"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Consumption chambers.</w:t>
      </w:r>
      <w:r w:rsidRPr="00CB3771">
        <w:rPr>
          <w:rFonts w:ascii="Times New Roman" w:hAnsi="Times New Roman" w:cs="Times New Roman"/>
          <w:sz w:val="24"/>
          <w:szCs w:val="24"/>
        </w:rPr>
        <w:t xml:space="preserve"> To provide individual access to reinforcers during the satiety and devaluation procedures, rats were individually placed into an individual cage (33 x 18 x 14 cm clear Perspex cage with a wireframe top). Pellet reinforcers were presented in small glass ramekins inside the box and liquid reinforcers were presented in water bottles with a sipper tube. 1 day prior to the target procedure, all rats were exposed to the individual cages and given 30 </w:t>
      </w:r>
      <w:r w:rsidRPr="00CB3771">
        <w:rPr>
          <w:rFonts w:ascii="Times New Roman" w:hAnsi="Times New Roman" w:cs="Times New Roman"/>
          <w:sz w:val="24"/>
          <w:szCs w:val="24"/>
        </w:rPr>
        <w:lastRenderedPageBreak/>
        <w:t>mins of free access to home cage food and water to reduce novelty to the context and consuming from the ramekin and water bottles.</w:t>
      </w:r>
    </w:p>
    <w:p w14:paraId="37D9118F" w14:textId="77777777"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Locomotor activity. </w:t>
      </w:r>
      <w:r w:rsidRPr="00CB3771">
        <w:rPr>
          <w:rFonts w:ascii="Times New Roman" w:hAnsi="Times New Roman" w:cs="Times New Roman"/>
          <w:sz w:val="24"/>
          <w:szCs w:val="24"/>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1D837996"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Surgery.</w:t>
      </w:r>
      <w:r w:rsidRPr="00CB3771">
        <w:rPr>
          <w:rFonts w:ascii="Times New Roman" w:hAnsi="Times New Roman" w:cs="Times New Roman"/>
          <w:sz w:val="24"/>
          <w:szCs w:val="24"/>
        </w:rPr>
        <w:t xml:space="preserve"> Excitotoxic lesions targeting the lateral OFC were performed in experiments </w:t>
      </w:r>
      <w:r w:rsidRPr="00CB3771">
        <w:rPr>
          <w:rFonts w:ascii="Times New Roman" w:hAnsi="Times New Roman" w:cs="Times New Roman"/>
          <w:color w:val="FF0000"/>
          <w:sz w:val="24"/>
          <w:szCs w:val="24"/>
          <w:highlight w:val="yellow"/>
        </w:rPr>
        <w:t>[XYZ]</w:t>
      </w:r>
      <w:r w:rsidRPr="00CB3771">
        <w:rPr>
          <w:rFonts w:ascii="Times New Roman" w:hAnsi="Times New Roman" w:cs="Times New Roman"/>
          <w:sz w:val="24"/>
          <w:szCs w:val="24"/>
        </w:rPr>
        <w:t xml:space="preserve">.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parenchyma. A 1-µL Hamilton needle (Hamilton Company, Reno, NV, USA) was lowered through the two holes targeting the lateral OFC (co-ordinates specified below). Stereotaxic co-ordinates were AP: +3.5 mm; ML: ±2.2 mm; D-V: -5.0 mm from bregma. At each </w:t>
      </w:r>
      <w:proofErr w:type="gramStart"/>
      <w:r w:rsidRPr="00CB3771">
        <w:rPr>
          <w:rFonts w:ascii="Times New Roman" w:hAnsi="Times New Roman" w:cs="Times New Roman"/>
          <w:sz w:val="24"/>
          <w:szCs w:val="24"/>
        </w:rPr>
        <w:t>site</w:t>
      </w:r>
      <w:proofErr w:type="gramEnd"/>
      <w:r w:rsidRPr="00CB3771">
        <w:rPr>
          <w:rFonts w:ascii="Times New Roman" w:hAnsi="Times New Roman" w:cs="Times New Roman"/>
          <w:sz w:val="24"/>
          <w:szCs w:val="24"/>
        </w:rPr>
        <w:t xml:space="preserv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syringe was retracted, and the scalp cleaned and sutured. Sham lesions proceeded identically to excitotoxic lesions except that no drugs were infused during the infusion period. After a minimum of 1 week of postoperative recovery, rats were returned to food restriction for 2 days prior to further training.</w:t>
      </w:r>
    </w:p>
    <w:p w14:paraId="57DC32C7"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In experiments </w:t>
      </w:r>
      <w:r w:rsidRPr="00CB3771">
        <w:rPr>
          <w:rFonts w:ascii="Times New Roman" w:hAnsi="Times New Roman" w:cs="Times New Roman"/>
          <w:color w:val="FF0000"/>
          <w:sz w:val="24"/>
          <w:szCs w:val="24"/>
          <w:highlight w:val="yellow"/>
        </w:rPr>
        <w:t>[XYZ]</w:t>
      </w:r>
      <w:r w:rsidRPr="00CB3771">
        <w:rPr>
          <w:rFonts w:ascii="Times New Roman" w:hAnsi="Times New Roman" w:cs="Times New Roman"/>
          <w:color w:val="FF0000"/>
          <w:sz w:val="24"/>
          <w:szCs w:val="24"/>
        </w:rPr>
        <w:t xml:space="preserve"> </w:t>
      </w:r>
      <w:r w:rsidRPr="00CB3771">
        <w:rPr>
          <w:rFonts w:ascii="Times New Roman" w:hAnsi="Times New Roman" w:cs="Times New Roman"/>
          <w:sz w:val="24"/>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w:t>
      </w:r>
      <w:r w:rsidRPr="00CB3771">
        <w:rPr>
          <w:rFonts w:ascii="Times New Roman" w:hAnsi="Times New Roman" w:cs="Times New Roman"/>
          <w:sz w:val="24"/>
          <w:szCs w:val="24"/>
        </w:rPr>
        <w:lastRenderedPageBreak/>
        <w:t>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94DA7B" w14:textId="77777777"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Drugs and infusions. </w:t>
      </w:r>
      <w:r w:rsidRPr="00CB3771">
        <w:rPr>
          <w:rFonts w:ascii="Times New Roman" w:hAnsi="Times New Roman" w:cs="Times New Roman"/>
          <w:sz w:val="24"/>
          <w:szCs w:val="24"/>
        </w:rPr>
        <w:t>The GABA</w:t>
      </w:r>
      <w:r w:rsidRPr="00CB3771">
        <w:rPr>
          <w:rFonts w:ascii="Times New Roman" w:hAnsi="Times New Roman" w:cs="Times New Roman"/>
          <w:sz w:val="24"/>
          <w:szCs w:val="24"/>
          <w:vertAlign w:val="subscript"/>
        </w:rPr>
        <w:t>A</w:t>
      </w:r>
      <w:r w:rsidRPr="00CB3771">
        <w:rPr>
          <w:rFonts w:ascii="Times New Roman" w:hAnsi="Times New Roman" w:cs="Times New Roman"/>
          <w:sz w:val="24"/>
          <w:szCs w:val="24"/>
        </w:rPr>
        <w:t xml:space="preserve"> agonist muscimol (Sigma-Aldrich, Switzerland) was dissolved in 0.9% (w/v) non-pyrogenic saline to obtain a final concentration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g/0.5 </w:t>
      </w:r>
      <w:r w:rsidRPr="00CB3771">
        <w:rPr>
          <w:rFonts w:ascii="Times New Roman" w:hAnsi="Times New Roman" w:cs="Times New Roman"/>
          <w:i/>
          <w:sz w:val="24"/>
          <w:szCs w:val="24"/>
        </w:rPr>
        <w:t>μ</w:t>
      </w:r>
      <w:r w:rsidRPr="00CB3771">
        <w:rPr>
          <w:rFonts w:ascii="Times New Roman" w:hAnsi="Times New Roman" w:cs="Times New Roman"/>
          <w:sz w:val="24"/>
          <w:szCs w:val="24"/>
        </w:rPr>
        <w:t>l. Non-pyrogenic saline 0.9% (w/v) was used as the saline control.</w:t>
      </w:r>
      <w:r w:rsidRPr="00CB3771">
        <w:rPr>
          <w:rFonts w:ascii="Times New Roman" w:hAnsi="Times New Roman" w:cs="Times New Roman"/>
          <w:i/>
          <w:sz w:val="24"/>
          <w:szCs w:val="24"/>
        </w:rPr>
        <w:t xml:space="preserve"> </w:t>
      </w:r>
      <w:r w:rsidRPr="00CB3771">
        <w:rPr>
          <w:rFonts w:ascii="Times New Roman" w:hAnsi="Times New Roman" w:cs="Times New Roman"/>
          <w:sz w:val="24"/>
          <w:szCs w:val="24"/>
        </w:rPr>
        <w:t xml:space="preserve">During infusions, muscimol or saline was infused bilaterally into the lateral OFC by inserting a </w:t>
      </w:r>
      <w:proofErr w:type="gramStart"/>
      <w:r w:rsidRPr="00CB3771">
        <w:rPr>
          <w:rFonts w:ascii="Times New Roman" w:hAnsi="Times New Roman" w:cs="Times New Roman"/>
          <w:sz w:val="24"/>
          <w:szCs w:val="24"/>
        </w:rPr>
        <w:t>33 gauge</w:t>
      </w:r>
      <w:proofErr w:type="gramEnd"/>
      <w:r w:rsidRPr="00CB3771">
        <w:rPr>
          <w:rFonts w:ascii="Times New Roman" w:hAnsi="Times New Roman" w:cs="Times New Roman"/>
          <w:sz w:val="24"/>
          <w:szCs w:val="24"/>
        </w:rPr>
        <w:t xml:space="preserve"> internal cannula into the guide cannula which extended 1 mm ventral to the guide tip. The internal cannula was connected to a 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glass syringe (Hamilton Company, Reno, NV, USA) attached to a microinfusion pump (World Precision Instruments, Inc., Sarasota, FL, USA). A total volume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was delivered to each side at a rate of 0.25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l/min. The internal cannula remained in place for an additional 1 min after the infusion and then removed. During the infusion procedure animals </w:t>
      </w:r>
      <w:proofErr w:type="gramStart"/>
      <w:r w:rsidRPr="00CB3771">
        <w:rPr>
          <w:rFonts w:ascii="Times New Roman" w:hAnsi="Times New Roman" w:cs="Times New Roman"/>
          <w:sz w:val="24"/>
          <w:szCs w:val="24"/>
        </w:rPr>
        <w:t>were allowed to</w:t>
      </w:r>
      <w:proofErr w:type="gramEnd"/>
      <w:r w:rsidRPr="00CB3771">
        <w:rPr>
          <w:rFonts w:ascii="Times New Roman" w:hAnsi="Times New Roman" w:cs="Times New Roman"/>
          <w:sz w:val="24"/>
          <w:szCs w:val="24"/>
        </w:rPr>
        <w:t xml:space="preserve">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w:t>
      </w:r>
      <w:proofErr w:type="spellStart"/>
      <w:r w:rsidRPr="00CB3771">
        <w:rPr>
          <w:rFonts w:ascii="Times New Roman" w:hAnsi="Times New Roman" w:cs="Times New Roman"/>
          <w:sz w:val="24"/>
          <w:szCs w:val="24"/>
        </w:rPr>
        <w:t>minimise</w:t>
      </w:r>
      <w:proofErr w:type="spellEnd"/>
      <w:r w:rsidRPr="00CB3771">
        <w:rPr>
          <w:rFonts w:ascii="Times New Roman" w:hAnsi="Times New Roman" w:cs="Times New Roman"/>
          <w:sz w:val="24"/>
          <w:szCs w:val="24"/>
        </w:rPr>
        <w:t xml:space="preserve"> differences in handling between experimental stages. </w:t>
      </w:r>
    </w:p>
    <w:p w14:paraId="2A8E6086"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Reinforcers</w:t>
      </w:r>
      <w:r w:rsidRPr="00CB3771">
        <w:rPr>
          <w:rFonts w:ascii="Times New Roman" w:hAnsi="Times New Roman" w:cs="Times New Roman"/>
          <w:b/>
          <w:sz w:val="24"/>
          <w:szCs w:val="24"/>
        </w:rPr>
        <w:t xml:space="preserve">. </w:t>
      </w:r>
      <w:r w:rsidRPr="00CB3771">
        <w:rPr>
          <w:rFonts w:ascii="Times New Roman" w:hAnsi="Times New Roman" w:cs="Times New Roman"/>
          <w:sz w:val="24"/>
          <w:szCs w:val="24"/>
        </w:rPr>
        <w:t xml:space="preserve">The reinforcers used were a single grain pellet (45 mg dustless precision grain-based </w:t>
      </w:r>
      <w:proofErr w:type="gramStart"/>
      <w:r w:rsidRPr="00CB3771">
        <w:rPr>
          <w:rFonts w:ascii="Times New Roman" w:hAnsi="Times New Roman" w:cs="Times New Roman"/>
          <w:sz w:val="24"/>
          <w:szCs w:val="24"/>
        </w:rPr>
        <w:t>pellets;</w:t>
      </w:r>
      <w:proofErr w:type="gramEnd"/>
      <w:r w:rsidRPr="00CB3771">
        <w:rPr>
          <w:rFonts w:ascii="Times New Roman" w:hAnsi="Times New Roman" w:cs="Times New Roman"/>
          <w:sz w:val="24"/>
          <w:szCs w:val="24"/>
        </w:rPr>
        <w:t xml:space="preserve"> Bio-serv, Frenchtown, NJ, USA), 20% w/v sucrose solution and 20% w/v maltodextrin solution (Myopure, </w:t>
      </w:r>
      <w:proofErr w:type="spellStart"/>
      <w:r w:rsidRPr="00CB3771">
        <w:rPr>
          <w:rFonts w:ascii="Times New Roman" w:hAnsi="Times New Roman" w:cs="Times New Roman"/>
          <w:sz w:val="24"/>
          <w:szCs w:val="24"/>
        </w:rPr>
        <w:t>Petersham</w:t>
      </w:r>
      <w:proofErr w:type="spellEnd"/>
      <w:r w:rsidRPr="00CB3771">
        <w:rPr>
          <w:rFonts w:ascii="Times New Roman" w:hAnsi="Times New Roman" w:cs="Times New Roman"/>
          <w:sz w:val="24"/>
          <w:szCs w:val="24"/>
        </w:rPr>
        <w:t xml:space="preserve">, NSW, Australia). Liquid reinforcers were </w:t>
      </w:r>
      <w:proofErr w:type="spellStart"/>
      <w:r w:rsidRPr="00CB3771">
        <w:rPr>
          <w:rFonts w:ascii="Times New Roman" w:hAnsi="Times New Roman" w:cs="Times New Roman"/>
          <w:sz w:val="24"/>
          <w:szCs w:val="24"/>
        </w:rPr>
        <w:t>flavoured</w:t>
      </w:r>
      <w:proofErr w:type="spellEnd"/>
      <w:r w:rsidRPr="00CB3771">
        <w:rPr>
          <w:rFonts w:ascii="Times New Roman" w:hAnsi="Times New Roman" w:cs="Times New Roman"/>
          <w:sz w:val="24"/>
          <w:szCs w:val="24"/>
        </w:rPr>
        <w:t xml:space="preserve"> with either 0.4% v/v concentrated lemon juice (Berri, Melbourne, Victoria, Australia) or 0.2% v/v peppermint extract (Queen Fine Foods, Alderley, QLD, Australia) to provide unique sensory properties to each reinforcer. Liquids were delivered over a period of 0.33 s via a peristaltic pump which corresponded to a volume of 0.2 mL. The volume and concentration of liquid reinforcers was chosen to match the calorific value of the corresponding grain pellet reward and have been found to elicit similar rates of Pavlovian and instrumental responding as a pellet </w:t>
      </w:r>
      <w:r w:rsidRPr="00CB3771">
        <w:rPr>
          <w:rFonts w:ascii="Times New Roman" w:hAnsi="Times New Roman" w:cs="Times New Roman"/>
          <w:sz w:val="24"/>
          <w:szCs w:val="24"/>
        </w:rPr>
        <w:lastRenderedPageBreak/>
        <w:t>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3319C53B"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i/>
          <w:sz w:val="24"/>
          <w:szCs w:val="24"/>
        </w:rPr>
        <w:t xml:space="preserve">Magazine training. </w:t>
      </w:r>
      <w:r w:rsidRPr="00CB3771">
        <w:rPr>
          <w:rFonts w:ascii="Times New Roman" w:hAnsi="Times New Roman" w:cs="Times New Roman"/>
          <w:sz w:val="24"/>
          <w:szCs w:val="24"/>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7EB02605" w14:textId="77777777" w:rsidR="006B4DE6" w:rsidRPr="00CB3771" w:rsidRDefault="006B4DE6" w:rsidP="006B4DE6">
      <w:pPr>
        <w:spacing w:line="360" w:lineRule="auto"/>
        <w:rPr>
          <w:rFonts w:ascii="Times New Roman" w:hAnsi="Times New Roman" w:cs="Times New Roman"/>
          <w:i/>
          <w:sz w:val="24"/>
          <w:szCs w:val="24"/>
        </w:rPr>
      </w:pPr>
      <w:r w:rsidRPr="00CB3771">
        <w:rPr>
          <w:rFonts w:ascii="Times New Roman" w:hAnsi="Times New Roman" w:cs="Times New Roman"/>
          <w:i/>
          <w:sz w:val="24"/>
          <w:szCs w:val="24"/>
        </w:rPr>
        <w:t xml:space="preserve">Behaviour. </w:t>
      </w:r>
      <w:r w:rsidRPr="00CB3771">
        <w:rPr>
          <w:rFonts w:ascii="Times New Roman" w:hAnsi="Times New Roman" w:cs="Times New Roman"/>
          <w:sz w:val="24"/>
          <w:szCs w:val="24"/>
        </w:rPr>
        <w:t xml:space="preserve">CS responding was operationalized as the number of magazine entries during the CS period. PreCS responding was operationalized as the frequency of responding during the immediately preceding the CS </w:t>
      </w:r>
      <w:proofErr w:type="gramStart"/>
      <w:r w:rsidRPr="00CB3771">
        <w:rPr>
          <w:rFonts w:ascii="Times New Roman" w:hAnsi="Times New Roman" w:cs="Times New Roman"/>
          <w:sz w:val="24"/>
          <w:szCs w:val="24"/>
        </w:rPr>
        <w:t>period, and</w:t>
      </w:r>
      <w:proofErr w:type="gramEnd"/>
      <w:r w:rsidRPr="00CB3771">
        <w:rPr>
          <w:rFonts w:ascii="Times New Roman" w:hAnsi="Times New Roman" w:cs="Times New Roman"/>
          <w:sz w:val="24"/>
          <w:szCs w:val="24"/>
        </w:rPr>
        <w:t xml:space="preserve"> was used as a measure of baseline responding to the testing context. PreCS responding was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separately, and any group differences identified and reported. Data were presented as CS – PreCS difference scores, which reflect discriminative responding to the CS. All data were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with mixed ANOVAs using SPSS statistical software (</w:t>
      </w:r>
      <w:r w:rsidRPr="00CB3771">
        <w:rPr>
          <w:rFonts w:ascii="Times New Roman" w:hAnsi="Times New Roman" w:cs="Times New Roman"/>
          <w:sz w:val="24"/>
          <w:szCs w:val="24"/>
          <w:highlight w:val="yellow"/>
        </w:rPr>
        <w:t>REFERENCE</w:t>
      </w:r>
      <w:r w:rsidRPr="00CB3771">
        <w:rPr>
          <w:rFonts w:ascii="Times New Roman" w:hAnsi="Times New Roman" w:cs="Times New Roman"/>
          <w:sz w:val="24"/>
          <w:szCs w:val="24"/>
        </w:rPr>
        <w:t>), and significant interactions of interest were followed u</w:t>
      </w:r>
      <w:r>
        <w:rPr>
          <w:rFonts w:ascii="Times New Roman" w:hAnsi="Times New Roman" w:cs="Times New Roman"/>
          <w:sz w:val="24"/>
          <w:szCs w:val="24"/>
        </w:rPr>
        <w:t>p</w:t>
      </w:r>
      <w:r w:rsidRPr="00CB3771">
        <w:rPr>
          <w:rFonts w:ascii="Times New Roman" w:hAnsi="Times New Roman" w:cs="Times New Roman"/>
          <w:sz w:val="24"/>
          <w:szCs w:val="24"/>
        </w:rPr>
        <w:t xml:space="preserve"> with ANOVAs on the relevant subset of data. Following significant omnibus ANOVA tests, in addition to simple effects, planned linear and quadratic orthogonal trend contrasts and their interactions between groups were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to assess differences in rates of responding.</w:t>
      </w:r>
    </w:p>
    <w:p w14:paraId="46AF99DB" w14:textId="77777777" w:rsidR="006B4DE6" w:rsidRPr="00CB3771" w:rsidRDefault="006B4DE6" w:rsidP="006B4DE6">
      <w:pPr>
        <w:spacing w:line="360" w:lineRule="auto"/>
        <w:jc w:val="center"/>
        <w:rPr>
          <w:rFonts w:ascii="Times New Roman" w:hAnsi="Times New Roman" w:cs="Times New Roman"/>
          <w:b/>
          <w:sz w:val="24"/>
          <w:szCs w:val="24"/>
        </w:rPr>
      </w:pPr>
      <w:r w:rsidRPr="00CB3771">
        <w:rPr>
          <w:rFonts w:ascii="Times New Roman" w:hAnsi="Times New Roman" w:cs="Times New Roman"/>
          <w:b/>
          <w:sz w:val="24"/>
          <w:szCs w:val="24"/>
        </w:rPr>
        <w:t>Experiment 1: Acquisition with Pre-training lesions</w:t>
      </w:r>
    </w:p>
    <w:p w14:paraId="59AE5321" w14:textId="77777777" w:rsidR="006B4DE6" w:rsidRPr="00CB3771" w:rsidRDefault="006B4DE6" w:rsidP="006B4DE6">
      <w:pPr>
        <w:spacing w:after="240" w:line="360" w:lineRule="auto"/>
        <w:rPr>
          <w:rFonts w:ascii="Times New Roman" w:hAnsi="Times New Roman" w:cs="Times New Roman"/>
          <w:b/>
          <w:sz w:val="24"/>
          <w:szCs w:val="24"/>
        </w:rPr>
      </w:pPr>
      <w:r w:rsidRPr="00CB3771">
        <w:rPr>
          <w:rFonts w:ascii="Times New Roman" w:hAnsi="Times New Roman" w:cs="Times New Roman"/>
          <w:b/>
          <w:sz w:val="24"/>
          <w:szCs w:val="24"/>
        </w:rPr>
        <w:t>Subjects.</w:t>
      </w:r>
    </w:p>
    <w:p w14:paraId="0FB7FA66"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Subjects were forty-eight (N = 48) rats, tested in two cohorts. Cohort 1, n = 16 rats weighing between 280-361 g (M = 312.2 g) and cohort 2, n = 32 rats weighing between 271-328 g (M = 296.3 g). </w:t>
      </w:r>
    </w:p>
    <w:p w14:paraId="200DD3A1" w14:textId="77777777" w:rsidR="006B4DE6" w:rsidRPr="00CB3771" w:rsidRDefault="006B4DE6" w:rsidP="006B4DE6">
      <w:pPr>
        <w:pStyle w:val="2Marioslevel2"/>
        <w:rPr>
          <w:szCs w:val="24"/>
        </w:rPr>
      </w:pPr>
      <w:bookmarkStart w:id="1" w:name="_Toc417304981"/>
      <w:r w:rsidRPr="00CB3771">
        <w:rPr>
          <w:szCs w:val="24"/>
        </w:rPr>
        <w:t>Training</w:t>
      </w:r>
      <w:bookmarkEnd w:id="1"/>
    </w:p>
    <w:p w14:paraId="4D7C8049" w14:textId="77777777" w:rsidR="006B4DE6" w:rsidRPr="00CB3771" w:rsidRDefault="006B4DE6" w:rsidP="006B4DE6">
      <w:pPr>
        <w:pStyle w:val="3MariosLevel3"/>
      </w:pPr>
      <w:bookmarkStart w:id="2" w:name="_Toc417304984"/>
      <w:r w:rsidRPr="00CB3771">
        <w:t>Pavlovian Acquisition</w:t>
      </w:r>
      <w:bookmarkEnd w:id="2"/>
    </w:p>
    <w:p w14:paraId="3C523E39"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lastRenderedPageBreak/>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3" w:name="_Toc417304985"/>
    </w:p>
    <w:p w14:paraId="3A29D20C" w14:textId="77777777" w:rsidR="006B4DE6" w:rsidRPr="00CB3771" w:rsidRDefault="006B4DE6" w:rsidP="006B4DE6">
      <w:pPr>
        <w:pStyle w:val="3MariosLevel3"/>
      </w:pPr>
      <w:r w:rsidRPr="00CB3771">
        <w:t>Subgroup 1: General Satiety Pre-Feeding</w:t>
      </w:r>
      <w:bookmarkEnd w:id="3"/>
    </w:p>
    <w:p w14:paraId="716BD8D1" w14:textId="77777777" w:rsidR="006B4DE6" w:rsidRPr="00CB3771" w:rsidRDefault="006B4DE6" w:rsidP="006B4DE6">
      <w:pPr>
        <w:pStyle w:val="NormalWeb"/>
        <w:spacing w:before="0" w:beforeAutospacing="0" w:after="0" w:afterAutospacing="0" w:line="360" w:lineRule="auto"/>
        <w:rPr>
          <w:color w:val="000000"/>
        </w:rPr>
      </w:pPr>
      <w:r w:rsidRPr="00CB3771">
        <w:rPr>
          <w:color w:val="000000"/>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5169CE8C" w14:textId="77777777" w:rsidR="006B4DE6" w:rsidRPr="00CB3771" w:rsidRDefault="006B4DE6" w:rsidP="006B4DE6">
      <w:pPr>
        <w:pStyle w:val="NormalWeb"/>
        <w:spacing w:before="0" w:beforeAutospacing="0" w:after="0" w:afterAutospacing="0" w:line="360" w:lineRule="auto"/>
      </w:pPr>
    </w:p>
    <w:p w14:paraId="6325BE2E" w14:textId="77777777" w:rsidR="006B4DE6" w:rsidRPr="00CB3771" w:rsidRDefault="006B4DE6" w:rsidP="006B4DE6">
      <w:pPr>
        <w:spacing w:after="240" w:line="360" w:lineRule="auto"/>
        <w:rPr>
          <w:rFonts w:ascii="Times New Roman" w:hAnsi="Times New Roman" w:cs="Times New Roman"/>
          <w:b/>
          <w:i/>
          <w:sz w:val="24"/>
          <w:szCs w:val="24"/>
        </w:rPr>
      </w:pPr>
      <w:r w:rsidRPr="00CB3771">
        <w:rPr>
          <w:rFonts w:ascii="Times New Roman" w:hAnsi="Times New Roman" w:cs="Times New Roman"/>
          <w:sz w:val="24"/>
          <w:szCs w:val="24"/>
        </w:rPr>
        <w:tab/>
      </w:r>
      <w:r w:rsidRPr="00CB3771">
        <w:rPr>
          <w:rFonts w:ascii="Times New Roman" w:hAnsi="Times New Roman" w:cs="Times New Roman"/>
          <w:b/>
          <w:i/>
          <w:sz w:val="24"/>
          <w:szCs w:val="24"/>
        </w:rPr>
        <w:t xml:space="preserve">Subgroup 2: Devaluation </w:t>
      </w:r>
    </w:p>
    <w:p w14:paraId="39FDC513"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Following initial Pavlovian acquisition of a single CS-US association, a subgroup of animals (sham n = 8, lesion n = 8) were re-trained with two novel unique CS-US associations intended to test devaluation in a taste aversion procedure.</w:t>
      </w:r>
    </w:p>
    <w:p w14:paraId="577E45FD" w14:textId="77777777" w:rsidR="006B4DE6" w:rsidRPr="00CB3771" w:rsidRDefault="006B4DE6" w:rsidP="006B4DE6">
      <w:pPr>
        <w:pStyle w:val="3MariosLevel3"/>
      </w:pPr>
      <w:bookmarkStart w:id="4" w:name="_Toc417305005"/>
      <w:r w:rsidRPr="00CB3771">
        <w:t>Novel Acquisition</w:t>
      </w:r>
      <w:bookmarkEnd w:id="4"/>
    </w:p>
    <w:p w14:paraId="224FDDD1"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Novel acquisition of two unique CS-US associations was conducted with identical parameters to initial acquisition training</w:t>
      </w:r>
      <w:bookmarkStart w:id="5" w:name="OLE_LINK2"/>
      <w:r w:rsidRPr="00CB3771">
        <w:rPr>
          <w:rFonts w:ascii="Times New Roman" w:hAnsi="Times New Roman" w:cs="Times New Roman"/>
          <w:sz w:val="24"/>
          <w:szCs w:val="24"/>
        </w:rPr>
        <w:t>, 2 session per day for 14 days</w:t>
      </w:r>
      <w:bookmarkEnd w:id="5"/>
      <w:r w:rsidRPr="00CB3771">
        <w:rPr>
          <w:rFonts w:ascii="Times New Roman" w:hAnsi="Times New Roman" w:cs="Times New Roman"/>
          <w:sz w:val="24"/>
          <w:szCs w:val="24"/>
        </w:rPr>
        <w:t>, each session consisting of 16 trials consisting of a 15s CS co-terminating with reward with a vITI90s. Unlike initial acquisition the two CSs were an 80dB white noise and a 2800 Hz, 80 dB tone followed by either a single pellet or 20% w/v maltodextrin liquid (CS-US identities counterbalanced between animals).</w:t>
      </w:r>
    </w:p>
    <w:p w14:paraId="6CFD6BC5" w14:textId="77777777" w:rsidR="006B4DE6" w:rsidRPr="00CB3771" w:rsidRDefault="006B4DE6" w:rsidP="006B4DE6">
      <w:pPr>
        <w:pStyle w:val="3MariosLevel3"/>
      </w:pPr>
      <w:bookmarkStart w:id="6" w:name="_Toc417305006"/>
      <w:r w:rsidRPr="00CB3771">
        <w:t>Taste Aversion</w:t>
      </w:r>
      <w:bookmarkEnd w:id="6"/>
    </w:p>
    <w:p w14:paraId="511C6465"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 xml:space="preserve">Taste aversion took place in the devaluation chambers and involved 30 mins exposure to one US every day, alternating each day for 4 days. Following fee access to a </w:t>
      </w:r>
      <w:proofErr w:type="gramStart"/>
      <w:r w:rsidRPr="00CB3771">
        <w:rPr>
          <w:rFonts w:ascii="Times New Roman" w:hAnsi="Times New Roman" w:cs="Times New Roman"/>
          <w:sz w:val="24"/>
          <w:szCs w:val="24"/>
        </w:rPr>
        <w:t>US animals</w:t>
      </w:r>
      <w:proofErr w:type="gramEnd"/>
      <w:r w:rsidRPr="00CB3771">
        <w:rPr>
          <w:rFonts w:ascii="Times New Roman" w:hAnsi="Times New Roman" w:cs="Times New Roman"/>
          <w:sz w:val="24"/>
          <w:szCs w:val="24"/>
        </w:rPr>
        <w:t xml:space="preserve"> were immediately injected </w:t>
      </w:r>
      <w:proofErr w:type="spellStart"/>
      <w:r w:rsidRPr="00CB3771">
        <w:rPr>
          <w:rFonts w:ascii="Times New Roman" w:hAnsi="Times New Roman" w:cs="Times New Roman"/>
          <w:sz w:val="24"/>
          <w:szCs w:val="24"/>
        </w:rPr>
        <w:t>i.p.</w:t>
      </w:r>
      <w:proofErr w:type="spellEnd"/>
      <w:r w:rsidRPr="00CB3771">
        <w:rPr>
          <w:rFonts w:ascii="Times New Roman" w:hAnsi="Times New Roman" w:cs="Times New Roman"/>
          <w:sz w:val="24"/>
          <w:szCs w:val="24"/>
        </w:rPr>
        <w:t xml:space="preserve"> with either 0.15M LiCl or 0.9% saline (15 mL/Kg). The outcome paired with nausea induced by injection of LiCl was designated the devalued outcome and the </w:t>
      </w:r>
      <w:r w:rsidRPr="00CB3771">
        <w:rPr>
          <w:rFonts w:ascii="Times New Roman" w:hAnsi="Times New Roman" w:cs="Times New Roman"/>
          <w:sz w:val="24"/>
          <w:szCs w:val="24"/>
        </w:rPr>
        <w:lastRenderedPageBreak/>
        <w:t>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49444C09" w14:textId="77777777" w:rsidR="006B4DE6" w:rsidRPr="00CB3771" w:rsidRDefault="006B4DE6" w:rsidP="006B4DE6">
      <w:pPr>
        <w:pStyle w:val="3MariosLevel3"/>
      </w:pPr>
      <w:bookmarkStart w:id="7" w:name="_Toc417305007"/>
      <w:r w:rsidRPr="00CB3771">
        <w:t>Devaluation Test</w:t>
      </w:r>
      <w:bookmarkEnd w:id="7"/>
    </w:p>
    <w:p w14:paraId="5C25CAD6"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 xml:space="preserve">Animals were tested with a single session of CS training except that no rewards were delivered i.e. in extinction. The magazine frequency measure that was available was not as sensitive to devaluation as a measure of duration, so only data from the first trial was </w:t>
      </w:r>
      <w:proofErr w:type="spellStart"/>
      <w:r w:rsidRPr="00CB3771">
        <w:rPr>
          <w:rFonts w:ascii="Times New Roman" w:hAnsi="Times New Roman" w:cs="Times New Roman"/>
          <w:sz w:val="24"/>
          <w:szCs w:val="24"/>
        </w:rPr>
        <w:t>analysed</w:t>
      </w:r>
      <w:proofErr w:type="spellEnd"/>
      <w:r w:rsidRPr="00CB3771">
        <w:rPr>
          <w:rFonts w:ascii="Times New Roman" w:hAnsi="Times New Roman" w:cs="Times New Roman"/>
          <w:sz w:val="24"/>
          <w:szCs w:val="24"/>
        </w:rPr>
        <w:t xml:space="preserve"> at test.</w:t>
      </w:r>
    </w:p>
    <w:p w14:paraId="30E35E37" w14:textId="77777777" w:rsidR="006B4DE6" w:rsidRPr="00CB3771" w:rsidRDefault="006B4DE6" w:rsidP="006B4DE6">
      <w:pPr>
        <w:pStyle w:val="3MariosLevel3"/>
      </w:pPr>
      <w:bookmarkStart w:id="8" w:name="_Toc417304986"/>
      <w:r w:rsidRPr="00CB3771">
        <w:t>Locomotor Activity</w:t>
      </w:r>
      <w:bookmarkEnd w:id="8"/>
    </w:p>
    <w:p w14:paraId="1DA24218" w14:textId="77777777" w:rsidR="006B4DE6" w:rsidRPr="00CB3771" w:rsidRDefault="006B4DE6" w:rsidP="006B4DE6">
      <w:pPr>
        <w:pStyle w:val="3MariosLevel3"/>
        <w:ind w:left="0"/>
      </w:pPr>
      <w:r w:rsidRPr="00CB3771">
        <w:rPr>
          <w:b w:val="0"/>
          <w:i w:val="0"/>
        </w:rPr>
        <w:t>At the end of the experimental procedures, all animals were assessed for locomotor activity over a 1-hour period.</w:t>
      </w:r>
      <w:r w:rsidRPr="00CB3771">
        <w:t xml:space="preserve"> </w:t>
      </w:r>
    </w:p>
    <w:p w14:paraId="74CE4B96"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Group Allocation</w:t>
      </w:r>
    </w:p>
    <w:p w14:paraId="2936B487" w14:textId="77777777"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in Figure </w:t>
      </w:r>
      <w:r w:rsidRPr="00CB3771">
        <w:rPr>
          <w:rFonts w:ascii="Times New Roman" w:eastAsia="Calibri" w:hAnsi="Times New Roman" w:cs="Times New Roman"/>
          <w:color w:val="000000"/>
          <w:sz w:val="24"/>
          <w:szCs w:val="24"/>
          <w:highlight w:val="yellow"/>
          <w:lang w:val="en-AU"/>
        </w:rPr>
        <w:t>XXX</w:t>
      </w:r>
      <w:r w:rsidRPr="00CB3771">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sz w:val="24"/>
          <w:szCs w:val="24"/>
          <w:lang w:val="en-AU"/>
        </w:rPr>
        <w:t xml:space="preserve">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15;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7) and subgroup 2 contained thirteen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5).</w:t>
      </w:r>
    </w:p>
    <w:p w14:paraId="32B85C69" w14:textId="77777777" w:rsidR="006B4DE6" w:rsidRPr="00CB3771" w:rsidRDefault="006B4DE6" w:rsidP="006B4DE6">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PreCS Analysis</w:t>
      </w:r>
    </w:p>
    <w:p w14:paraId="65BDF8EA" w14:textId="77777777" w:rsidR="006B4DE6" w:rsidRPr="00CB3771" w:rsidRDefault="006B4DE6" w:rsidP="006B4DE6">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Analysis of the PreCS period using a Group (sham, lesion) x Block (1-7) mixed ANOVA revealed that responding was significantly higher in the lesion group than the sham group (main effect of Group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7.24,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.01). Furthermore, while responding increased over blocks (main effect of Block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20.37,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positive linear trend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33.18,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w:t>
      </w:r>
      <w:r w:rsidRPr="00CB3771">
        <w:rPr>
          <w:rFonts w:ascii="Times New Roman" w:eastAsia="Times New Roman" w:hAnsi="Times New Roman" w:cs="Times New Roman"/>
          <w:color w:val="000000"/>
          <w:sz w:val="24"/>
          <w:szCs w:val="24"/>
          <w:lang w:eastAsia="en-AU"/>
        </w:rPr>
        <w:lastRenderedPageBreak/>
        <w:t xml:space="preserve">this increase was greater in the lesion than the sham group (Block x Group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2.52,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.02; linear trend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5.34,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.03). During the first block PreCS responding was similar between groups (Sham M = 2.07, SD = 0.60; Lesion M = 2.13, SD = 0.90), by the final block PreCS responding was higher in the Lesion group (M = 4.30, SD = 1.95) than the sham group (M = 2.76, SD = 2.30).</w:t>
      </w:r>
    </w:p>
    <w:p w14:paraId="440321DE" w14:textId="77777777" w:rsidR="006B4DE6" w:rsidRPr="00CB3771" w:rsidRDefault="006B4DE6" w:rsidP="006B4DE6">
      <w:pPr>
        <w:spacing w:line="360" w:lineRule="auto"/>
        <w:rPr>
          <w:rFonts w:ascii="Times New Roman" w:eastAsia="Times New Roman" w:hAnsi="Times New Roman" w:cs="Times New Roman"/>
          <w:sz w:val="24"/>
          <w:szCs w:val="24"/>
          <w:lang w:eastAsia="en-AU"/>
        </w:rPr>
      </w:pPr>
    </w:p>
    <w:p w14:paraId="47371AF6" w14:textId="77777777" w:rsidR="006B4DE6" w:rsidRPr="00CB3771" w:rsidRDefault="006B4DE6" w:rsidP="006B4DE6">
      <w:pPr>
        <w:spacing w:line="360" w:lineRule="auto"/>
        <w:rPr>
          <w:rFonts w:ascii="Times New Roman" w:eastAsia="Times New Roman" w:hAnsi="Times New Roman" w:cs="Times New Roman"/>
          <w:color w:val="000000"/>
          <w:sz w:val="24"/>
          <w:szCs w:val="24"/>
          <w:lang w:eastAsia="en-AU"/>
        </w:rPr>
      </w:pPr>
    </w:p>
    <w:p w14:paraId="28123CFD"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Experiment 2: Acquisition with Muscimol Inactivation</w:t>
      </w:r>
    </w:p>
    <w:p w14:paraId="5EBA85C8"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bookmarkStart w:id="9" w:name="_Toc417305020"/>
      <w:r w:rsidRPr="00CB3771">
        <w:rPr>
          <w:rFonts w:ascii="Times New Roman" w:eastAsia="Calibri" w:hAnsi="Times New Roman" w:cs="Times New Roman"/>
          <w:b/>
          <w:color w:val="000000"/>
          <w:sz w:val="24"/>
          <w:szCs w:val="24"/>
          <w:lang w:val="en-AU"/>
        </w:rPr>
        <w:t>Subjects</w:t>
      </w:r>
      <w:bookmarkEnd w:id="9"/>
    </w:p>
    <w:p w14:paraId="34AB3BA0" w14:textId="77777777"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thirty-two (total N = 32) male Long Evans rats (Monash Animal Services, Gippsland, Victoria, Australia) approximately 4 months old, weighing </w:t>
      </w:r>
      <w:proofErr w:type="gramStart"/>
      <w:r w:rsidRPr="00CB3771">
        <w:rPr>
          <w:rFonts w:ascii="Times New Roman" w:eastAsia="Calibri" w:hAnsi="Times New Roman" w:cs="Times New Roman"/>
          <w:color w:val="000000"/>
          <w:sz w:val="24"/>
          <w:szCs w:val="24"/>
          <w:lang w:val="en-AU"/>
        </w:rPr>
        <w:t>between  285</w:t>
      </w:r>
      <w:proofErr w:type="gramEnd"/>
      <w:r w:rsidRPr="00CB3771">
        <w:rPr>
          <w:rFonts w:ascii="Times New Roman" w:eastAsia="Calibri" w:hAnsi="Times New Roman" w:cs="Times New Roman"/>
          <w:color w:val="000000"/>
          <w:sz w:val="24"/>
          <w:szCs w:val="24"/>
          <w:lang w:val="en-AU"/>
        </w:rPr>
        <w:t>-350 g (M = 319.7 g).</w:t>
      </w:r>
    </w:p>
    <w:p w14:paraId="281B272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0" w:name="_Toc417305025"/>
      <w:r w:rsidRPr="00CB3771">
        <w:rPr>
          <w:rFonts w:ascii="Times New Roman" w:eastAsia="Times New Roman" w:hAnsi="Times New Roman" w:cs="Times New Roman"/>
          <w:b/>
          <w:i/>
          <w:color w:val="000000"/>
          <w:sz w:val="24"/>
          <w:szCs w:val="24"/>
          <w:lang w:val="en-AU"/>
        </w:rPr>
        <w:t>Pavlovian Acquisition</w:t>
      </w:r>
      <w:bookmarkEnd w:id="10"/>
    </w:p>
    <w:p w14:paraId="34BA5F6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9</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of Pavlovian acquisition training with session parameters identical to those described in Experiment 3a. This number of session was chosen because the effect of pre-training lesions appeared after around 9 session in Experiments 3a and 3b.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6CEA065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1" w:name="_Toc417305026"/>
      <w:r w:rsidRPr="00CB3771">
        <w:rPr>
          <w:rFonts w:ascii="Times New Roman" w:eastAsia="Calibri" w:hAnsi="Times New Roman" w:cs="Times New Roman"/>
          <w:b/>
          <w:color w:val="000000"/>
          <w:sz w:val="24"/>
          <w:szCs w:val="24"/>
          <w:lang w:val="en-AU"/>
        </w:rPr>
        <w:t>Post-Training</w:t>
      </w:r>
      <w:bookmarkEnd w:id="11"/>
    </w:p>
    <w:p w14:paraId="690347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2" w:name="_Toc417305027"/>
      <w:r w:rsidRPr="00CB3771">
        <w:rPr>
          <w:rFonts w:ascii="Times New Roman" w:eastAsia="Times New Roman" w:hAnsi="Times New Roman" w:cs="Times New Roman"/>
          <w:b/>
          <w:i/>
          <w:color w:val="000000"/>
          <w:sz w:val="24"/>
          <w:szCs w:val="24"/>
          <w:lang w:val="en-AU"/>
        </w:rPr>
        <w:t>Pre-Infusion</w:t>
      </w:r>
      <w:bookmarkEnd w:id="12"/>
    </w:p>
    <w:p w14:paraId="3DCF3D8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52784141"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3" w:name="_Toc417305028"/>
      <w:r w:rsidRPr="00CB3771">
        <w:rPr>
          <w:rFonts w:ascii="Times New Roman" w:eastAsia="Times New Roman" w:hAnsi="Times New Roman" w:cs="Times New Roman"/>
          <w:b/>
          <w:i/>
          <w:color w:val="000000"/>
          <w:sz w:val="24"/>
          <w:szCs w:val="24"/>
          <w:lang w:val="en-AU"/>
        </w:rPr>
        <w:t>Infusion</w:t>
      </w:r>
      <w:bookmarkEnd w:id="13"/>
    </w:p>
    <w:p w14:paraId="6A6C32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3EB9A6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4" w:name="_Toc417305029"/>
      <w:r w:rsidRPr="00CB3771">
        <w:rPr>
          <w:rFonts w:ascii="Times New Roman" w:eastAsia="Times New Roman" w:hAnsi="Times New Roman" w:cs="Times New Roman"/>
          <w:b/>
          <w:i/>
          <w:color w:val="000000"/>
          <w:sz w:val="24"/>
          <w:szCs w:val="24"/>
          <w:lang w:val="en-AU"/>
        </w:rPr>
        <w:t>Post-Infusion</w:t>
      </w:r>
      <w:bookmarkEnd w:id="14"/>
    </w:p>
    <w:p w14:paraId="108F1A2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the final 2 days of training all animals received a further 2 days of acquisition training immediately preceded by a dummy infusion.</w:t>
      </w:r>
    </w:p>
    <w:p w14:paraId="5CEA9DC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5" w:name="_Toc417305032"/>
      <w:r w:rsidRPr="00CB3771">
        <w:rPr>
          <w:rFonts w:ascii="Times New Roman" w:eastAsia="Calibri" w:hAnsi="Times New Roman" w:cs="Times New Roman"/>
          <w:b/>
          <w:color w:val="000000"/>
          <w:sz w:val="24"/>
          <w:szCs w:val="24"/>
          <w:lang w:val="en-AU"/>
        </w:rPr>
        <w:t>Histology and Group Allocation</w:t>
      </w:r>
      <w:bookmarkEnd w:id="15"/>
    </w:p>
    <w:p w14:paraId="2FB4FA06" w14:textId="77777777"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in (</w:t>
      </w:r>
      <w:r w:rsidRPr="00CB3771">
        <w:rPr>
          <w:rFonts w:ascii="Times New Roman" w:eastAsia="Calibri" w:hAnsi="Times New Roman" w:cs="Times New Roman"/>
          <w:sz w:val="24"/>
          <w:szCs w:val="24"/>
          <w:highlight w:val="yellow"/>
          <w:lang w:val="en-AU"/>
        </w:rPr>
        <w:t>Figure X</w:t>
      </w:r>
      <w:r w:rsidRPr="00CB3771">
        <w:rPr>
          <w:rFonts w:ascii="Times New Roman" w:eastAsia="Calibri" w:hAnsi="Times New Roman" w:cs="Times New Roman"/>
          <w:sz w:val="24"/>
          <w:szCs w:val="24"/>
          <w:lang w:val="en-AU"/>
        </w:rPr>
        <w:t xml:space="preserve">). One animal </w:t>
      </w:r>
      <w:r w:rsidRPr="00CB3771">
        <w:rPr>
          <w:rFonts w:ascii="Times New Roman" w:eastAsia="Calibri" w:hAnsi="Times New Roman" w:cs="Times New Roman"/>
          <w:color w:val="000000"/>
          <w:sz w:val="24"/>
          <w:szCs w:val="24"/>
          <w:lang w:val="en-AU"/>
        </w:rPr>
        <w:t xml:space="preserve">did not recover from surgery and was excluded. Three animals were excluded </w:t>
      </w:r>
      <w:proofErr w:type="gramStart"/>
      <w:r w:rsidRPr="00CB3771">
        <w:rPr>
          <w:rFonts w:ascii="Times New Roman" w:eastAsia="Calibri" w:hAnsi="Times New Roman" w:cs="Times New Roman"/>
          <w:color w:val="000000"/>
          <w:sz w:val="24"/>
          <w:szCs w:val="24"/>
          <w:lang w:val="en-AU"/>
        </w:rPr>
        <w:t>as a result of</w:t>
      </w:r>
      <w:proofErr w:type="gramEnd"/>
      <w:r w:rsidRPr="00CB3771">
        <w:rPr>
          <w:rFonts w:ascii="Times New Roman" w:eastAsia="Calibri" w:hAnsi="Times New Roman" w:cs="Times New Roman"/>
          <w:color w:val="000000"/>
          <w:sz w:val="24"/>
          <w:szCs w:val="24"/>
          <w:lang w:val="en-AU"/>
        </w:rPr>
        <w:t xml:space="preserve"> the cannulae assembly detaching from the skull. A further 3 animals were excluded </w:t>
      </w:r>
      <w:proofErr w:type="gramStart"/>
      <w:r w:rsidRPr="00CB3771">
        <w:rPr>
          <w:rFonts w:ascii="Times New Roman" w:eastAsia="Calibri" w:hAnsi="Times New Roman" w:cs="Times New Roman"/>
          <w:color w:val="000000"/>
          <w:sz w:val="24"/>
          <w:szCs w:val="24"/>
          <w:lang w:val="en-AU"/>
        </w:rPr>
        <w:t>as a result of</w:t>
      </w:r>
      <w:proofErr w:type="gramEnd"/>
      <w:r w:rsidRPr="00CB3771">
        <w:rPr>
          <w:rFonts w:ascii="Times New Roman" w:eastAsia="Calibri" w:hAnsi="Times New Roman" w:cs="Times New Roman"/>
          <w:color w:val="000000"/>
          <w:sz w:val="24"/>
          <w:szCs w:val="24"/>
          <w:lang w:val="en-AU"/>
        </w:rPr>
        <w:t xml:space="preserve"> failing to consume the pellets after recovery from surgery. One animal from the muscimol group was excluded from analysis </w:t>
      </w:r>
      <w:proofErr w:type="gramStart"/>
      <w:r w:rsidRPr="00CB3771">
        <w:rPr>
          <w:rFonts w:ascii="Times New Roman" w:eastAsia="Calibri" w:hAnsi="Times New Roman" w:cs="Times New Roman"/>
          <w:color w:val="000000"/>
          <w:sz w:val="24"/>
          <w:szCs w:val="24"/>
          <w:lang w:val="en-AU"/>
        </w:rPr>
        <w:t>as a result of</w:t>
      </w:r>
      <w:proofErr w:type="gramEnd"/>
      <w:r w:rsidRPr="00CB3771">
        <w:rPr>
          <w:rFonts w:ascii="Times New Roman" w:eastAsia="Calibri" w:hAnsi="Times New Roman" w:cs="Times New Roman"/>
          <w:color w:val="000000"/>
          <w:sz w:val="24"/>
          <w:szCs w:val="24"/>
          <w:lang w:val="en-AU"/>
        </w:rPr>
        <w:t xml:space="preserve"> a cannula tip embedded within the white matter of the forceps minor of the corpus callosum. Therefore, a total of 8 animals were excluded leaving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24 (saline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 muscimol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w:t>
      </w:r>
    </w:p>
    <w:p w14:paraId="4CE87A4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6" w:name="_Toc417305033"/>
      <w:r w:rsidRPr="00CB3771">
        <w:rPr>
          <w:rFonts w:ascii="Times New Roman" w:eastAsia="Calibri" w:hAnsi="Times New Roman" w:cs="Times New Roman"/>
          <w:b/>
          <w:color w:val="000000"/>
          <w:sz w:val="24"/>
          <w:szCs w:val="24"/>
          <w:lang w:val="en-AU"/>
        </w:rPr>
        <w:t>PreCS Rates</w:t>
      </w:r>
      <w:bookmarkEnd w:id="16"/>
    </w:p>
    <w:p w14:paraId="0DA7647D"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baseline responding did not differ between infusion groups across training and justified the use of CS-preCS difference scores for analyses of discriminative responding. In particular, during the infusion period a Group x Day (4 days) mixed ANOVA on preCS responses revealed a significant effect of Day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5.95,</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.001</w:t>
      </w:r>
      <w:r w:rsidRPr="00CB3771">
        <w:rPr>
          <w:rFonts w:ascii="Times New Roman" w:eastAsia="Times New Roman" w:hAnsi="Times New Roman" w:cs="Times New Roman"/>
          <w:color w:val="000000"/>
          <w:sz w:val="24"/>
          <w:szCs w:val="24"/>
          <w:lang w:val="en-AU"/>
        </w:rPr>
        <w:t xml:space="preserve">) but no significant effect of Group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(1, 22)</w:t>
      </w:r>
      <w:r w:rsidRPr="00CB3771">
        <w:rPr>
          <w:rFonts w:ascii="Times New Roman" w:eastAsia="Calibri" w:hAnsi="Times New Roman" w:cs="Times New Roman"/>
          <w:color w:val="000000"/>
          <w:sz w:val="24"/>
          <w:szCs w:val="24"/>
          <w:lang w:val="en-AU"/>
        </w:rPr>
        <w:t xml:space="preserve"> = 0.01,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.93</w:t>
      </w:r>
      <w:r w:rsidRPr="00CB3771">
        <w:rPr>
          <w:rFonts w:ascii="Times New Roman" w:eastAsia="Times New Roman" w:hAnsi="Times New Roman" w:cs="Times New Roman"/>
          <w:color w:val="000000"/>
          <w:sz w:val="24"/>
          <w:szCs w:val="24"/>
          <w:lang w:val="en-AU"/>
        </w:rPr>
        <w:t xml:space="preserve">) or Group x Day interaction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0.41,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.741</w:t>
      </w:r>
      <w:r w:rsidRPr="00CB3771">
        <w:rPr>
          <w:rFonts w:ascii="Times New Roman" w:eastAsia="Times New Roman" w:hAnsi="Times New Roman" w:cs="Times New Roman"/>
          <w:color w:val="000000"/>
          <w:sz w:val="24"/>
          <w:szCs w:val="24"/>
          <w:lang w:val="en-AU"/>
        </w:rPr>
        <w:t xml:space="preserve">). PreCS response rates on these days were, saline </w:t>
      </w:r>
      <w:r w:rsidRPr="00CB3771">
        <w:rPr>
          <w:rFonts w:ascii="Times New Roman" w:eastAsia="Times New Roman" w:hAnsi="Times New Roman" w:cs="Times New Roman"/>
          <w:i/>
          <w:color w:val="000000"/>
          <w:sz w:val="24"/>
          <w:szCs w:val="24"/>
          <w:lang w:val="en-AU"/>
        </w:rPr>
        <w:t>M</w:t>
      </w:r>
      <w:r w:rsidRPr="00CB3771">
        <w:rPr>
          <w:rFonts w:ascii="Times New Roman" w:eastAsia="Times New Roman" w:hAnsi="Times New Roman" w:cs="Times New Roman"/>
          <w:color w:val="000000"/>
          <w:sz w:val="24"/>
          <w:szCs w:val="24"/>
          <w:lang w:val="en-AU"/>
        </w:rPr>
        <w:t xml:space="preserve"> = 0.70,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 muscimol</w:t>
      </w:r>
      <w:r w:rsidRPr="00CB3771">
        <w:rPr>
          <w:rFonts w:ascii="Times New Roman" w:eastAsia="Times New Roman" w:hAnsi="Times New Roman" w:cs="Times New Roman"/>
          <w:i/>
          <w:color w:val="000000"/>
          <w:sz w:val="24"/>
          <w:szCs w:val="24"/>
          <w:lang w:val="en-AU"/>
        </w:rPr>
        <w:t xml:space="preserve"> M</w:t>
      </w:r>
      <w:r w:rsidRPr="00CB3771">
        <w:rPr>
          <w:rFonts w:ascii="Times New Roman" w:eastAsia="Times New Roman" w:hAnsi="Times New Roman" w:cs="Times New Roman"/>
          <w:color w:val="000000"/>
          <w:sz w:val="24"/>
          <w:szCs w:val="24"/>
          <w:lang w:val="en-AU"/>
        </w:rPr>
        <w:t xml:space="preserve"> = 0.72,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w:t>
      </w:r>
    </w:p>
    <w:p w14:paraId="69C6C475"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17" w:name="_Toc417305041"/>
      <w:bookmarkStart w:id="18" w:name="_Toc417312603"/>
      <w:r w:rsidRPr="00CB3771">
        <w:rPr>
          <w:rFonts w:ascii="Times New Roman" w:eastAsia="Calibri" w:hAnsi="Times New Roman" w:cs="Times New Roman"/>
          <w:b/>
          <w:color w:val="000000"/>
          <w:sz w:val="24"/>
          <w:szCs w:val="24"/>
          <w:lang w:val="en-AU"/>
        </w:rPr>
        <w:t>Experiment 3: Post-training LO Lesions</w:t>
      </w:r>
      <w:bookmarkEnd w:id="17"/>
      <w:bookmarkEnd w:id="18"/>
    </w:p>
    <w:p w14:paraId="096BAD6D"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19" w:name="_Toc417305042"/>
      <w:bookmarkStart w:id="20" w:name="_Toc417312604"/>
      <w:r w:rsidRPr="00CB3771">
        <w:rPr>
          <w:rFonts w:ascii="Times New Roman" w:eastAsia="Calibri" w:hAnsi="Times New Roman" w:cs="Times New Roman"/>
          <w:b/>
          <w:color w:val="000000"/>
          <w:sz w:val="24"/>
          <w:szCs w:val="24"/>
          <w:lang w:val="en-AU"/>
        </w:rPr>
        <w:t>Methods</w:t>
      </w:r>
      <w:bookmarkEnd w:id="19"/>
      <w:bookmarkEnd w:id="20"/>
    </w:p>
    <w:p w14:paraId="02E8D7D0"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bookmarkStart w:id="21" w:name="_Toc417305043"/>
      <w:r w:rsidRPr="00CB3771">
        <w:rPr>
          <w:rFonts w:ascii="Times New Roman" w:eastAsia="Calibri" w:hAnsi="Times New Roman" w:cs="Times New Roman"/>
          <w:b/>
          <w:color w:val="000000"/>
          <w:sz w:val="24"/>
          <w:szCs w:val="24"/>
          <w:lang w:val="en-AU"/>
        </w:rPr>
        <w:t>Subjects</w:t>
      </w:r>
      <w:bookmarkEnd w:id="21"/>
    </w:p>
    <w:p w14:paraId="39ABF6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Subjects were twenty-four (total N = 24) male Long Evans rats (Monash Animal Services, Gippsland, Victoria, Australia) approximately 4 months old, weighing between 317-369 g (M = 338.9 g). </w:t>
      </w:r>
    </w:p>
    <w:p w14:paraId="151469C7"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2" w:name="_Toc417305046"/>
      <w:r w:rsidRPr="00CB3771">
        <w:rPr>
          <w:rFonts w:ascii="Times New Roman" w:eastAsia="Calibri" w:hAnsi="Times New Roman" w:cs="Times New Roman"/>
          <w:b/>
          <w:color w:val="000000"/>
          <w:sz w:val="24"/>
          <w:szCs w:val="24"/>
          <w:lang w:val="en-AU"/>
        </w:rPr>
        <w:t>Pre-lesion Training</w:t>
      </w:r>
      <w:bookmarkEnd w:id="22"/>
    </w:p>
    <w:p w14:paraId="4B2AA9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23" w:name="_Toc417305048"/>
      <w:r w:rsidRPr="00CB3771">
        <w:rPr>
          <w:rFonts w:ascii="Times New Roman" w:eastAsia="Times New Roman" w:hAnsi="Times New Roman" w:cs="Times New Roman"/>
          <w:b/>
          <w:i/>
          <w:color w:val="000000"/>
          <w:sz w:val="24"/>
          <w:szCs w:val="24"/>
          <w:lang w:val="en-AU"/>
        </w:rPr>
        <w:t>Pavlovian Acquisition</w:t>
      </w:r>
      <w:bookmarkEnd w:id="23"/>
    </w:p>
    <w:p w14:paraId="3EA9BB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109C62D9"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4" w:name="_Toc417305049"/>
      <w:r w:rsidRPr="00CB3771">
        <w:rPr>
          <w:rFonts w:ascii="Times New Roman" w:eastAsia="Calibri" w:hAnsi="Times New Roman" w:cs="Times New Roman"/>
          <w:b/>
          <w:color w:val="000000"/>
          <w:sz w:val="24"/>
          <w:szCs w:val="24"/>
          <w:lang w:val="en-AU"/>
        </w:rPr>
        <w:t>Post-lesion Training</w:t>
      </w:r>
      <w:bookmarkEnd w:id="24"/>
    </w:p>
    <w:p w14:paraId="5A88E53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25" w:name="_Toc417305050"/>
      <w:r w:rsidRPr="00CB3771">
        <w:rPr>
          <w:rFonts w:ascii="Times New Roman" w:eastAsia="Times New Roman" w:hAnsi="Times New Roman" w:cs="Times New Roman"/>
          <w:b/>
          <w:i/>
          <w:color w:val="000000"/>
          <w:sz w:val="24"/>
          <w:szCs w:val="24"/>
          <w:lang w:val="en-AU"/>
        </w:rPr>
        <w:t>Pavlovian Acquisition</w:t>
      </w:r>
      <w:bookmarkEnd w:id="25"/>
    </w:p>
    <w:p w14:paraId="50CD51C8"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were returned to food restriction for 24 hrs before receiving an additional 9 days of acquisition training.</w:t>
      </w:r>
    </w:p>
    <w:p w14:paraId="6FC73C5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6" w:name="_Toc417305053"/>
      <w:r w:rsidRPr="00CB3771">
        <w:rPr>
          <w:rFonts w:ascii="Times New Roman" w:eastAsia="Calibri" w:hAnsi="Times New Roman" w:cs="Times New Roman"/>
          <w:b/>
          <w:color w:val="000000"/>
          <w:sz w:val="24"/>
          <w:szCs w:val="24"/>
          <w:lang w:val="en-AU"/>
        </w:rPr>
        <w:t>Histology and Group Allocation</w:t>
      </w:r>
      <w:bookmarkEnd w:id="26"/>
    </w:p>
    <w:p w14:paraId="4963023D" w14:textId="77777777" w:rsidR="006B4DE6" w:rsidRPr="00CB3771" w:rsidRDefault="006B4DE6" w:rsidP="006B4DE6">
      <w:pPr>
        <w:spacing w:after="24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sz w:val="24"/>
          <w:szCs w:val="24"/>
          <w:highlight w:val="yellow"/>
          <w:lang w:val="en-AU"/>
        </w:rPr>
        <w:t>Figure X</w:t>
      </w:r>
      <w:r w:rsidRPr="00CB3771">
        <w:rPr>
          <w:rFonts w:ascii="Times New Roman" w:eastAsia="Calibri" w:hAnsi="Times New Roman" w:cs="Times New Roman"/>
          <w:sz w:val="24"/>
          <w:szCs w:val="24"/>
          <w:lang w:val="en-AU"/>
        </w:rPr>
        <w:t xml:space="preserve">. 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 xml:space="preserve">dorsal part of the anterior olfactory nucleus ventral to LO/DLO or if there was extensive damage to the white matter of the forceps minor of the corpus callosum. Three lesion animals had only unilateral OFC damage and were excluded from analysis (final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21;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12,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9).</w:t>
      </w:r>
    </w:p>
    <w:p w14:paraId="7659CB2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7" w:name="_Toc417305054"/>
      <w:r w:rsidRPr="00CB3771">
        <w:rPr>
          <w:rFonts w:ascii="Times New Roman" w:eastAsia="Calibri" w:hAnsi="Times New Roman" w:cs="Times New Roman"/>
          <w:b/>
          <w:color w:val="000000"/>
          <w:sz w:val="24"/>
          <w:szCs w:val="24"/>
          <w:lang w:val="en-AU"/>
        </w:rPr>
        <w:t>PreCS Responding</w:t>
      </w:r>
      <w:bookmarkEnd w:id="27"/>
    </w:p>
    <w:p w14:paraId="6DD4889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levels of responding did not differ between groups across days of training, and on the final block of 3 days (post-operative) response rates (15s) were sham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2.55,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2.03, lesion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2.74,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0.94. A mixed Group x DayBlock (6 blocks of 3 days) ANOVA on preCS </w:t>
      </w:r>
      <w:r w:rsidRPr="00CB3771">
        <w:rPr>
          <w:rFonts w:ascii="Times New Roman" w:eastAsia="Calibri" w:hAnsi="Times New Roman" w:cs="Times New Roman"/>
          <w:color w:val="000000"/>
          <w:sz w:val="24"/>
          <w:szCs w:val="24"/>
          <w:lang w:val="en-AU"/>
        </w:rPr>
        <w:lastRenderedPageBreak/>
        <w:t xml:space="preserve">responding supported this observation with only a significant main effect of DayBlock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(5, 95)</w:t>
      </w:r>
      <w:r w:rsidRPr="00CB3771">
        <w:rPr>
          <w:rFonts w:ascii="Times New Roman" w:eastAsia="Calibri" w:hAnsi="Times New Roman" w:cs="Times New Roman"/>
          <w:color w:val="000000"/>
          <w:sz w:val="24"/>
          <w:szCs w:val="24"/>
          <w:lang w:val="en-AU"/>
        </w:rPr>
        <w:t xml:space="preserve"> = 11.52,</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w:t>
      </w:r>
      <w:r w:rsidRPr="00CB3771">
        <w:rPr>
          <w:rFonts w:ascii="Times New Roman" w:eastAsia="Times New Roman" w:hAnsi="Times New Roman" w:cs="Times New Roman"/>
          <w:color w:val="000000"/>
          <w:sz w:val="24"/>
          <w:szCs w:val="24"/>
          <w:lang w:val="en-AU"/>
        </w:rPr>
        <w:t xml:space="preserve">, effect of Group and Group x DayBlock interaction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lang w:val="en-AU"/>
        </w:rPr>
        <w:t xml:space="preserve"> &lt; 1.00,</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&gt; .81</w:t>
      </w:r>
      <w:r w:rsidRPr="00CB3771">
        <w:rPr>
          <w:rFonts w:ascii="Times New Roman" w:eastAsia="Times New Roman"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w:t>
      </w:r>
    </w:p>
    <w:p w14:paraId="0D87E909" w14:textId="77777777" w:rsidR="006B4DE6" w:rsidRPr="00CB3771" w:rsidRDefault="006B4DE6" w:rsidP="006B4DE6">
      <w:pPr>
        <w:spacing w:after="240" w:line="360" w:lineRule="auto"/>
        <w:jc w:val="center"/>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Experiment 5: Early training Acquisition with Muscimol Inactivation</w:t>
      </w:r>
    </w:p>
    <w:p w14:paraId="3203C753"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bookmarkStart w:id="28" w:name="_Toc417305061"/>
      <w:r w:rsidRPr="00CB3771">
        <w:rPr>
          <w:rFonts w:ascii="Times New Roman" w:eastAsia="Calibri" w:hAnsi="Times New Roman" w:cs="Times New Roman"/>
          <w:b/>
          <w:color w:val="000000"/>
          <w:sz w:val="24"/>
          <w:szCs w:val="24"/>
          <w:lang w:val="en-AU"/>
        </w:rPr>
        <w:t>Subjects</w:t>
      </w:r>
      <w:bookmarkEnd w:id="28"/>
    </w:p>
    <w:p w14:paraId="560298D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thirty-two (total N = 16) male Long Evans rats (Monash Animal Services, Gippsland, Victoria, Australia) approximately 4 months old, weighing between 321-399 g (M = 357.4 g). </w:t>
      </w:r>
    </w:p>
    <w:p w14:paraId="3CAD3F5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9" w:name="_Toc417305063"/>
      <w:r w:rsidRPr="00CB3771">
        <w:rPr>
          <w:rFonts w:ascii="Times New Roman" w:eastAsia="Calibri" w:hAnsi="Times New Roman" w:cs="Times New Roman"/>
          <w:b/>
          <w:color w:val="000000"/>
          <w:sz w:val="24"/>
          <w:szCs w:val="24"/>
          <w:lang w:val="en-AU"/>
        </w:rPr>
        <w:t>Surgery</w:t>
      </w:r>
      <w:bookmarkEnd w:id="29"/>
    </w:p>
    <w:p w14:paraId="5D6426B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662E8EE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r w:rsidRPr="00CB3771">
        <w:rPr>
          <w:rFonts w:ascii="Times New Roman" w:eastAsia="Times New Roman" w:hAnsi="Times New Roman" w:cs="Times New Roman"/>
          <w:b/>
          <w:i/>
          <w:color w:val="000000"/>
          <w:sz w:val="24"/>
          <w:szCs w:val="24"/>
          <w:lang w:val="en-AU"/>
        </w:rPr>
        <w:t>Pavlovian Acquisition</w:t>
      </w:r>
    </w:p>
    <w:p w14:paraId="232D0BE3"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10</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Briefly, each session consisted of a VI 200s ITI with 16 trials consisting of a 10s light CS (illumination of the house light at the back of the </w:t>
      </w:r>
      <w:proofErr w:type="spellStart"/>
      <w:r w:rsidRPr="00CB3771">
        <w:rPr>
          <w:rFonts w:ascii="Times New Roman" w:eastAsia="Calibri" w:hAnsi="Times New Roman" w:cs="Times New Roman"/>
          <w:color w:val="000000"/>
          <w:sz w:val="24"/>
          <w:szCs w:val="24"/>
          <w:lang w:val="en-AU"/>
        </w:rPr>
        <w:t>chmber</w:t>
      </w:r>
      <w:proofErr w:type="spellEnd"/>
      <w:r w:rsidRPr="00CB3771">
        <w:rPr>
          <w:rFonts w:ascii="Times New Roman" w:eastAsia="Calibri" w:hAnsi="Times New Roman" w:cs="Times New Roman"/>
          <w:color w:val="000000"/>
          <w:sz w:val="24"/>
          <w:szCs w:val="24"/>
          <w:lang w:val="en-AU"/>
        </w:rPr>
        <w:t>) co-terminating with a single pellet US. Subjects received mock infusions on days 3 and 4, and either Saline or Muscimol was infused prior to entering the chamber on days 5-9. On day 10 all animals received a mock infusion.</w:t>
      </w:r>
    </w:p>
    <w:p w14:paraId="122DC062" w14:textId="77777777" w:rsidR="006B4DE6" w:rsidRPr="00CB3771" w:rsidRDefault="006B4DE6" w:rsidP="006B4DE6">
      <w:pPr>
        <w:spacing w:after="240"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exclusions</w:t>
      </w:r>
    </w:p>
    <w:p w14:paraId="003A3CEF" w14:textId="77777777" w:rsidR="006B4DE6" w:rsidRPr="00CB3771" w:rsidRDefault="006B4DE6" w:rsidP="006B4DE6">
      <w:pPr>
        <w:spacing w:line="360" w:lineRule="auto"/>
        <w:rPr>
          <w:rFonts w:ascii="Times New Roman" w:eastAsia="Calibri" w:hAnsi="Times New Roman" w:cs="Times New Roman"/>
          <w:sz w:val="24"/>
          <w:szCs w:val="24"/>
        </w:rPr>
      </w:pPr>
      <w:r w:rsidRPr="00CB3771">
        <w:rPr>
          <w:rFonts w:ascii="Times New Roman" w:eastAsia="Calibri" w:hAnsi="Times New Roman" w:cs="Times New Roman"/>
          <w:sz w:val="24"/>
          <w:szCs w:val="24"/>
        </w:rPr>
        <w:t>One rat in the Muscimol condition had a blocked guide cannulae and was excluded from experimental analysis. Final numbers N = 15 (Muscimol n = 7, Saline n = 8).</w:t>
      </w:r>
    </w:p>
    <w:p w14:paraId="55403B52" w14:textId="77777777" w:rsidR="006B4DE6" w:rsidRPr="00CB3771" w:rsidRDefault="006B4DE6" w:rsidP="006B4DE6">
      <w:pPr>
        <w:spacing w:line="360" w:lineRule="auto"/>
        <w:rPr>
          <w:rFonts w:ascii="Times New Roman" w:eastAsia="Calibri" w:hAnsi="Times New Roman" w:cs="Times New Roman"/>
          <w:b/>
          <w:sz w:val="24"/>
          <w:szCs w:val="24"/>
        </w:rPr>
      </w:pPr>
      <w:r w:rsidRPr="00CB3771">
        <w:rPr>
          <w:rFonts w:ascii="Times New Roman" w:eastAsia="Calibri" w:hAnsi="Times New Roman" w:cs="Times New Roman"/>
          <w:b/>
          <w:sz w:val="24"/>
          <w:szCs w:val="24"/>
        </w:rPr>
        <w:t>PreCS Rates</w:t>
      </w:r>
    </w:p>
    <w:p w14:paraId="1C308FDC"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PreCS responding did not differ between infusion groups across the 10 days of Pavlovian conditioning (Group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1,13</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.12;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1.49,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.16; Group x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.25).</w:t>
      </w:r>
    </w:p>
    <w:p w14:paraId="0E0BAF56"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30" w:name="_Toc417305059"/>
      <w:bookmarkStart w:id="31" w:name="_Toc417312607"/>
      <w:r w:rsidRPr="00CB3771">
        <w:rPr>
          <w:rFonts w:ascii="Times New Roman" w:eastAsia="Calibri" w:hAnsi="Times New Roman" w:cs="Times New Roman"/>
          <w:b/>
          <w:color w:val="000000"/>
          <w:sz w:val="24"/>
          <w:szCs w:val="24"/>
          <w:lang w:val="en-AU"/>
        </w:rPr>
        <w:t xml:space="preserve">Experiment 4. </w:t>
      </w:r>
      <w:bookmarkEnd w:id="30"/>
      <w:bookmarkEnd w:id="31"/>
      <w:r w:rsidRPr="00CB3771">
        <w:rPr>
          <w:rFonts w:ascii="Times New Roman" w:eastAsia="Calibri" w:hAnsi="Times New Roman" w:cs="Times New Roman"/>
          <w:b/>
          <w:color w:val="000000"/>
          <w:sz w:val="24"/>
          <w:szCs w:val="24"/>
          <w:lang w:val="en-AU"/>
        </w:rPr>
        <w:t>Pavlovian blocking following LO inactivation during acquisition</w:t>
      </w:r>
    </w:p>
    <w:p w14:paraId="7152237F"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p>
    <w:p w14:paraId="7728B43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Subjects were thirty-two (total N = 32) male Long Evans rats (Monash Animal Services, Gippsland, Victoria, Australia) approximately 4 months old, weighing between 299-395 g (M = 331.5 g). </w:t>
      </w:r>
    </w:p>
    <w:p w14:paraId="6F97D17D"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Surgery</w:t>
      </w:r>
    </w:p>
    <w:p w14:paraId="2E4CAB5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4E54DC2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32" w:name="_Toc417305064"/>
      <w:r w:rsidRPr="00CB3771">
        <w:rPr>
          <w:rFonts w:ascii="Times New Roman" w:eastAsia="Calibri" w:hAnsi="Times New Roman" w:cs="Times New Roman"/>
          <w:b/>
          <w:color w:val="000000"/>
          <w:sz w:val="24"/>
          <w:szCs w:val="24"/>
          <w:lang w:val="en-AU"/>
        </w:rPr>
        <w:t>Training</w:t>
      </w:r>
      <w:bookmarkEnd w:id="32"/>
    </w:p>
    <w:p w14:paraId="288D9D1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design of the experiment was such that 4 CSs were designated as cues A, B, C and D. Cues A and C were always visual cues, either darkness caused by extinguishing the houselight or flashing panel lights (5Hz;</w:t>
      </w:r>
      <w:r>
        <w:rPr>
          <w:rFonts w:ascii="Times New Roman" w:eastAsia="Calibri" w:hAnsi="Times New Roman" w:cs="Times New Roman"/>
          <w:color w:val="000000"/>
          <w:sz w:val="24"/>
          <w:szCs w:val="24"/>
          <w:lang w:val="en-AU"/>
        </w:rPr>
        <w:t xml:space="preserve"> </w:t>
      </w:r>
      <w:r w:rsidRPr="008611A1">
        <w:rPr>
          <w:rFonts w:ascii="Times New Roman" w:eastAsia="Calibri" w:hAnsi="Times New Roman" w:cs="Times New Roman"/>
          <w:color w:val="000000"/>
          <w:sz w:val="24"/>
          <w:szCs w:val="24"/>
          <w:highlight w:val="yellow"/>
          <w:lang w:val="en-AU"/>
        </w:rPr>
        <w:t>Figure 3A</w:t>
      </w:r>
      <w:r w:rsidRPr="00CB3771">
        <w:rPr>
          <w:rFonts w:ascii="Times New Roman" w:eastAsia="Calibri" w:hAnsi="Times New Roman" w:cs="Times New Roman"/>
          <w:color w:val="000000"/>
          <w:sz w:val="24"/>
          <w:szCs w:val="24"/>
          <w:lang w:val="en-AU"/>
        </w:rPr>
        <w:t>).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5BCFDFD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p>
    <w:p w14:paraId="50CBBB5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p>
    <w:p w14:paraId="32DF9A5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p>
    <w:p w14:paraId="4731580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p>
    <w:p w14:paraId="4B0B86AC"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3" w:name="_Toc417305065"/>
      <w:r w:rsidRPr="00CB3771">
        <w:rPr>
          <w:rFonts w:ascii="Times New Roman" w:eastAsia="Times New Roman" w:hAnsi="Times New Roman" w:cs="Times New Roman"/>
          <w:b/>
          <w:i/>
          <w:color w:val="000000"/>
          <w:sz w:val="24"/>
          <w:szCs w:val="24"/>
          <w:lang w:val="en-AU"/>
        </w:rPr>
        <w:t>Food Restriction and Magazine Training</w:t>
      </w:r>
      <w:bookmarkEnd w:id="33"/>
    </w:p>
    <w:p w14:paraId="143A44C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sessions consisted of an RT120s reward delivery schedule for 16 rewards. Each reward consisted of 2 pellets delivered to the magazine 0.25s apart.</w:t>
      </w:r>
    </w:p>
    <w:p w14:paraId="1A6E884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4" w:name="_Toc417305066"/>
      <w:r w:rsidRPr="00CB3771">
        <w:rPr>
          <w:rFonts w:ascii="Times New Roman" w:eastAsia="Times New Roman" w:hAnsi="Times New Roman" w:cs="Times New Roman"/>
          <w:b/>
          <w:i/>
          <w:color w:val="000000"/>
          <w:sz w:val="24"/>
          <w:szCs w:val="24"/>
          <w:lang w:val="en-AU"/>
        </w:rPr>
        <w:t>Stage 1</w:t>
      </w:r>
      <w:bookmarkEnd w:id="34"/>
    </w:p>
    <w:p w14:paraId="1D6DCAE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180ED179"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5" w:name="_Toc417305067"/>
      <w:r w:rsidRPr="00CB3771">
        <w:rPr>
          <w:rFonts w:ascii="Times New Roman" w:eastAsia="Times New Roman" w:hAnsi="Times New Roman" w:cs="Times New Roman"/>
          <w:b/>
          <w:i/>
          <w:color w:val="000000"/>
          <w:sz w:val="24"/>
          <w:szCs w:val="24"/>
          <w:lang w:val="en-AU"/>
        </w:rPr>
        <w:t>Pre-exposure</w:t>
      </w:r>
      <w:bookmarkEnd w:id="35"/>
    </w:p>
    <w:p w14:paraId="0B86CD9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4D8A3ABA"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6" w:name="_Toc417305068"/>
      <w:r w:rsidRPr="00CB3771">
        <w:rPr>
          <w:rFonts w:ascii="Times New Roman" w:eastAsia="Times New Roman" w:hAnsi="Times New Roman" w:cs="Times New Roman"/>
          <w:b/>
          <w:i/>
          <w:color w:val="000000"/>
          <w:sz w:val="24"/>
          <w:szCs w:val="24"/>
          <w:lang w:val="en-AU"/>
        </w:rPr>
        <w:t>Stage 2</w:t>
      </w:r>
      <w:bookmarkEnd w:id="36"/>
    </w:p>
    <w:p w14:paraId="4AFBCAB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389D6DF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7" w:name="_Toc417305069"/>
      <w:r w:rsidRPr="00CB3771">
        <w:rPr>
          <w:rFonts w:ascii="Times New Roman" w:eastAsia="Times New Roman" w:hAnsi="Times New Roman" w:cs="Times New Roman"/>
          <w:b/>
          <w:i/>
          <w:color w:val="000000"/>
          <w:sz w:val="24"/>
          <w:szCs w:val="24"/>
          <w:lang w:val="en-AU"/>
        </w:rPr>
        <w:t>Test</w:t>
      </w:r>
      <w:bookmarkEnd w:id="37"/>
    </w:p>
    <w:p w14:paraId="0A910E4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9DE6AD3"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8" w:name="_Toc417305070"/>
      <w:r w:rsidRPr="00CB3771">
        <w:rPr>
          <w:rFonts w:ascii="Times New Roman" w:eastAsia="Times New Roman" w:hAnsi="Times New Roman" w:cs="Times New Roman"/>
          <w:b/>
          <w:i/>
          <w:color w:val="000000"/>
          <w:sz w:val="24"/>
          <w:szCs w:val="24"/>
          <w:lang w:val="en-AU"/>
        </w:rPr>
        <w:t>Re-acquisition</w:t>
      </w:r>
      <w:bookmarkEnd w:id="38"/>
    </w:p>
    <w:p w14:paraId="64B50C19"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09E0735"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39" w:name="_Toc417305071"/>
      <w:bookmarkStart w:id="40" w:name="_Toc417312609"/>
      <w:r w:rsidRPr="00CB3771">
        <w:rPr>
          <w:rFonts w:ascii="Times New Roman" w:eastAsia="Calibri" w:hAnsi="Times New Roman" w:cs="Times New Roman"/>
          <w:b/>
          <w:color w:val="000000"/>
          <w:sz w:val="24"/>
          <w:szCs w:val="24"/>
          <w:lang w:val="en-AU"/>
        </w:rPr>
        <w:t>Results</w:t>
      </w:r>
      <w:bookmarkEnd w:id="39"/>
      <w:bookmarkEnd w:id="40"/>
    </w:p>
    <w:p w14:paraId="198733D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1" w:name="_Toc417305073"/>
      <w:r w:rsidRPr="00CB3771">
        <w:rPr>
          <w:rFonts w:ascii="Times New Roman" w:eastAsia="Calibri" w:hAnsi="Times New Roman" w:cs="Times New Roman"/>
          <w:b/>
          <w:color w:val="000000"/>
          <w:sz w:val="24"/>
          <w:szCs w:val="24"/>
          <w:lang w:val="en-AU"/>
        </w:rPr>
        <w:t>Histology and Group Allocation</w:t>
      </w:r>
      <w:bookmarkEnd w:id="41"/>
    </w:p>
    <w:p w14:paraId="72DD037D" w14:textId="77777777" w:rsidR="006B4DE6" w:rsidRPr="00CB3771" w:rsidRDefault="006B4DE6" w:rsidP="006B4DE6">
      <w:pPr>
        <w:spacing w:after="0"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lastRenderedPageBreak/>
        <w:t xml:space="preserve">Cannulae placements are illustrated in </w:t>
      </w:r>
      <w:r w:rsidRPr="00CB3771">
        <w:rPr>
          <w:rFonts w:ascii="Times New Roman" w:eastAsia="Times New Roman" w:hAnsi="Times New Roman" w:cs="Times New Roman"/>
          <w:color w:val="000000"/>
          <w:sz w:val="24"/>
          <w:szCs w:val="24"/>
          <w:highlight w:val="yellow"/>
          <w:lang w:val="en-AU" w:eastAsia="en-AU"/>
        </w:rPr>
        <w:t>Figure X</w:t>
      </w:r>
      <w:r w:rsidRPr="00CB3771">
        <w:rPr>
          <w:rFonts w:ascii="Times New Roman" w:eastAsia="Times New Roman" w:hAnsi="Times New Roman" w:cs="Times New Roman"/>
          <w:color w:val="000000"/>
          <w:sz w:val="24"/>
          <w:szCs w:val="24"/>
          <w:lang w:val="en-AU" w:eastAsia="en-AU"/>
        </w:rPr>
        <w:t xml:space="preserve">. </w:t>
      </w:r>
      <w:r w:rsidRPr="00CB3771">
        <w:rPr>
          <w:rFonts w:ascii="Times New Roman" w:eastAsia="Times New Roman" w:hAnsi="Times New Roman" w:cs="Times New Roman"/>
          <w:color w:val="000000"/>
          <w:sz w:val="24"/>
          <w:szCs w:val="24"/>
          <w:lang w:eastAsia="en-AU"/>
        </w:rPr>
        <w:t>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w:t>
      </w:r>
      <w:r w:rsidRPr="00CB3771">
        <w:rPr>
          <w:rFonts w:ascii="Times New Roman" w:eastAsia="Times New Roman" w:hAnsi="Times New Roman" w:cs="Times New Roman"/>
          <w:color w:val="000000"/>
          <w:sz w:val="24"/>
          <w:szCs w:val="24"/>
          <w:lang w:val="en-AU" w:eastAsia="en-AU"/>
        </w:rPr>
        <w:t xml:space="preserve"> Therefore, a total of 6 animals were excluded leaving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26 (saline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muscimol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w:t>
      </w:r>
    </w:p>
    <w:p w14:paraId="23DBD5B0" w14:textId="77777777" w:rsidR="006B4DE6" w:rsidRPr="00CB3771" w:rsidRDefault="006B4DE6" w:rsidP="006B4DE6">
      <w:pPr>
        <w:spacing w:after="0" w:line="360" w:lineRule="auto"/>
        <w:rPr>
          <w:rFonts w:ascii="Times New Roman" w:eastAsia="Times New Roman" w:hAnsi="Times New Roman" w:cs="Times New Roman"/>
          <w:b/>
          <w:color w:val="000000"/>
          <w:sz w:val="24"/>
          <w:szCs w:val="24"/>
          <w:lang w:val="en-AU" w:eastAsia="en-AU"/>
        </w:rPr>
      </w:pPr>
    </w:p>
    <w:p w14:paraId="43A17D68" w14:textId="77777777"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bookmarkStart w:id="42" w:name="_Toc417305074"/>
      <w:r w:rsidRPr="00CB3771">
        <w:rPr>
          <w:rFonts w:ascii="Times New Roman" w:eastAsia="Calibri" w:hAnsi="Times New Roman" w:cs="Times New Roman"/>
          <w:b/>
          <w:color w:val="000000"/>
          <w:sz w:val="24"/>
          <w:szCs w:val="24"/>
          <w:lang w:val="en-AU"/>
        </w:rPr>
        <w:t>PreCS Responding</w:t>
      </w:r>
      <w:bookmarkEnd w:id="42"/>
    </w:p>
    <w:p w14:paraId="2554C8AA" w14:textId="77777777" w:rsidR="006B4DE6" w:rsidRPr="00CB3771" w:rsidRDefault="006B4DE6" w:rsidP="006B4DE6">
      <w:pPr>
        <w:spacing w:line="360" w:lineRule="auto"/>
        <w:rPr>
          <w:rFonts w:ascii="Times New Roman" w:hAnsi="Times New Roman" w:cs="Times New Roman"/>
          <w:b/>
          <w:sz w:val="24"/>
          <w:szCs w:val="24"/>
        </w:rPr>
      </w:pPr>
      <w:r w:rsidRPr="00CB3771">
        <w:rPr>
          <w:rFonts w:ascii="Times New Roman" w:eastAsia="Calibri" w:hAnsi="Times New Roman" w:cs="Times New Roman"/>
          <w:color w:val="000000"/>
          <w:sz w:val="24"/>
          <w:szCs w:val="24"/>
          <w:lang w:val="en-AU"/>
        </w:rPr>
        <w:t xml:space="preserve">Baseline levels of responding did not differ between groups during training, and on the final day of infusions (day 10 of stage 1) preCS response rates (10s) were saline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0.122,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0.24, muscimol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0.67,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0.87. These observations were supported by mixed Group x Day ANOVAs on preCS responding in stage1 suggesting that there were no group differences on days 1-4 prior to infusion (all </w:t>
      </w:r>
      <w:r w:rsidRPr="00CB3771">
        <w:rPr>
          <w:rFonts w:ascii="Times New Roman" w:eastAsia="Calibri" w:hAnsi="Times New Roman" w:cs="Times New Roman"/>
          <w:i/>
          <w:color w:val="000000"/>
          <w:sz w:val="24"/>
          <w:szCs w:val="24"/>
          <w:lang w:val="en-AU"/>
        </w:rPr>
        <w:t xml:space="preserve">F </w:t>
      </w:r>
      <w:r w:rsidRPr="00CB3771">
        <w:rPr>
          <w:rFonts w:ascii="Times New Roman" w:eastAsia="Calibri" w:hAnsi="Times New Roman" w:cs="Times New Roman"/>
          <w:color w:val="000000"/>
          <w:sz w:val="24"/>
          <w:szCs w:val="24"/>
          <w:lang w:val="en-AU"/>
        </w:rPr>
        <w:t xml:space="preserve">&lt; 1.69, </w:t>
      </w:r>
      <w:r w:rsidRPr="00CB3771">
        <w:rPr>
          <w:rFonts w:ascii="Times New Roman" w:eastAsia="Calibri" w:hAnsi="Times New Roman" w:cs="Times New Roman"/>
          <w:i/>
          <w:color w:val="000000"/>
          <w:sz w:val="24"/>
          <w:szCs w:val="24"/>
          <w:lang w:val="en-AU"/>
        </w:rPr>
        <w:t>p</w:t>
      </w:r>
      <w:r w:rsidRPr="00CB3771">
        <w:rPr>
          <w:rFonts w:ascii="Times New Roman" w:eastAsia="Calibri" w:hAnsi="Times New Roman" w:cs="Times New Roman"/>
          <w:color w:val="000000"/>
          <w:sz w:val="24"/>
          <w:szCs w:val="24"/>
          <w:lang w:val="en-AU"/>
        </w:rPr>
        <w:t xml:space="preserve"> &gt; .21) or on days 5-10 during infusions (significant main effect of Day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(5, 120)</w:t>
      </w:r>
      <w:r w:rsidRPr="00CB3771">
        <w:rPr>
          <w:rFonts w:ascii="Times New Roman" w:eastAsia="Calibri" w:hAnsi="Times New Roman" w:cs="Times New Roman"/>
          <w:color w:val="000000"/>
          <w:sz w:val="24"/>
          <w:szCs w:val="24"/>
          <w:lang w:val="en-AU"/>
        </w:rPr>
        <w:t xml:space="preserve"> = 15.21,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 all </w:t>
      </w:r>
      <w:r w:rsidRPr="00CB3771">
        <w:rPr>
          <w:rFonts w:ascii="Times New Roman" w:eastAsia="Calibri" w:hAnsi="Times New Roman" w:cs="Times New Roman"/>
          <w:sz w:val="24"/>
          <w:szCs w:val="24"/>
          <w:lang w:val="en-AU"/>
        </w:rPr>
        <w:t xml:space="preserve">remaining </w:t>
      </w:r>
      <w:r w:rsidRPr="00CB3771">
        <w:rPr>
          <w:rFonts w:ascii="Times New Roman" w:eastAsia="Calibri" w:hAnsi="Times New Roman" w:cs="Times New Roman"/>
          <w:i/>
          <w:sz w:val="24"/>
          <w:szCs w:val="24"/>
          <w:lang w:val="en-AU"/>
        </w:rPr>
        <w:t xml:space="preserve">F </w:t>
      </w:r>
      <w:r w:rsidRPr="00CB3771">
        <w:rPr>
          <w:rFonts w:ascii="Times New Roman" w:eastAsia="Calibri" w:hAnsi="Times New Roman" w:cs="Times New Roman"/>
          <w:sz w:val="24"/>
          <w:szCs w:val="24"/>
          <w:lang w:val="en-AU"/>
        </w:rPr>
        <w:t xml:space="preserve">&lt; 1.00, </w:t>
      </w:r>
      <w:r w:rsidRPr="00CB3771">
        <w:rPr>
          <w:rFonts w:ascii="Times New Roman" w:eastAsia="Calibri" w:hAnsi="Times New Roman" w:cs="Times New Roman"/>
          <w:i/>
          <w:sz w:val="24"/>
          <w:szCs w:val="24"/>
          <w:lang w:val="en-AU"/>
        </w:rPr>
        <w:t>p</w:t>
      </w:r>
      <w:r w:rsidRPr="00CB3771">
        <w:rPr>
          <w:rFonts w:ascii="Times New Roman" w:eastAsia="Calibri" w:hAnsi="Times New Roman" w:cs="Times New Roman"/>
          <w:sz w:val="24"/>
          <w:szCs w:val="24"/>
          <w:lang w:val="en-AU"/>
        </w:rPr>
        <w:t xml:space="preserve"> &gt; .50).</w:t>
      </w:r>
    </w:p>
    <w:p w14:paraId="40A2D8FB"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43" w:name="_Toc417305080"/>
      <w:bookmarkStart w:id="44" w:name="_Toc417312611"/>
      <w:r w:rsidRPr="00CB3771">
        <w:rPr>
          <w:rFonts w:ascii="Times New Roman" w:eastAsia="Calibri" w:hAnsi="Times New Roman" w:cs="Times New Roman"/>
          <w:b/>
          <w:color w:val="000000"/>
          <w:sz w:val="24"/>
          <w:szCs w:val="24"/>
          <w:lang w:val="en-AU"/>
        </w:rPr>
        <w:t>Experiment 6. Effect of LO Inactivation</w:t>
      </w:r>
      <w:bookmarkEnd w:id="43"/>
      <w:bookmarkEnd w:id="44"/>
      <w:r w:rsidRPr="00CB3771">
        <w:rPr>
          <w:rFonts w:ascii="Times New Roman" w:eastAsia="Calibri" w:hAnsi="Times New Roman" w:cs="Times New Roman"/>
          <w:b/>
          <w:color w:val="000000"/>
          <w:sz w:val="24"/>
          <w:szCs w:val="24"/>
          <w:lang w:val="en-AU"/>
        </w:rPr>
        <w:t xml:space="preserve"> on reward competition</w:t>
      </w:r>
    </w:p>
    <w:p w14:paraId="426AEA01"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5" w:name="_Toc417305082"/>
      <w:r w:rsidRPr="00CB3771">
        <w:rPr>
          <w:rFonts w:ascii="Times New Roman" w:eastAsia="Calibri" w:hAnsi="Times New Roman" w:cs="Times New Roman"/>
          <w:b/>
          <w:color w:val="000000"/>
          <w:sz w:val="24"/>
          <w:szCs w:val="24"/>
          <w:lang w:val="en-AU"/>
        </w:rPr>
        <w:t>Subjects</w:t>
      </w:r>
      <w:bookmarkEnd w:id="45"/>
    </w:p>
    <w:p w14:paraId="1A9FF385"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eight (total N = 8) male Long Evans rats (Monash Animal Services, Gippsland, Victoria, Australia) approximately 4 months old, weighing between 285-331 g (M = 314.9 g). </w:t>
      </w:r>
    </w:p>
    <w:p w14:paraId="054DEFE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6" w:name="_Toc417305083"/>
      <w:r w:rsidRPr="00CB3771">
        <w:rPr>
          <w:rFonts w:ascii="Times New Roman" w:eastAsia="Calibri" w:hAnsi="Times New Roman" w:cs="Times New Roman"/>
          <w:b/>
          <w:color w:val="000000"/>
          <w:sz w:val="24"/>
          <w:szCs w:val="24"/>
          <w:lang w:val="en-AU"/>
        </w:rPr>
        <w:t>Apparatus</w:t>
      </w:r>
      <w:bookmarkEnd w:id="46"/>
    </w:p>
    <w:p w14:paraId="19F9992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The apparatus comprised of 8 operant chambers (Med Associates Inc.) individually housed in light and sound attenuating cabinets. Each chamber comprised of a transparent Perspex back wall, </w:t>
      </w:r>
      <w:proofErr w:type="gramStart"/>
      <w:r w:rsidRPr="00CB3771">
        <w:rPr>
          <w:rFonts w:ascii="Times New Roman" w:eastAsia="Calibri" w:hAnsi="Times New Roman" w:cs="Times New Roman"/>
          <w:color w:val="000000"/>
          <w:sz w:val="24"/>
          <w:szCs w:val="24"/>
          <w:lang w:val="en-AU"/>
        </w:rPr>
        <w:t>roof</w:t>
      </w:r>
      <w:proofErr w:type="gramEnd"/>
      <w:r w:rsidRPr="00CB3771">
        <w:rPr>
          <w:rFonts w:ascii="Times New Roman" w:eastAsia="Calibri" w:hAnsi="Times New Roman" w:cs="Times New Roman"/>
          <w:color w:val="000000"/>
          <w:sz w:val="24"/>
          <w:szCs w:val="24"/>
          <w:lang w:val="en-AU"/>
        </w:rPr>
        <w:t xml:space="preserve"> and front door, with aluminium left and right-hand walls. The floor consisted of 19 steel bars (3.8mm diameter, spaced 1.6 cm apart), aligned perpendicular to the back of the chamber. Rewards could be independently delivered into one of two recessed magazines located centrally at the bottom of the left and right-hand walls. The magazine on the right-hand wall could be rewarded with food pellets (45 mg; Bio-Serv) whereas the magazine on the left hand wall could be rewarded with liquid rewards delivered by a dipper cup mechanism that could be retracted from the magazine. Access to the magazines was measured by infrared detectors at the mouth of the recess. Two panel lights (2 cm diameter) were located on either side of the right-</w:t>
      </w:r>
      <w:r w:rsidRPr="00CB3771">
        <w:rPr>
          <w:rFonts w:ascii="Times New Roman" w:eastAsia="Calibri" w:hAnsi="Times New Roman" w:cs="Times New Roman"/>
          <w:color w:val="000000"/>
          <w:sz w:val="24"/>
          <w:szCs w:val="24"/>
          <w:lang w:val="en-AU"/>
        </w:rPr>
        <w:lastRenderedPageBreak/>
        <w:t>hand magazine at the top of the right-hand wall. A 3-W house light was located at the top left of the left-hand wall. A speaker located to the right of the house light (on the top far right of the left-hand wall) could provide auditory stimuli to the chamber. In addition, a 5-Hz train of clicks produced by a heavy-duty relay placed outside the chamber at the back-right corner of the cabinet was used as an auditory stimulus. A computer equipped with Med-PC software (Med Associates Inc.) was used to control the experimental procedures and record data.</w:t>
      </w:r>
    </w:p>
    <w:p w14:paraId="17747EE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7" w:name="_Toc417305084"/>
      <w:r w:rsidRPr="00CB3771">
        <w:rPr>
          <w:rFonts w:ascii="Times New Roman" w:eastAsia="Calibri" w:hAnsi="Times New Roman" w:cs="Times New Roman"/>
          <w:b/>
          <w:color w:val="000000"/>
          <w:sz w:val="24"/>
          <w:szCs w:val="24"/>
          <w:lang w:val="en-AU"/>
        </w:rPr>
        <w:t>Food Restriction and Magazine Training</w:t>
      </w:r>
      <w:bookmarkEnd w:id="47"/>
    </w:p>
    <w:p w14:paraId="6B3422D3"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were food restricted for at least 2 days prior to any training, and pre-exposed to sucrose (10 mL) and pellets (5g per rat) in their homecage.</w:t>
      </w:r>
    </w:p>
    <w:p w14:paraId="4A28F5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involved the unsignalled delivery of the reinforcer in the experimental chamber to familiarise the subjects with retrieving rewards from each of the two magazines. All rats received two separate magazine training sessions in one day (separated by at least 2 hours), one for each magazine, order counterbalanced. The dipper magazine was always paired with 20% w/v sucrose solution, the other magazine was always rewarded with pellets. Magazine training involved un-signalled delivery of reward on an RT60s schedule for 16 rewards.</w:t>
      </w:r>
    </w:p>
    <w:p w14:paraId="205E613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8" w:name="_Toc417305085"/>
      <w:r w:rsidRPr="00CB3771">
        <w:rPr>
          <w:rFonts w:ascii="Times New Roman" w:eastAsia="Calibri" w:hAnsi="Times New Roman" w:cs="Times New Roman"/>
          <w:b/>
          <w:color w:val="000000"/>
          <w:sz w:val="24"/>
          <w:szCs w:val="24"/>
          <w:lang w:val="en-AU"/>
        </w:rPr>
        <w:t>Acquisition</w:t>
      </w:r>
      <w:bookmarkEnd w:id="48"/>
    </w:p>
    <w:p w14:paraId="5FC3C2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Acquisition training lasted for 16 days. In each session rats received 3 consecutive blocks of 8 trials. Each trial consisted of a vITI 105s, a 15s CS (80 dB white noise) co-terminating in a pellet delivered into the pellet magazine. Simultaneously, there was always a probability of un-signalled 5s access to sucrose in the dipper magazine (dipper cup held 0.01cm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fluid). The probability of sucrose availability changed randomly between each block from low (p = 2/24), medium (p = 4/24) to high (p=8/24). Each trial was defined by 24 bins of 5s (trial length = 120s). During this </w:t>
      </w:r>
      <w:proofErr w:type="gramStart"/>
      <w:r w:rsidRPr="00CB3771">
        <w:rPr>
          <w:rFonts w:ascii="Times New Roman" w:eastAsia="Calibri" w:hAnsi="Times New Roman" w:cs="Times New Roman"/>
          <w:color w:val="000000"/>
          <w:sz w:val="24"/>
          <w:szCs w:val="24"/>
          <w:lang w:val="en-AU"/>
        </w:rPr>
        <w:t>period</w:t>
      </w:r>
      <w:proofErr w:type="gramEnd"/>
      <w:r w:rsidRPr="00CB3771">
        <w:rPr>
          <w:rFonts w:ascii="Times New Roman" w:eastAsia="Calibri" w:hAnsi="Times New Roman" w:cs="Times New Roman"/>
          <w:color w:val="000000"/>
          <w:sz w:val="24"/>
          <w:szCs w:val="24"/>
          <w:lang w:val="en-AU"/>
        </w:rPr>
        <w:t xml:space="preserve"> the CS would occur across 3 5s bins (15s CS) and there was the possibility of un-signalled reward at the dipper magazine at the start of each 5s time bin. Notably, un-signalled reward could occur during any 5s bin, including the CS period. Unsignalled rewards occurred 2, 4, or 8 times in each trial. The pellets were therefore signalled rewards (as they were reliably preceded by the CS). The sucrose dipper was un-signalled, and if the sucrose </w:t>
      </w:r>
      <w:proofErr w:type="gramStart"/>
      <w:r w:rsidRPr="00CB3771">
        <w:rPr>
          <w:rFonts w:ascii="Times New Roman" w:eastAsia="Calibri" w:hAnsi="Times New Roman" w:cs="Times New Roman"/>
          <w:color w:val="000000"/>
          <w:sz w:val="24"/>
          <w:szCs w:val="24"/>
          <w:lang w:val="en-AU"/>
        </w:rPr>
        <w:t>was</w:t>
      </w:r>
      <w:proofErr w:type="gramEnd"/>
      <w:r w:rsidRPr="00CB3771">
        <w:rPr>
          <w:rFonts w:ascii="Times New Roman" w:eastAsia="Calibri" w:hAnsi="Times New Roman" w:cs="Times New Roman"/>
          <w:color w:val="000000"/>
          <w:sz w:val="24"/>
          <w:szCs w:val="24"/>
          <w:lang w:val="en-AU"/>
        </w:rPr>
        <w:t xml:space="preserve"> not collected during the 5s period the dipper would be retracted and lost.</w:t>
      </w:r>
    </w:p>
    <w:p w14:paraId="7408EA8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9" w:name="_Toc417305086"/>
      <w:r w:rsidRPr="00CB3771">
        <w:rPr>
          <w:rFonts w:ascii="Times New Roman" w:eastAsia="Calibri" w:hAnsi="Times New Roman" w:cs="Times New Roman"/>
          <w:b/>
          <w:color w:val="000000"/>
          <w:sz w:val="24"/>
          <w:szCs w:val="24"/>
          <w:lang w:val="en-AU"/>
        </w:rPr>
        <w:lastRenderedPageBreak/>
        <w:t>Water deprivation</w:t>
      </w:r>
      <w:bookmarkEnd w:id="49"/>
    </w:p>
    <w:p w14:paraId="151A5B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 and 18, all animals were water restricted for 22h prior to testing. Test sessions were identical to acquisition sessions. Animals were given 2 hours of free access to water 2 hours after test sessions. Animals were given 24 hours of ad libitum access to water after day 18 before any further testing to ensure animals were no longer thirsty in subsequent tests.</w:t>
      </w:r>
    </w:p>
    <w:p w14:paraId="2F2D17B3"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50" w:name="_Toc417305087"/>
      <w:r w:rsidRPr="00CB3771">
        <w:rPr>
          <w:rFonts w:ascii="Times New Roman" w:eastAsia="Calibri" w:hAnsi="Times New Roman" w:cs="Times New Roman"/>
          <w:b/>
          <w:color w:val="000000"/>
          <w:sz w:val="24"/>
          <w:szCs w:val="24"/>
          <w:lang w:val="en-AU"/>
        </w:rPr>
        <w:t>Un-Signalled Reward Shift</w:t>
      </w:r>
      <w:bookmarkEnd w:id="50"/>
    </w:p>
    <w:p w14:paraId="6FF3047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testing days 19 and 20 received 2 sessions of acquisition with an increased magnitude of un-signalled reward delivery. Specifically, the size of the dipper cup was increased from 0.01 to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of fluid so that each un-signalled reward was increased in volume.</w:t>
      </w:r>
    </w:p>
    <w:p w14:paraId="5900472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51" w:name="_Toc417305088"/>
      <w:r w:rsidRPr="00CB3771">
        <w:rPr>
          <w:rFonts w:ascii="Times New Roman" w:eastAsia="Calibri" w:hAnsi="Times New Roman" w:cs="Times New Roman"/>
          <w:b/>
          <w:color w:val="000000"/>
          <w:sz w:val="24"/>
          <w:szCs w:val="24"/>
          <w:lang w:val="en-AU"/>
        </w:rPr>
        <w:t>Surgery and drug infusions</w:t>
      </w:r>
      <w:bookmarkEnd w:id="51"/>
    </w:p>
    <w:p w14:paraId="7AB6032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testing day 20 all animals were taken off food restriction and underwent surgical implantation of guide cannulae targeting the lateral OFC. </w:t>
      </w:r>
    </w:p>
    <w:p w14:paraId="33A499A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52" w:name="_Toc417305089"/>
      <w:r w:rsidRPr="00CB3771">
        <w:rPr>
          <w:rFonts w:ascii="Times New Roman" w:eastAsia="Calibri" w:hAnsi="Times New Roman" w:cs="Times New Roman"/>
          <w:b/>
          <w:color w:val="000000"/>
          <w:sz w:val="24"/>
          <w:szCs w:val="24"/>
          <w:lang w:val="en-AU"/>
        </w:rPr>
        <w:t>Test</w:t>
      </w:r>
      <w:bookmarkEnd w:id="52"/>
    </w:p>
    <w:p w14:paraId="4CA89B3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received 3 days of training immediately preceded by dummy infusions. All post-operative sessions used the larger sucrose dipper cup volume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Following this, all animals received 2 days of training in which they received 1 test day under saline infusion and 1 test day under muscimol infusion. The order of infusion days was counterbalanced. Test sessions were shortened to only 2 blocks with a fixed progression from low probability (p = 2/24) to high probability (p = 8/24) of un-signalled reward. This was done to ensure that muscimol was still active during the test session by keeping the session duration to 30 mins. </w:t>
      </w:r>
    </w:p>
    <w:p w14:paraId="7B57D2F0" w14:textId="77777777" w:rsidR="006B4DE6" w:rsidRPr="00CB3771" w:rsidRDefault="006B4DE6" w:rsidP="006B4DE6">
      <w:pPr>
        <w:spacing w:after="240" w:line="360" w:lineRule="auto"/>
        <w:rPr>
          <w:rFonts w:ascii="Times New Roman" w:eastAsia="Times New Roman" w:hAnsi="Times New Roman" w:cs="Times New Roman"/>
          <w:b/>
          <w:color w:val="000000"/>
          <w:sz w:val="24"/>
          <w:szCs w:val="24"/>
          <w:lang w:val="en-AU"/>
        </w:rPr>
      </w:pPr>
      <w:r w:rsidRPr="00CB3771">
        <w:rPr>
          <w:rFonts w:ascii="Times New Roman" w:eastAsia="Times New Roman" w:hAnsi="Times New Roman" w:cs="Times New Roman"/>
          <w:b/>
          <w:color w:val="000000"/>
          <w:sz w:val="24"/>
          <w:szCs w:val="24"/>
          <w:lang w:val="en-AU"/>
        </w:rPr>
        <w:t>Response Analysis</w:t>
      </w:r>
    </w:p>
    <w:p w14:paraId="73443D5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b/>
        <w:t>It is important to note that all magazine responding in this procedure was analysed from periods in which the dipper reward was not physically present to eliminate the possibility that magazine responses simply reflect sucrose consumption.</w:t>
      </w:r>
    </w:p>
    <w:p w14:paraId="1BF2321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53" w:name="_Toc417305092"/>
      <w:r w:rsidRPr="00CB3771">
        <w:rPr>
          <w:rFonts w:ascii="Times New Roman" w:eastAsia="Calibri" w:hAnsi="Times New Roman" w:cs="Times New Roman"/>
          <w:b/>
          <w:color w:val="000000"/>
          <w:sz w:val="24"/>
          <w:szCs w:val="24"/>
          <w:lang w:val="en-AU"/>
        </w:rPr>
        <w:t>Histology</w:t>
      </w:r>
      <w:bookmarkEnd w:id="53"/>
    </w:p>
    <w:p w14:paraId="3577423D" w14:textId="77777777"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Cannulae placements are illustrated </w:t>
      </w:r>
      <w:r w:rsidRPr="00CB3771">
        <w:rPr>
          <w:rFonts w:ascii="Times New Roman" w:eastAsia="Calibri" w:hAnsi="Times New Roman" w:cs="Times New Roman"/>
          <w:sz w:val="24"/>
          <w:szCs w:val="24"/>
          <w:lang w:val="en-AU"/>
        </w:rPr>
        <w:t>in (</w:t>
      </w:r>
      <w:r w:rsidRPr="00CB3771">
        <w:rPr>
          <w:rFonts w:ascii="Times New Roman" w:eastAsia="Calibri" w:hAnsi="Times New Roman" w:cs="Times New Roman"/>
          <w:sz w:val="24"/>
          <w:szCs w:val="24"/>
          <w:highlight w:val="yellow"/>
          <w:lang w:val="en-AU"/>
        </w:rPr>
        <w:t>FIGXXX)</w:t>
      </w:r>
      <w:r w:rsidRPr="00CB3771">
        <w:rPr>
          <w:rFonts w:ascii="Times New Roman" w:eastAsia="Calibri" w:hAnsi="Times New Roman" w:cs="Times New Roman"/>
          <w:sz w:val="24"/>
          <w:szCs w:val="24"/>
          <w:lang w:val="en-AU"/>
        </w:rPr>
        <w:t xml:space="preserve">. </w:t>
      </w:r>
      <w:r w:rsidRPr="00CB3771">
        <w:rPr>
          <w:rFonts w:ascii="Times New Roman" w:eastAsia="Calibri" w:hAnsi="Times New Roman" w:cs="Times New Roman"/>
          <w:color w:val="000000"/>
          <w:sz w:val="24"/>
          <w:szCs w:val="24"/>
          <w:lang w:val="en-AU"/>
        </w:rPr>
        <w:t xml:space="preserve">Two animals were due to the cannulae assembly losing patency during post-operatively. Therefore, a total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6 animals were tested post-operatively.</w:t>
      </w:r>
    </w:p>
    <w:p w14:paraId="0E8DE1A1" w14:textId="77777777" w:rsidR="006B4DE6" w:rsidRPr="004D6E79" w:rsidRDefault="006B4DE6" w:rsidP="00F56CB9">
      <w:pPr>
        <w:pStyle w:val="BodyText"/>
        <w:rPr>
          <w:b/>
          <w:bCs/>
        </w:rPr>
      </w:pPr>
    </w:p>
    <w:p w14:paraId="019528A4" w14:textId="77777777" w:rsidR="00DA2A28" w:rsidRDefault="00DA2A28" w:rsidP="008359E2">
      <w:pPr>
        <w:pStyle w:val="BodyText"/>
      </w:pPr>
    </w:p>
    <w:p w14:paraId="3720E2BB" w14:textId="77777777" w:rsidR="00DA2A28" w:rsidRDefault="00DA2A28" w:rsidP="008359E2">
      <w:pPr>
        <w:pStyle w:val="BodyText"/>
      </w:pPr>
    </w:p>
    <w:p w14:paraId="0BDD1456" w14:textId="77777777" w:rsidR="00543681" w:rsidRDefault="00543681" w:rsidP="001F2701">
      <w:pPr>
        <w:pStyle w:val="BodyText"/>
      </w:pPr>
    </w:p>
    <w:p w14:paraId="42B217BF" w14:textId="77777777" w:rsidR="003A7D3D" w:rsidRDefault="003A7D3D"/>
    <w:sectPr w:rsidR="003A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532CD5"/>
    <w:multiLevelType w:val="hybridMultilevel"/>
    <w:tmpl w:val="2C60C6F4"/>
    <w:lvl w:ilvl="0" w:tplc="F0CC485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D601F44"/>
    <w:multiLevelType w:val="hybridMultilevel"/>
    <w:tmpl w:val="ACB295AC"/>
    <w:lvl w:ilvl="0" w:tplc="EAB0FB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4A"/>
    <w:rsid w:val="00000454"/>
    <w:rsid w:val="00002C93"/>
    <w:rsid w:val="0000311C"/>
    <w:rsid w:val="00014C30"/>
    <w:rsid w:val="00015DF8"/>
    <w:rsid w:val="0001699A"/>
    <w:rsid w:val="00022BFE"/>
    <w:rsid w:val="000273B9"/>
    <w:rsid w:val="00027A91"/>
    <w:rsid w:val="00033B6B"/>
    <w:rsid w:val="00036D09"/>
    <w:rsid w:val="0004077C"/>
    <w:rsid w:val="00040D80"/>
    <w:rsid w:val="00041056"/>
    <w:rsid w:val="00041B0E"/>
    <w:rsid w:val="00042DFE"/>
    <w:rsid w:val="000432F9"/>
    <w:rsid w:val="00044A61"/>
    <w:rsid w:val="00045376"/>
    <w:rsid w:val="00050079"/>
    <w:rsid w:val="000515D0"/>
    <w:rsid w:val="00053481"/>
    <w:rsid w:val="00055101"/>
    <w:rsid w:val="0005681E"/>
    <w:rsid w:val="000603BF"/>
    <w:rsid w:val="0006632F"/>
    <w:rsid w:val="00071617"/>
    <w:rsid w:val="00074141"/>
    <w:rsid w:val="00075BDE"/>
    <w:rsid w:val="00076F2C"/>
    <w:rsid w:val="00077A1D"/>
    <w:rsid w:val="00080337"/>
    <w:rsid w:val="00084C0F"/>
    <w:rsid w:val="00086767"/>
    <w:rsid w:val="000869AD"/>
    <w:rsid w:val="000879A2"/>
    <w:rsid w:val="00087E6F"/>
    <w:rsid w:val="00095486"/>
    <w:rsid w:val="00096B58"/>
    <w:rsid w:val="000A14B5"/>
    <w:rsid w:val="000B014B"/>
    <w:rsid w:val="000B0218"/>
    <w:rsid w:val="000B0B4F"/>
    <w:rsid w:val="000B7FBA"/>
    <w:rsid w:val="000C4CD7"/>
    <w:rsid w:val="000C6140"/>
    <w:rsid w:val="000D3865"/>
    <w:rsid w:val="000D7B1E"/>
    <w:rsid w:val="000E38FD"/>
    <w:rsid w:val="000E6C9A"/>
    <w:rsid w:val="000E6E66"/>
    <w:rsid w:val="000E7621"/>
    <w:rsid w:val="000F039D"/>
    <w:rsid w:val="000F0A98"/>
    <w:rsid w:val="000F66F9"/>
    <w:rsid w:val="00103933"/>
    <w:rsid w:val="00105877"/>
    <w:rsid w:val="0010752D"/>
    <w:rsid w:val="00113618"/>
    <w:rsid w:val="00114A88"/>
    <w:rsid w:val="00116100"/>
    <w:rsid w:val="00122280"/>
    <w:rsid w:val="001245F1"/>
    <w:rsid w:val="00130478"/>
    <w:rsid w:val="00130D72"/>
    <w:rsid w:val="00130EC4"/>
    <w:rsid w:val="0013327E"/>
    <w:rsid w:val="00135D13"/>
    <w:rsid w:val="00136F82"/>
    <w:rsid w:val="001409D4"/>
    <w:rsid w:val="00141B9C"/>
    <w:rsid w:val="00145779"/>
    <w:rsid w:val="001510CE"/>
    <w:rsid w:val="00152ABF"/>
    <w:rsid w:val="00152EE6"/>
    <w:rsid w:val="001536F4"/>
    <w:rsid w:val="0015666C"/>
    <w:rsid w:val="00163969"/>
    <w:rsid w:val="0016431B"/>
    <w:rsid w:val="00164A41"/>
    <w:rsid w:val="00164D4B"/>
    <w:rsid w:val="00165428"/>
    <w:rsid w:val="001665A9"/>
    <w:rsid w:val="00183C55"/>
    <w:rsid w:val="00183D51"/>
    <w:rsid w:val="001855D5"/>
    <w:rsid w:val="00192667"/>
    <w:rsid w:val="001926D0"/>
    <w:rsid w:val="0019351A"/>
    <w:rsid w:val="00196D94"/>
    <w:rsid w:val="001A6C50"/>
    <w:rsid w:val="001B0649"/>
    <w:rsid w:val="001B1C51"/>
    <w:rsid w:val="001B264C"/>
    <w:rsid w:val="001B31CF"/>
    <w:rsid w:val="001B44BD"/>
    <w:rsid w:val="001B767A"/>
    <w:rsid w:val="001C28CE"/>
    <w:rsid w:val="001C6A84"/>
    <w:rsid w:val="001C7F89"/>
    <w:rsid w:val="001D5590"/>
    <w:rsid w:val="001D7A4F"/>
    <w:rsid w:val="001D7BB0"/>
    <w:rsid w:val="001E2351"/>
    <w:rsid w:val="001E271F"/>
    <w:rsid w:val="001E3C42"/>
    <w:rsid w:val="001E631D"/>
    <w:rsid w:val="001E6641"/>
    <w:rsid w:val="001E71CD"/>
    <w:rsid w:val="001F2701"/>
    <w:rsid w:val="001F2782"/>
    <w:rsid w:val="001F5078"/>
    <w:rsid w:val="001F5482"/>
    <w:rsid w:val="001F5AAA"/>
    <w:rsid w:val="001F5FD4"/>
    <w:rsid w:val="001F607A"/>
    <w:rsid w:val="001F6276"/>
    <w:rsid w:val="001F78F4"/>
    <w:rsid w:val="00200E3E"/>
    <w:rsid w:val="00200F6F"/>
    <w:rsid w:val="00203FE2"/>
    <w:rsid w:val="00204F4E"/>
    <w:rsid w:val="00207AAD"/>
    <w:rsid w:val="002210B0"/>
    <w:rsid w:val="00224776"/>
    <w:rsid w:val="00230585"/>
    <w:rsid w:val="00241F01"/>
    <w:rsid w:val="0024476D"/>
    <w:rsid w:val="00246F20"/>
    <w:rsid w:val="0025144D"/>
    <w:rsid w:val="0025314B"/>
    <w:rsid w:val="002538EE"/>
    <w:rsid w:val="002539A6"/>
    <w:rsid w:val="00255F0E"/>
    <w:rsid w:val="002602D2"/>
    <w:rsid w:val="002607C3"/>
    <w:rsid w:val="0026241D"/>
    <w:rsid w:val="00263DBE"/>
    <w:rsid w:val="002662B5"/>
    <w:rsid w:val="00273794"/>
    <w:rsid w:val="002752A9"/>
    <w:rsid w:val="002764CD"/>
    <w:rsid w:val="002773FF"/>
    <w:rsid w:val="00285D81"/>
    <w:rsid w:val="00293003"/>
    <w:rsid w:val="00297B64"/>
    <w:rsid w:val="00297BC3"/>
    <w:rsid w:val="002A6F2D"/>
    <w:rsid w:val="002A7CA9"/>
    <w:rsid w:val="002B509E"/>
    <w:rsid w:val="002C4C6C"/>
    <w:rsid w:val="002C5570"/>
    <w:rsid w:val="002D2A1F"/>
    <w:rsid w:val="002D4754"/>
    <w:rsid w:val="002E2A8A"/>
    <w:rsid w:val="002E2B52"/>
    <w:rsid w:val="002E659B"/>
    <w:rsid w:val="002E66BC"/>
    <w:rsid w:val="002E6720"/>
    <w:rsid w:val="002F29CE"/>
    <w:rsid w:val="00300D0E"/>
    <w:rsid w:val="00305CC9"/>
    <w:rsid w:val="00306E00"/>
    <w:rsid w:val="00306F2E"/>
    <w:rsid w:val="00310864"/>
    <w:rsid w:val="0031240D"/>
    <w:rsid w:val="00315052"/>
    <w:rsid w:val="00316B19"/>
    <w:rsid w:val="00316D71"/>
    <w:rsid w:val="00322B48"/>
    <w:rsid w:val="00327F94"/>
    <w:rsid w:val="003332C9"/>
    <w:rsid w:val="0033544F"/>
    <w:rsid w:val="00337A19"/>
    <w:rsid w:val="00337D23"/>
    <w:rsid w:val="0034169C"/>
    <w:rsid w:val="00341C66"/>
    <w:rsid w:val="00351423"/>
    <w:rsid w:val="00361B6B"/>
    <w:rsid w:val="00363416"/>
    <w:rsid w:val="00363D21"/>
    <w:rsid w:val="00365819"/>
    <w:rsid w:val="00367EA9"/>
    <w:rsid w:val="00371C33"/>
    <w:rsid w:val="00372F9D"/>
    <w:rsid w:val="003730B9"/>
    <w:rsid w:val="0038204D"/>
    <w:rsid w:val="00384050"/>
    <w:rsid w:val="00384BA5"/>
    <w:rsid w:val="00385F55"/>
    <w:rsid w:val="00391B02"/>
    <w:rsid w:val="00394431"/>
    <w:rsid w:val="003949C5"/>
    <w:rsid w:val="003A01E8"/>
    <w:rsid w:val="003A0F63"/>
    <w:rsid w:val="003A1D41"/>
    <w:rsid w:val="003A5BC0"/>
    <w:rsid w:val="003A7D3D"/>
    <w:rsid w:val="003A7F4D"/>
    <w:rsid w:val="003B34FF"/>
    <w:rsid w:val="003B3CCD"/>
    <w:rsid w:val="003C2DA8"/>
    <w:rsid w:val="003C5297"/>
    <w:rsid w:val="003D18DA"/>
    <w:rsid w:val="003D2335"/>
    <w:rsid w:val="003D5816"/>
    <w:rsid w:val="003D7F2D"/>
    <w:rsid w:val="003E2123"/>
    <w:rsid w:val="003E6D4B"/>
    <w:rsid w:val="003E745C"/>
    <w:rsid w:val="003F4E23"/>
    <w:rsid w:val="003F4E9E"/>
    <w:rsid w:val="003F5257"/>
    <w:rsid w:val="003F6C8A"/>
    <w:rsid w:val="00400837"/>
    <w:rsid w:val="00401DF9"/>
    <w:rsid w:val="00414EAC"/>
    <w:rsid w:val="00417F8D"/>
    <w:rsid w:val="004224D3"/>
    <w:rsid w:val="004320CD"/>
    <w:rsid w:val="00433113"/>
    <w:rsid w:val="00433376"/>
    <w:rsid w:val="00435878"/>
    <w:rsid w:val="004403DF"/>
    <w:rsid w:val="00441A0C"/>
    <w:rsid w:val="004437AA"/>
    <w:rsid w:val="00444B66"/>
    <w:rsid w:val="00445EC5"/>
    <w:rsid w:val="00452FC5"/>
    <w:rsid w:val="00456D14"/>
    <w:rsid w:val="00460E09"/>
    <w:rsid w:val="00460F35"/>
    <w:rsid w:val="004628FD"/>
    <w:rsid w:val="004632FC"/>
    <w:rsid w:val="004645AD"/>
    <w:rsid w:val="00464BF8"/>
    <w:rsid w:val="00465635"/>
    <w:rsid w:val="004673D9"/>
    <w:rsid w:val="0047033E"/>
    <w:rsid w:val="00473937"/>
    <w:rsid w:val="004779A5"/>
    <w:rsid w:val="00480494"/>
    <w:rsid w:val="004807A8"/>
    <w:rsid w:val="00480D53"/>
    <w:rsid w:val="00481C7F"/>
    <w:rsid w:val="0048388C"/>
    <w:rsid w:val="0048405F"/>
    <w:rsid w:val="004A0E9F"/>
    <w:rsid w:val="004A7861"/>
    <w:rsid w:val="004C76D8"/>
    <w:rsid w:val="004C778B"/>
    <w:rsid w:val="004D5DFF"/>
    <w:rsid w:val="004D6812"/>
    <w:rsid w:val="004D6E79"/>
    <w:rsid w:val="004E0C01"/>
    <w:rsid w:val="004E142A"/>
    <w:rsid w:val="004E1546"/>
    <w:rsid w:val="004E3DAE"/>
    <w:rsid w:val="004E45CA"/>
    <w:rsid w:val="004F5644"/>
    <w:rsid w:val="004F616B"/>
    <w:rsid w:val="004F6451"/>
    <w:rsid w:val="004F64A8"/>
    <w:rsid w:val="00501540"/>
    <w:rsid w:val="00501739"/>
    <w:rsid w:val="00502544"/>
    <w:rsid w:val="00503C1D"/>
    <w:rsid w:val="00504A92"/>
    <w:rsid w:val="00504ACE"/>
    <w:rsid w:val="00505FC1"/>
    <w:rsid w:val="00506B43"/>
    <w:rsid w:val="0050758B"/>
    <w:rsid w:val="00507DF7"/>
    <w:rsid w:val="00510C29"/>
    <w:rsid w:val="00512AA5"/>
    <w:rsid w:val="00524762"/>
    <w:rsid w:val="0052592B"/>
    <w:rsid w:val="0052691C"/>
    <w:rsid w:val="00532C62"/>
    <w:rsid w:val="00533068"/>
    <w:rsid w:val="005334C2"/>
    <w:rsid w:val="00534EFE"/>
    <w:rsid w:val="00537C4F"/>
    <w:rsid w:val="00543681"/>
    <w:rsid w:val="00546588"/>
    <w:rsid w:val="005540C4"/>
    <w:rsid w:val="005552D2"/>
    <w:rsid w:val="00556135"/>
    <w:rsid w:val="00557282"/>
    <w:rsid w:val="00567C1F"/>
    <w:rsid w:val="00570647"/>
    <w:rsid w:val="005772BC"/>
    <w:rsid w:val="0058286B"/>
    <w:rsid w:val="0059267C"/>
    <w:rsid w:val="00596AFF"/>
    <w:rsid w:val="005A027E"/>
    <w:rsid w:val="005A0587"/>
    <w:rsid w:val="005A15D6"/>
    <w:rsid w:val="005A26E3"/>
    <w:rsid w:val="005A26E5"/>
    <w:rsid w:val="005B04CA"/>
    <w:rsid w:val="005B16B3"/>
    <w:rsid w:val="005B2C3C"/>
    <w:rsid w:val="005B4B6F"/>
    <w:rsid w:val="005B51AF"/>
    <w:rsid w:val="005B564D"/>
    <w:rsid w:val="005B6748"/>
    <w:rsid w:val="005B77CF"/>
    <w:rsid w:val="005B7D1F"/>
    <w:rsid w:val="005C16B3"/>
    <w:rsid w:val="005C336A"/>
    <w:rsid w:val="005C534C"/>
    <w:rsid w:val="005E0701"/>
    <w:rsid w:val="005E47B5"/>
    <w:rsid w:val="005E61C0"/>
    <w:rsid w:val="005E63EC"/>
    <w:rsid w:val="005F0102"/>
    <w:rsid w:val="005F0261"/>
    <w:rsid w:val="005F2509"/>
    <w:rsid w:val="005F2F34"/>
    <w:rsid w:val="006023D5"/>
    <w:rsid w:val="006058F8"/>
    <w:rsid w:val="00616B8E"/>
    <w:rsid w:val="00623457"/>
    <w:rsid w:val="006243D2"/>
    <w:rsid w:val="00625094"/>
    <w:rsid w:val="006255AB"/>
    <w:rsid w:val="006256F7"/>
    <w:rsid w:val="00625F62"/>
    <w:rsid w:val="00626E0D"/>
    <w:rsid w:val="00632BFC"/>
    <w:rsid w:val="00636F32"/>
    <w:rsid w:val="0063715E"/>
    <w:rsid w:val="00637C18"/>
    <w:rsid w:val="00640836"/>
    <w:rsid w:val="006410ED"/>
    <w:rsid w:val="0064141C"/>
    <w:rsid w:val="00642615"/>
    <w:rsid w:val="006437C1"/>
    <w:rsid w:val="006444FC"/>
    <w:rsid w:val="006464EA"/>
    <w:rsid w:val="006539CF"/>
    <w:rsid w:val="006542DB"/>
    <w:rsid w:val="00656441"/>
    <w:rsid w:val="00656E11"/>
    <w:rsid w:val="00660401"/>
    <w:rsid w:val="00660446"/>
    <w:rsid w:val="00665855"/>
    <w:rsid w:val="0067425B"/>
    <w:rsid w:val="00674964"/>
    <w:rsid w:val="00677C5E"/>
    <w:rsid w:val="00682AAB"/>
    <w:rsid w:val="00687FED"/>
    <w:rsid w:val="00690A1C"/>
    <w:rsid w:val="00691C23"/>
    <w:rsid w:val="00696874"/>
    <w:rsid w:val="006A149F"/>
    <w:rsid w:val="006B15A4"/>
    <w:rsid w:val="006B3029"/>
    <w:rsid w:val="006B4DE6"/>
    <w:rsid w:val="006B6F29"/>
    <w:rsid w:val="006B778A"/>
    <w:rsid w:val="006C7CDE"/>
    <w:rsid w:val="006D28FD"/>
    <w:rsid w:val="006D2B09"/>
    <w:rsid w:val="006D39C9"/>
    <w:rsid w:val="006E2B71"/>
    <w:rsid w:val="006E31DD"/>
    <w:rsid w:val="006E32DB"/>
    <w:rsid w:val="006E44B7"/>
    <w:rsid w:val="006E5B91"/>
    <w:rsid w:val="006E65C7"/>
    <w:rsid w:val="006F5A97"/>
    <w:rsid w:val="006F737B"/>
    <w:rsid w:val="007065D9"/>
    <w:rsid w:val="00706BE6"/>
    <w:rsid w:val="00707EC5"/>
    <w:rsid w:val="00711464"/>
    <w:rsid w:val="00711B76"/>
    <w:rsid w:val="00715661"/>
    <w:rsid w:val="00732FEA"/>
    <w:rsid w:val="007344AB"/>
    <w:rsid w:val="00742E9A"/>
    <w:rsid w:val="007518B0"/>
    <w:rsid w:val="00752169"/>
    <w:rsid w:val="007561D2"/>
    <w:rsid w:val="0075622A"/>
    <w:rsid w:val="00760F60"/>
    <w:rsid w:val="007620C6"/>
    <w:rsid w:val="00763958"/>
    <w:rsid w:val="00770053"/>
    <w:rsid w:val="00772C3E"/>
    <w:rsid w:val="0077404F"/>
    <w:rsid w:val="007740BE"/>
    <w:rsid w:val="00774351"/>
    <w:rsid w:val="007747F8"/>
    <w:rsid w:val="00774CAC"/>
    <w:rsid w:val="00775821"/>
    <w:rsid w:val="00780992"/>
    <w:rsid w:val="00782A13"/>
    <w:rsid w:val="00791EE5"/>
    <w:rsid w:val="00794BD4"/>
    <w:rsid w:val="00795184"/>
    <w:rsid w:val="007A0709"/>
    <w:rsid w:val="007A0B33"/>
    <w:rsid w:val="007A7254"/>
    <w:rsid w:val="007B2EE6"/>
    <w:rsid w:val="007B44AE"/>
    <w:rsid w:val="007B6F7C"/>
    <w:rsid w:val="007B736F"/>
    <w:rsid w:val="007B75B5"/>
    <w:rsid w:val="007C029B"/>
    <w:rsid w:val="007C2353"/>
    <w:rsid w:val="007C26F3"/>
    <w:rsid w:val="007C67EA"/>
    <w:rsid w:val="007C6922"/>
    <w:rsid w:val="007C72EC"/>
    <w:rsid w:val="007D0794"/>
    <w:rsid w:val="007D0A4A"/>
    <w:rsid w:val="007D1A58"/>
    <w:rsid w:val="007D2402"/>
    <w:rsid w:val="007D34D6"/>
    <w:rsid w:val="007D77C7"/>
    <w:rsid w:val="007E0427"/>
    <w:rsid w:val="007E2415"/>
    <w:rsid w:val="007E2F04"/>
    <w:rsid w:val="007E5B5B"/>
    <w:rsid w:val="007E76D6"/>
    <w:rsid w:val="007F206C"/>
    <w:rsid w:val="007F67D5"/>
    <w:rsid w:val="008008AE"/>
    <w:rsid w:val="008008D5"/>
    <w:rsid w:val="00800AE5"/>
    <w:rsid w:val="00801814"/>
    <w:rsid w:val="0080192A"/>
    <w:rsid w:val="00804058"/>
    <w:rsid w:val="00807603"/>
    <w:rsid w:val="00811F0D"/>
    <w:rsid w:val="0081295A"/>
    <w:rsid w:val="00821693"/>
    <w:rsid w:val="0082170C"/>
    <w:rsid w:val="00823BA6"/>
    <w:rsid w:val="00823E9F"/>
    <w:rsid w:val="00825403"/>
    <w:rsid w:val="00830B75"/>
    <w:rsid w:val="008332A6"/>
    <w:rsid w:val="00833896"/>
    <w:rsid w:val="008359E2"/>
    <w:rsid w:val="0084057B"/>
    <w:rsid w:val="00844071"/>
    <w:rsid w:val="00845073"/>
    <w:rsid w:val="00845C6A"/>
    <w:rsid w:val="008477FB"/>
    <w:rsid w:val="00850B81"/>
    <w:rsid w:val="0085278A"/>
    <w:rsid w:val="00855EB4"/>
    <w:rsid w:val="00860445"/>
    <w:rsid w:val="00861576"/>
    <w:rsid w:val="0086392A"/>
    <w:rsid w:val="00863FE8"/>
    <w:rsid w:val="0086528B"/>
    <w:rsid w:val="008665CD"/>
    <w:rsid w:val="00867090"/>
    <w:rsid w:val="00867748"/>
    <w:rsid w:val="008718F1"/>
    <w:rsid w:val="00875ED3"/>
    <w:rsid w:val="008775A0"/>
    <w:rsid w:val="00877A84"/>
    <w:rsid w:val="0088149E"/>
    <w:rsid w:val="00882B4C"/>
    <w:rsid w:val="0088614C"/>
    <w:rsid w:val="00886AF6"/>
    <w:rsid w:val="00886BC2"/>
    <w:rsid w:val="00886F0D"/>
    <w:rsid w:val="00887885"/>
    <w:rsid w:val="00891B0D"/>
    <w:rsid w:val="008A0350"/>
    <w:rsid w:val="008A3871"/>
    <w:rsid w:val="008A63AF"/>
    <w:rsid w:val="008B0792"/>
    <w:rsid w:val="008C3B4A"/>
    <w:rsid w:val="008C3F68"/>
    <w:rsid w:val="008C5B73"/>
    <w:rsid w:val="008C5EF8"/>
    <w:rsid w:val="008C6212"/>
    <w:rsid w:val="008C6C49"/>
    <w:rsid w:val="008C7D3A"/>
    <w:rsid w:val="008D358C"/>
    <w:rsid w:val="008D35CB"/>
    <w:rsid w:val="008D7A40"/>
    <w:rsid w:val="008E0487"/>
    <w:rsid w:val="008E14AB"/>
    <w:rsid w:val="008F1072"/>
    <w:rsid w:val="008F1B97"/>
    <w:rsid w:val="008F2FFA"/>
    <w:rsid w:val="008F6113"/>
    <w:rsid w:val="009010DA"/>
    <w:rsid w:val="00901C92"/>
    <w:rsid w:val="0090306A"/>
    <w:rsid w:val="0090665A"/>
    <w:rsid w:val="00910F5E"/>
    <w:rsid w:val="00916723"/>
    <w:rsid w:val="00917E4F"/>
    <w:rsid w:val="00920EA3"/>
    <w:rsid w:val="00922170"/>
    <w:rsid w:val="0092235C"/>
    <w:rsid w:val="00923A58"/>
    <w:rsid w:val="009320DE"/>
    <w:rsid w:val="00933B2C"/>
    <w:rsid w:val="00934FA4"/>
    <w:rsid w:val="00940ADC"/>
    <w:rsid w:val="00946107"/>
    <w:rsid w:val="00947DFB"/>
    <w:rsid w:val="00952E58"/>
    <w:rsid w:val="00955064"/>
    <w:rsid w:val="009550DE"/>
    <w:rsid w:val="00963535"/>
    <w:rsid w:val="00964000"/>
    <w:rsid w:val="00971589"/>
    <w:rsid w:val="00980EBF"/>
    <w:rsid w:val="00981EE0"/>
    <w:rsid w:val="00982A5D"/>
    <w:rsid w:val="00986352"/>
    <w:rsid w:val="009900A4"/>
    <w:rsid w:val="00991CBB"/>
    <w:rsid w:val="00991FE5"/>
    <w:rsid w:val="00993C2A"/>
    <w:rsid w:val="00994493"/>
    <w:rsid w:val="00994C11"/>
    <w:rsid w:val="00995D81"/>
    <w:rsid w:val="009A0B5F"/>
    <w:rsid w:val="009A3D22"/>
    <w:rsid w:val="009A59B2"/>
    <w:rsid w:val="009B6225"/>
    <w:rsid w:val="009D04C1"/>
    <w:rsid w:val="009D07D9"/>
    <w:rsid w:val="009D1CF6"/>
    <w:rsid w:val="009D3AEB"/>
    <w:rsid w:val="009D524A"/>
    <w:rsid w:val="009D5F3F"/>
    <w:rsid w:val="009D674F"/>
    <w:rsid w:val="009D75C7"/>
    <w:rsid w:val="009F182F"/>
    <w:rsid w:val="009F308F"/>
    <w:rsid w:val="009F4800"/>
    <w:rsid w:val="009F5D99"/>
    <w:rsid w:val="009F60E6"/>
    <w:rsid w:val="00A04D1B"/>
    <w:rsid w:val="00A06C75"/>
    <w:rsid w:val="00A13431"/>
    <w:rsid w:val="00A143A4"/>
    <w:rsid w:val="00A1696E"/>
    <w:rsid w:val="00A351B9"/>
    <w:rsid w:val="00A4094A"/>
    <w:rsid w:val="00A412BD"/>
    <w:rsid w:val="00A426B6"/>
    <w:rsid w:val="00A42E20"/>
    <w:rsid w:val="00A5719C"/>
    <w:rsid w:val="00A616F1"/>
    <w:rsid w:val="00A62B52"/>
    <w:rsid w:val="00A669E6"/>
    <w:rsid w:val="00A7033C"/>
    <w:rsid w:val="00A8110C"/>
    <w:rsid w:val="00A82FD4"/>
    <w:rsid w:val="00A83BD3"/>
    <w:rsid w:val="00A846BE"/>
    <w:rsid w:val="00A84EE9"/>
    <w:rsid w:val="00A85597"/>
    <w:rsid w:val="00A9040B"/>
    <w:rsid w:val="00A91346"/>
    <w:rsid w:val="00A91468"/>
    <w:rsid w:val="00A929E2"/>
    <w:rsid w:val="00A9356B"/>
    <w:rsid w:val="00A96C2E"/>
    <w:rsid w:val="00A96E48"/>
    <w:rsid w:val="00AA037B"/>
    <w:rsid w:val="00AA0A4B"/>
    <w:rsid w:val="00AA2CCD"/>
    <w:rsid w:val="00AA2F48"/>
    <w:rsid w:val="00AA437A"/>
    <w:rsid w:val="00AA7A0B"/>
    <w:rsid w:val="00AB44D5"/>
    <w:rsid w:val="00AB613A"/>
    <w:rsid w:val="00AC0C3E"/>
    <w:rsid w:val="00AC3473"/>
    <w:rsid w:val="00AC46D2"/>
    <w:rsid w:val="00AC6E3A"/>
    <w:rsid w:val="00AD1614"/>
    <w:rsid w:val="00AD3D0F"/>
    <w:rsid w:val="00AD79B7"/>
    <w:rsid w:val="00AE2BCB"/>
    <w:rsid w:val="00AE4A50"/>
    <w:rsid w:val="00AE518A"/>
    <w:rsid w:val="00AF30A0"/>
    <w:rsid w:val="00AF31DD"/>
    <w:rsid w:val="00B1010F"/>
    <w:rsid w:val="00B103A5"/>
    <w:rsid w:val="00B1279E"/>
    <w:rsid w:val="00B15346"/>
    <w:rsid w:val="00B1727B"/>
    <w:rsid w:val="00B17E5F"/>
    <w:rsid w:val="00B20B12"/>
    <w:rsid w:val="00B25283"/>
    <w:rsid w:val="00B25B14"/>
    <w:rsid w:val="00B26A49"/>
    <w:rsid w:val="00B27FF5"/>
    <w:rsid w:val="00B30A7F"/>
    <w:rsid w:val="00B31871"/>
    <w:rsid w:val="00B336DF"/>
    <w:rsid w:val="00B44CC2"/>
    <w:rsid w:val="00B4510C"/>
    <w:rsid w:val="00B45BBC"/>
    <w:rsid w:val="00B4632A"/>
    <w:rsid w:val="00B511A7"/>
    <w:rsid w:val="00B53A9D"/>
    <w:rsid w:val="00B5493A"/>
    <w:rsid w:val="00B54C85"/>
    <w:rsid w:val="00B67BF0"/>
    <w:rsid w:val="00B72D91"/>
    <w:rsid w:val="00B81857"/>
    <w:rsid w:val="00B857F4"/>
    <w:rsid w:val="00B9029E"/>
    <w:rsid w:val="00B91D51"/>
    <w:rsid w:val="00B944F0"/>
    <w:rsid w:val="00B948AE"/>
    <w:rsid w:val="00B9576A"/>
    <w:rsid w:val="00B95E73"/>
    <w:rsid w:val="00B978A9"/>
    <w:rsid w:val="00BA1803"/>
    <w:rsid w:val="00BA1A91"/>
    <w:rsid w:val="00BA1AB2"/>
    <w:rsid w:val="00BA4358"/>
    <w:rsid w:val="00BA508F"/>
    <w:rsid w:val="00BA6666"/>
    <w:rsid w:val="00BA770E"/>
    <w:rsid w:val="00BB63C8"/>
    <w:rsid w:val="00BC09EF"/>
    <w:rsid w:val="00BC7F38"/>
    <w:rsid w:val="00BD3437"/>
    <w:rsid w:val="00BD388E"/>
    <w:rsid w:val="00BD455B"/>
    <w:rsid w:val="00BD74AA"/>
    <w:rsid w:val="00BE14EE"/>
    <w:rsid w:val="00BE2F14"/>
    <w:rsid w:val="00BE3EA7"/>
    <w:rsid w:val="00BF23B4"/>
    <w:rsid w:val="00BF5968"/>
    <w:rsid w:val="00BF5A90"/>
    <w:rsid w:val="00BF732C"/>
    <w:rsid w:val="00C0138F"/>
    <w:rsid w:val="00C044BD"/>
    <w:rsid w:val="00C054B3"/>
    <w:rsid w:val="00C065AD"/>
    <w:rsid w:val="00C100BE"/>
    <w:rsid w:val="00C13929"/>
    <w:rsid w:val="00C150B3"/>
    <w:rsid w:val="00C15920"/>
    <w:rsid w:val="00C1680B"/>
    <w:rsid w:val="00C17021"/>
    <w:rsid w:val="00C20AB2"/>
    <w:rsid w:val="00C22CE3"/>
    <w:rsid w:val="00C238C2"/>
    <w:rsid w:val="00C243E6"/>
    <w:rsid w:val="00C27507"/>
    <w:rsid w:val="00C360D8"/>
    <w:rsid w:val="00C36679"/>
    <w:rsid w:val="00C376E5"/>
    <w:rsid w:val="00C37B30"/>
    <w:rsid w:val="00C40403"/>
    <w:rsid w:val="00C41BA8"/>
    <w:rsid w:val="00C43331"/>
    <w:rsid w:val="00C433F2"/>
    <w:rsid w:val="00C43480"/>
    <w:rsid w:val="00C45768"/>
    <w:rsid w:val="00C460A5"/>
    <w:rsid w:val="00C46E9D"/>
    <w:rsid w:val="00C47009"/>
    <w:rsid w:val="00C51E8C"/>
    <w:rsid w:val="00C52E10"/>
    <w:rsid w:val="00C6122B"/>
    <w:rsid w:val="00C63552"/>
    <w:rsid w:val="00C6586E"/>
    <w:rsid w:val="00C71F73"/>
    <w:rsid w:val="00C72862"/>
    <w:rsid w:val="00C75A86"/>
    <w:rsid w:val="00C768FE"/>
    <w:rsid w:val="00C77147"/>
    <w:rsid w:val="00C87F2E"/>
    <w:rsid w:val="00C931C3"/>
    <w:rsid w:val="00C93E9C"/>
    <w:rsid w:val="00C948DE"/>
    <w:rsid w:val="00C95123"/>
    <w:rsid w:val="00C96F49"/>
    <w:rsid w:val="00CA120F"/>
    <w:rsid w:val="00CA2EC0"/>
    <w:rsid w:val="00CA33E4"/>
    <w:rsid w:val="00CA45B2"/>
    <w:rsid w:val="00CA5AD6"/>
    <w:rsid w:val="00CB40BB"/>
    <w:rsid w:val="00CB5995"/>
    <w:rsid w:val="00CC0C5D"/>
    <w:rsid w:val="00CC244A"/>
    <w:rsid w:val="00CC48BE"/>
    <w:rsid w:val="00CC76C3"/>
    <w:rsid w:val="00CD1176"/>
    <w:rsid w:val="00CD2264"/>
    <w:rsid w:val="00CD3699"/>
    <w:rsid w:val="00CD394D"/>
    <w:rsid w:val="00CD4B3C"/>
    <w:rsid w:val="00CE19F2"/>
    <w:rsid w:val="00CE2467"/>
    <w:rsid w:val="00CE2A32"/>
    <w:rsid w:val="00CE4D97"/>
    <w:rsid w:val="00CF1FDC"/>
    <w:rsid w:val="00CF2149"/>
    <w:rsid w:val="00CF3ABA"/>
    <w:rsid w:val="00CF435A"/>
    <w:rsid w:val="00CF51C8"/>
    <w:rsid w:val="00CF787C"/>
    <w:rsid w:val="00D0054C"/>
    <w:rsid w:val="00D00783"/>
    <w:rsid w:val="00D0784E"/>
    <w:rsid w:val="00D07953"/>
    <w:rsid w:val="00D07ACE"/>
    <w:rsid w:val="00D14778"/>
    <w:rsid w:val="00D15E0E"/>
    <w:rsid w:val="00D250A3"/>
    <w:rsid w:val="00D251D3"/>
    <w:rsid w:val="00D26B5A"/>
    <w:rsid w:val="00D2794F"/>
    <w:rsid w:val="00D33D99"/>
    <w:rsid w:val="00D340C3"/>
    <w:rsid w:val="00D34A1C"/>
    <w:rsid w:val="00D35683"/>
    <w:rsid w:val="00D36FC3"/>
    <w:rsid w:val="00D42273"/>
    <w:rsid w:val="00D43A6F"/>
    <w:rsid w:val="00D443D4"/>
    <w:rsid w:val="00D50313"/>
    <w:rsid w:val="00D506B2"/>
    <w:rsid w:val="00D515B6"/>
    <w:rsid w:val="00D5179C"/>
    <w:rsid w:val="00D53704"/>
    <w:rsid w:val="00D55EEA"/>
    <w:rsid w:val="00D57524"/>
    <w:rsid w:val="00D57689"/>
    <w:rsid w:val="00D61997"/>
    <w:rsid w:val="00D629FB"/>
    <w:rsid w:val="00D64733"/>
    <w:rsid w:val="00D67BAF"/>
    <w:rsid w:val="00D67D5D"/>
    <w:rsid w:val="00D72747"/>
    <w:rsid w:val="00D778BB"/>
    <w:rsid w:val="00D84960"/>
    <w:rsid w:val="00D863CC"/>
    <w:rsid w:val="00D868F5"/>
    <w:rsid w:val="00D87356"/>
    <w:rsid w:val="00D929BD"/>
    <w:rsid w:val="00D979C1"/>
    <w:rsid w:val="00DA1307"/>
    <w:rsid w:val="00DA22B0"/>
    <w:rsid w:val="00DA2A28"/>
    <w:rsid w:val="00DB616C"/>
    <w:rsid w:val="00DB7FCA"/>
    <w:rsid w:val="00DC07E5"/>
    <w:rsid w:val="00DC1B01"/>
    <w:rsid w:val="00DC330C"/>
    <w:rsid w:val="00DC3952"/>
    <w:rsid w:val="00DC4280"/>
    <w:rsid w:val="00DD0DDB"/>
    <w:rsid w:val="00DD105A"/>
    <w:rsid w:val="00DD1601"/>
    <w:rsid w:val="00DD78E3"/>
    <w:rsid w:val="00DE1162"/>
    <w:rsid w:val="00DE1AEA"/>
    <w:rsid w:val="00DE5507"/>
    <w:rsid w:val="00DE562A"/>
    <w:rsid w:val="00DF18E8"/>
    <w:rsid w:val="00DF3725"/>
    <w:rsid w:val="00DF4607"/>
    <w:rsid w:val="00DF5588"/>
    <w:rsid w:val="00DF5F2A"/>
    <w:rsid w:val="00E06FA2"/>
    <w:rsid w:val="00E132F8"/>
    <w:rsid w:val="00E14317"/>
    <w:rsid w:val="00E20A2A"/>
    <w:rsid w:val="00E21920"/>
    <w:rsid w:val="00E24601"/>
    <w:rsid w:val="00E27E33"/>
    <w:rsid w:val="00E30E02"/>
    <w:rsid w:val="00E31EE9"/>
    <w:rsid w:val="00E349F7"/>
    <w:rsid w:val="00E41E76"/>
    <w:rsid w:val="00E47C7E"/>
    <w:rsid w:val="00E5168D"/>
    <w:rsid w:val="00E51AF0"/>
    <w:rsid w:val="00E5376B"/>
    <w:rsid w:val="00E5777E"/>
    <w:rsid w:val="00E57A85"/>
    <w:rsid w:val="00E73079"/>
    <w:rsid w:val="00E771C0"/>
    <w:rsid w:val="00E806D8"/>
    <w:rsid w:val="00E874A1"/>
    <w:rsid w:val="00E92F3A"/>
    <w:rsid w:val="00EA18D9"/>
    <w:rsid w:val="00EA745E"/>
    <w:rsid w:val="00EA74EB"/>
    <w:rsid w:val="00EB0EC6"/>
    <w:rsid w:val="00EB2F20"/>
    <w:rsid w:val="00EB4171"/>
    <w:rsid w:val="00EB538F"/>
    <w:rsid w:val="00EB72EC"/>
    <w:rsid w:val="00EB7954"/>
    <w:rsid w:val="00EB7DC6"/>
    <w:rsid w:val="00EC0B21"/>
    <w:rsid w:val="00EC10D4"/>
    <w:rsid w:val="00EC360A"/>
    <w:rsid w:val="00EC6E1F"/>
    <w:rsid w:val="00ED39E7"/>
    <w:rsid w:val="00ED4384"/>
    <w:rsid w:val="00ED4D18"/>
    <w:rsid w:val="00ED5B95"/>
    <w:rsid w:val="00ED6B63"/>
    <w:rsid w:val="00ED7C67"/>
    <w:rsid w:val="00EE36F6"/>
    <w:rsid w:val="00EE3C0A"/>
    <w:rsid w:val="00EE41DA"/>
    <w:rsid w:val="00EE72F1"/>
    <w:rsid w:val="00EF020D"/>
    <w:rsid w:val="00EF1A1C"/>
    <w:rsid w:val="00EF2621"/>
    <w:rsid w:val="00EF3DF4"/>
    <w:rsid w:val="00EF4474"/>
    <w:rsid w:val="00EF486B"/>
    <w:rsid w:val="00EF6B91"/>
    <w:rsid w:val="00EF749A"/>
    <w:rsid w:val="00F00418"/>
    <w:rsid w:val="00F0253D"/>
    <w:rsid w:val="00F04BC5"/>
    <w:rsid w:val="00F07A0F"/>
    <w:rsid w:val="00F10C23"/>
    <w:rsid w:val="00F14B2A"/>
    <w:rsid w:val="00F1612D"/>
    <w:rsid w:val="00F248EC"/>
    <w:rsid w:val="00F24AC4"/>
    <w:rsid w:val="00F272D5"/>
    <w:rsid w:val="00F3059E"/>
    <w:rsid w:val="00F333C8"/>
    <w:rsid w:val="00F426A5"/>
    <w:rsid w:val="00F43EBA"/>
    <w:rsid w:val="00F51193"/>
    <w:rsid w:val="00F52D07"/>
    <w:rsid w:val="00F56CB9"/>
    <w:rsid w:val="00F571C9"/>
    <w:rsid w:val="00F60FB2"/>
    <w:rsid w:val="00F62A08"/>
    <w:rsid w:val="00F62EA8"/>
    <w:rsid w:val="00F664FA"/>
    <w:rsid w:val="00F7235B"/>
    <w:rsid w:val="00F820F2"/>
    <w:rsid w:val="00F85687"/>
    <w:rsid w:val="00F863FA"/>
    <w:rsid w:val="00F87742"/>
    <w:rsid w:val="00F95177"/>
    <w:rsid w:val="00F97AD6"/>
    <w:rsid w:val="00FA41C7"/>
    <w:rsid w:val="00FA4D4B"/>
    <w:rsid w:val="00FA6FF0"/>
    <w:rsid w:val="00FB2D5A"/>
    <w:rsid w:val="00FB6C0D"/>
    <w:rsid w:val="00FC1DB0"/>
    <w:rsid w:val="00FC32EF"/>
    <w:rsid w:val="00FC4DFF"/>
    <w:rsid w:val="00FD0BCE"/>
    <w:rsid w:val="00FD19D3"/>
    <w:rsid w:val="00FD1DAE"/>
    <w:rsid w:val="00FD468D"/>
    <w:rsid w:val="00FD5377"/>
    <w:rsid w:val="00FD5577"/>
    <w:rsid w:val="00FD60BB"/>
    <w:rsid w:val="00FE5B8D"/>
    <w:rsid w:val="00FF1F3F"/>
    <w:rsid w:val="00FF31DB"/>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D36B"/>
  <w15:chartTrackingRefBased/>
  <w15:docId w15:val="{A6905AEC-B24B-4758-AFB8-8B6F1B49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B6"/>
    <w:rPr>
      <w:rFonts w:ascii="Segoe UI" w:hAnsi="Segoe UI" w:cs="Segoe UI"/>
      <w:sz w:val="18"/>
      <w:szCs w:val="18"/>
    </w:rPr>
  </w:style>
  <w:style w:type="paragraph" w:styleId="BodyText">
    <w:name w:val="Body Text"/>
    <w:basedOn w:val="Normal"/>
    <w:link w:val="BodyTextChar"/>
    <w:unhideWhenUsed/>
    <w:qFormat/>
    <w:rsid w:val="00642615"/>
    <w:pPr>
      <w:spacing w:before="180" w:after="180" w:line="240" w:lineRule="auto"/>
    </w:pPr>
    <w:rPr>
      <w:sz w:val="24"/>
      <w:szCs w:val="24"/>
    </w:rPr>
  </w:style>
  <w:style w:type="character" w:customStyle="1" w:styleId="BodyTextChar">
    <w:name w:val="Body Text Char"/>
    <w:basedOn w:val="DefaultParagraphFont"/>
    <w:link w:val="BodyText"/>
    <w:rsid w:val="00642615"/>
    <w:rPr>
      <w:sz w:val="24"/>
      <w:szCs w:val="24"/>
    </w:rPr>
  </w:style>
  <w:style w:type="paragraph" w:customStyle="1" w:styleId="Compact">
    <w:name w:val="Compact"/>
    <w:basedOn w:val="BodyText"/>
    <w:qFormat/>
    <w:rsid w:val="0006632F"/>
    <w:pPr>
      <w:spacing w:before="36" w:after="36"/>
    </w:pPr>
  </w:style>
  <w:style w:type="paragraph" w:customStyle="1" w:styleId="2Marioslevel2">
    <w:name w:val="2_Marios_level2"/>
    <w:basedOn w:val="Normal"/>
    <w:next w:val="Normal"/>
    <w:qFormat/>
    <w:rsid w:val="006B4DE6"/>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6B4DE6"/>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6B4DE6"/>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6B4DE6"/>
    <w:rPr>
      <w:rFonts w:ascii="Times New Roman" w:eastAsiaTheme="minorEastAsia" w:hAnsi="Times New Roman" w:cs="Times New Roman"/>
      <w:b/>
      <w:i/>
      <w:color w:val="000000" w:themeColor="text1"/>
      <w:sz w:val="24"/>
      <w:szCs w:val="24"/>
      <w:lang w:val="en-AU"/>
    </w:rPr>
  </w:style>
  <w:style w:type="paragraph" w:styleId="ListParagraph">
    <w:name w:val="List Paragraph"/>
    <w:basedOn w:val="Normal"/>
    <w:uiPriority w:val="34"/>
    <w:qFormat/>
    <w:rsid w:val="00BF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99023">
      <w:bodyDiv w:val="1"/>
      <w:marLeft w:val="0"/>
      <w:marRight w:val="0"/>
      <w:marTop w:val="0"/>
      <w:marBottom w:val="0"/>
      <w:divBdr>
        <w:top w:val="none" w:sz="0" w:space="0" w:color="auto"/>
        <w:left w:val="none" w:sz="0" w:space="0" w:color="auto"/>
        <w:bottom w:val="none" w:sz="0" w:space="0" w:color="auto"/>
        <w:right w:val="none" w:sz="0" w:space="0" w:color="auto"/>
      </w:divBdr>
    </w:div>
    <w:div w:id="127481433">
      <w:bodyDiv w:val="1"/>
      <w:marLeft w:val="0"/>
      <w:marRight w:val="0"/>
      <w:marTop w:val="0"/>
      <w:marBottom w:val="0"/>
      <w:divBdr>
        <w:top w:val="none" w:sz="0" w:space="0" w:color="auto"/>
        <w:left w:val="none" w:sz="0" w:space="0" w:color="auto"/>
        <w:bottom w:val="none" w:sz="0" w:space="0" w:color="auto"/>
        <w:right w:val="none" w:sz="0" w:space="0" w:color="auto"/>
      </w:divBdr>
    </w:div>
    <w:div w:id="185027592">
      <w:bodyDiv w:val="1"/>
      <w:marLeft w:val="0"/>
      <w:marRight w:val="0"/>
      <w:marTop w:val="0"/>
      <w:marBottom w:val="0"/>
      <w:divBdr>
        <w:top w:val="none" w:sz="0" w:space="0" w:color="auto"/>
        <w:left w:val="none" w:sz="0" w:space="0" w:color="auto"/>
        <w:bottom w:val="none" w:sz="0" w:space="0" w:color="auto"/>
        <w:right w:val="none" w:sz="0" w:space="0" w:color="auto"/>
      </w:divBdr>
    </w:div>
    <w:div w:id="782922920">
      <w:bodyDiv w:val="1"/>
      <w:marLeft w:val="0"/>
      <w:marRight w:val="0"/>
      <w:marTop w:val="0"/>
      <w:marBottom w:val="0"/>
      <w:divBdr>
        <w:top w:val="none" w:sz="0" w:space="0" w:color="auto"/>
        <w:left w:val="none" w:sz="0" w:space="0" w:color="auto"/>
        <w:bottom w:val="none" w:sz="0" w:space="0" w:color="auto"/>
        <w:right w:val="none" w:sz="0" w:space="0" w:color="auto"/>
      </w:divBdr>
    </w:div>
    <w:div w:id="815999142">
      <w:bodyDiv w:val="1"/>
      <w:marLeft w:val="0"/>
      <w:marRight w:val="0"/>
      <w:marTop w:val="0"/>
      <w:marBottom w:val="0"/>
      <w:divBdr>
        <w:top w:val="none" w:sz="0" w:space="0" w:color="auto"/>
        <w:left w:val="none" w:sz="0" w:space="0" w:color="auto"/>
        <w:bottom w:val="none" w:sz="0" w:space="0" w:color="auto"/>
        <w:right w:val="none" w:sz="0" w:space="0" w:color="auto"/>
      </w:divBdr>
    </w:div>
    <w:div w:id="847865340">
      <w:bodyDiv w:val="1"/>
      <w:marLeft w:val="0"/>
      <w:marRight w:val="0"/>
      <w:marTop w:val="0"/>
      <w:marBottom w:val="0"/>
      <w:divBdr>
        <w:top w:val="none" w:sz="0" w:space="0" w:color="auto"/>
        <w:left w:val="none" w:sz="0" w:space="0" w:color="auto"/>
        <w:bottom w:val="none" w:sz="0" w:space="0" w:color="auto"/>
        <w:right w:val="none" w:sz="0" w:space="0" w:color="auto"/>
      </w:divBdr>
    </w:div>
    <w:div w:id="950665823">
      <w:bodyDiv w:val="1"/>
      <w:marLeft w:val="0"/>
      <w:marRight w:val="0"/>
      <w:marTop w:val="0"/>
      <w:marBottom w:val="0"/>
      <w:divBdr>
        <w:top w:val="none" w:sz="0" w:space="0" w:color="auto"/>
        <w:left w:val="none" w:sz="0" w:space="0" w:color="auto"/>
        <w:bottom w:val="none" w:sz="0" w:space="0" w:color="auto"/>
        <w:right w:val="none" w:sz="0" w:space="0" w:color="auto"/>
      </w:divBdr>
    </w:div>
    <w:div w:id="1541628904">
      <w:bodyDiv w:val="1"/>
      <w:marLeft w:val="0"/>
      <w:marRight w:val="0"/>
      <w:marTop w:val="0"/>
      <w:marBottom w:val="0"/>
      <w:divBdr>
        <w:top w:val="none" w:sz="0" w:space="0" w:color="auto"/>
        <w:left w:val="none" w:sz="0" w:space="0" w:color="auto"/>
        <w:bottom w:val="none" w:sz="0" w:space="0" w:color="auto"/>
        <w:right w:val="none" w:sz="0" w:space="0" w:color="auto"/>
      </w:divBdr>
    </w:div>
    <w:div w:id="1760246534">
      <w:bodyDiv w:val="1"/>
      <w:marLeft w:val="0"/>
      <w:marRight w:val="0"/>
      <w:marTop w:val="0"/>
      <w:marBottom w:val="0"/>
      <w:divBdr>
        <w:top w:val="none" w:sz="0" w:space="0" w:color="auto"/>
        <w:left w:val="none" w:sz="0" w:space="0" w:color="auto"/>
        <w:bottom w:val="none" w:sz="0" w:space="0" w:color="auto"/>
        <w:right w:val="none" w:sz="0" w:space="0" w:color="auto"/>
      </w:divBdr>
    </w:div>
    <w:div w:id="20390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B28A0-4B51-444E-B029-704B4DB6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32</Pages>
  <Words>16654</Words>
  <Characters>94929</Characters>
  <Application>Microsoft Office Word</Application>
  <DocSecurity>0</DocSecurity>
  <Lines>791</Lines>
  <Paragraphs>222</Paragraphs>
  <ScaleCrop>false</ScaleCrop>
  <Company/>
  <LinksUpToDate>false</LinksUpToDate>
  <CharactersWithSpaces>111361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884</cp:revision>
  <dcterms:created xsi:type="dcterms:W3CDTF">2020-06-25T15:29:00Z</dcterms:created>
  <dcterms:modified xsi:type="dcterms:W3CDTF">2020-07-31T18:53:00Z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http://www.zotero.org/styles/apa-no-doi-no-issue</vt:lpwstr>
  </property>
  <property fmtid="{D5CDD505-2E9C-101B-9397-08002B2CF9AE}" pid="7" name="Mendeley Recent Style Name 2_1">
    <vt:lpwstr>American Psychological Association 6th edition (no DOIs, no issue numbers)</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http://www.zotero.org/styles/apa-no-doi-no-issue</vt:lpwstr>
  </property>
  <property fmtid="{D5CDD505-2E9C-101B-9397-08002B2CF9AE}" pid="24" name="Mendeley Unique User Id_1">
    <vt:lpwstr>1d2b788b-99c7-3fcb-bc80-0a52c16d7e2f</vt:lpwstr>
  </property>
</Properties>
</file>