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E4C6C" w14:textId="2860F6EC" w:rsidR="00706A28" w:rsidRDefault="00044B28" w:rsidP="009E6850">
      <w:pPr>
        <w:rPr>
          <w:rFonts w:ascii="Times New Roman" w:hAnsi="Times New Roman" w:cs="Times New Roman"/>
          <w:b/>
          <w:sz w:val="24"/>
          <w:szCs w:val="24"/>
        </w:rPr>
      </w:pPr>
      <w:r w:rsidRPr="00181348">
        <w:rPr>
          <w:rFonts w:ascii="Times New Roman" w:hAnsi="Times New Roman" w:cs="Times New Roman"/>
          <w:b/>
          <w:sz w:val="24"/>
          <w:szCs w:val="24"/>
        </w:rPr>
        <w:t>Dis</w:t>
      </w:r>
      <w:r w:rsidR="00E81516" w:rsidRPr="00181348">
        <w:rPr>
          <w:rFonts w:ascii="Times New Roman" w:hAnsi="Times New Roman" w:cs="Times New Roman"/>
          <w:b/>
          <w:sz w:val="24"/>
          <w:szCs w:val="24"/>
        </w:rPr>
        <w:t xml:space="preserve">sociable roles for the lateral orbitofrontal cortex in </w:t>
      </w:r>
      <w:r w:rsidR="004143F0" w:rsidRPr="00181348">
        <w:rPr>
          <w:rFonts w:ascii="Times New Roman" w:hAnsi="Times New Roman" w:cs="Times New Roman"/>
          <w:b/>
          <w:sz w:val="24"/>
          <w:szCs w:val="24"/>
        </w:rPr>
        <w:t>Pavlovian acquisiti</w:t>
      </w:r>
      <w:r w:rsidR="002A3FB3" w:rsidRPr="00181348">
        <w:rPr>
          <w:rFonts w:ascii="Times New Roman" w:hAnsi="Times New Roman" w:cs="Times New Roman"/>
          <w:b/>
          <w:sz w:val="24"/>
          <w:szCs w:val="24"/>
        </w:rPr>
        <w:t>on</w:t>
      </w:r>
      <w:r w:rsidR="00941DBD" w:rsidRPr="00181348">
        <w:rPr>
          <w:rFonts w:ascii="Times New Roman" w:hAnsi="Times New Roman" w:cs="Times New Roman"/>
          <w:b/>
          <w:sz w:val="24"/>
          <w:szCs w:val="24"/>
        </w:rPr>
        <w:t xml:space="preserve"> </w:t>
      </w:r>
    </w:p>
    <w:p w14:paraId="2AED8158" w14:textId="42084BDB" w:rsidR="00A01FAF" w:rsidRDefault="00A01FAF" w:rsidP="009E6850">
      <w:pPr>
        <w:rPr>
          <w:rFonts w:ascii="Times New Roman" w:hAnsi="Times New Roman" w:cs="Times New Roman"/>
          <w:b/>
          <w:sz w:val="24"/>
          <w:szCs w:val="24"/>
        </w:rPr>
      </w:pPr>
      <w:r>
        <w:rPr>
          <w:rFonts w:ascii="Times New Roman" w:hAnsi="Times New Roman" w:cs="Times New Roman"/>
          <w:b/>
          <w:sz w:val="24"/>
          <w:szCs w:val="24"/>
        </w:rPr>
        <w:t>Abstract</w:t>
      </w:r>
    </w:p>
    <w:p w14:paraId="4BBA7628" w14:textId="2BA51CA9" w:rsidR="00910A96" w:rsidRDefault="00A01FAF">
      <w:pPr>
        <w:rPr>
          <w:rFonts w:ascii="Times New Roman" w:hAnsi="Times New Roman" w:cs="Times New Roman"/>
          <w:bCs/>
          <w:sz w:val="24"/>
          <w:szCs w:val="24"/>
        </w:rPr>
      </w:pPr>
      <w:r>
        <w:rPr>
          <w:rFonts w:ascii="Times New Roman" w:hAnsi="Times New Roman" w:cs="Times New Roman"/>
          <w:bCs/>
          <w:sz w:val="24"/>
          <w:szCs w:val="24"/>
        </w:rPr>
        <w:t xml:space="preserve">The orbitofrontal cortex (OFC) </w:t>
      </w:r>
      <w:r w:rsidR="00C373C6">
        <w:rPr>
          <w:rFonts w:ascii="Times New Roman" w:hAnsi="Times New Roman" w:cs="Times New Roman"/>
          <w:bCs/>
          <w:sz w:val="24"/>
          <w:szCs w:val="24"/>
        </w:rPr>
        <w:t xml:space="preserve">is a </w:t>
      </w:r>
      <w:r w:rsidR="000D470E">
        <w:rPr>
          <w:rFonts w:ascii="Times New Roman" w:hAnsi="Times New Roman" w:cs="Times New Roman"/>
          <w:bCs/>
          <w:sz w:val="24"/>
          <w:szCs w:val="24"/>
        </w:rPr>
        <w:t>critical structure in the</w:t>
      </w:r>
      <w:r w:rsidR="00A35CB4">
        <w:rPr>
          <w:rFonts w:ascii="Times New Roman" w:hAnsi="Times New Roman" w:cs="Times New Roman"/>
          <w:bCs/>
          <w:sz w:val="24"/>
          <w:szCs w:val="24"/>
        </w:rPr>
        <w:t xml:space="preserve"> flexible</w:t>
      </w:r>
      <w:r w:rsidR="000D470E">
        <w:rPr>
          <w:rFonts w:ascii="Times New Roman" w:hAnsi="Times New Roman" w:cs="Times New Roman"/>
          <w:bCs/>
          <w:sz w:val="24"/>
          <w:szCs w:val="24"/>
        </w:rPr>
        <w:t xml:space="preserve"> control of </w:t>
      </w:r>
      <w:r w:rsidR="003F398D">
        <w:rPr>
          <w:rFonts w:ascii="Times New Roman" w:hAnsi="Times New Roman" w:cs="Times New Roman"/>
          <w:bCs/>
          <w:sz w:val="24"/>
          <w:szCs w:val="24"/>
        </w:rPr>
        <w:t>value based</w:t>
      </w:r>
      <w:r w:rsidR="000D470E">
        <w:rPr>
          <w:rFonts w:ascii="Times New Roman" w:hAnsi="Times New Roman" w:cs="Times New Roman"/>
          <w:bCs/>
          <w:sz w:val="24"/>
          <w:szCs w:val="24"/>
        </w:rPr>
        <w:t xml:space="preserve"> be</w:t>
      </w:r>
      <w:r w:rsidR="00A35CB4">
        <w:rPr>
          <w:rFonts w:ascii="Times New Roman" w:hAnsi="Times New Roman" w:cs="Times New Roman"/>
          <w:bCs/>
          <w:sz w:val="24"/>
          <w:szCs w:val="24"/>
        </w:rPr>
        <w:t>haviour</w:t>
      </w:r>
      <w:r w:rsidR="00B11086">
        <w:rPr>
          <w:rFonts w:ascii="Times New Roman" w:hAnsi="Times New Roman" w:cs="Times New Roman"/>
          <w:bCs/>
          <w:sz w:val="24"/>
          <w:szCs w:val="24"/>
        </w:rPr>
        <w:t>s</w:t>
      </w:r>
      <w:r w:rsidR="00A35CB4">
        <w:rPr>
          <w:rFonts w:ascii="Times New Roman" w:hAnsi="Times New Roman" w:cs="Times New Roman"/>
          <w:bCs/>
          <w:sz w:val="24"/>
          <w:szCs w:val="24"/>
        </w:rPr>
        <w:t>.</w:t>
      </w:r>
      <w:r w:rsidR="00B11086">
        <w:rPr>
          <w:rFonts w:ascii="Times New Roman" w:hAnsi="Times New Roman" w:cs="Times New Roman"/>
          <w:bCs/>
          <w:sz w:val="24"/>
          <w:szCs w:val="24"/>
        </w:rPr>
        <w:t xml:space="preserve"> </w:t>
      </w:r>
      <w:r w:rsidR="00EE2741">
        <w:rPr>
          <w:rFonts w:ascii="Times New Roman" w:hAnsi="Times New Roman" w:cs="Times New Roman"/>
          <w:bCs/>
          <w:sz w:val="24"/>
          <w:szCs w:val="24"/>
        </w:rPr>
        <w:t>O</w:t>
      </w:r>
      <w:r w:rsidR="00B11086">
        <w:rPr>
          <w:rFonts w:ascii="Times New Roman" w:hAnsi="Times New Roman" w:cs="Times New Roman"/>
          <w:bCs/>
          <w:sz w:val="24"/>
          <w:szCs w:val="24"/>
        </w:rPr>
        <w:t xml:space="preserve">FC dysfunction is often only </w:t>
      </w:r>
      <w:r w:rsidR="00EE2741">
        <w:rPr>
          <w:rFonts w:ascii="Times New Roman" w:hAnsi="Times New Roman" w:cs="Times New Roman"/>
          <w:bCs/>
          <w:sz w:val="24"/>
          <w:szCs w:val="24"/>
        </w:rPr>
        <w:t xml:space="preserve">detected when </w:t>
      </w:r>
      <w:r w:rsidR="00746E67">
        <w:rPr>
          <w:rFonts w:ascii="Times New Roman" w:hAnsi="Times New Roman" w:cs="Times New Roman"/>
          <w:bCs/>
          <w:sz w:val="24"/>
          <w:szCs w:val="24"/>
        </w:rPr>
        <w:t>task or environmental contingencies change, and initial acquisition learning and behaviour is thought to be</w:t>
      </w:r>
      <w:r w:rsidR="001A7710">
        <w:rPr>
          <w:rFonts w:ascii="Times New Roman" w:hAnsi="Times New Roman" w:cs="Times New Roman"/>
          <w:bCs/>
          <w:sz w:val="24"/>
          <w:szCs w:val="24"/>
        </w:rPr>
        <w:t xml:space="preserve"> intact. </w:t>
      </w:r>
      <w:r w:rsidR="0074162A">
        <w:rPr>
          <w:rFonts w:ascii="Times New Roman" w:hAnsi="Times New Roman" w:cs="Times New Roman"/>
          <w:bCs/>
          <w:sz w:val="24"/>
          <w:szCs w:val="24"/>
        </w:rPr>
        <w:t xml:space="preserve">While intact acquisition following OFC lesions </w:t>
      </w:r>
      <w:r w:rsidR="00E931A8">
        <w:rPr>
          <w:rFonts w:ascii="Times New Roman" w:hAnsi="Times New Roman" w:cs="Times New Roman"/>
          <w:bCs/>
          <w:sz w:val="24"/>
          <w:szCs w:val="24"/>
        </w:rPr>
        <w:t>in simple Pavlovian cue-outcome</w:t>
      </w:r>
      <w:r w:rsidR="0074162A">
        <w:rPr>
          <w:rFonts w:ascii="Times New Roman" w:hAnsi="Times New Roman" w:cs="Times New Roman"/>
          <w:bCs/>
          <w:sz w:val="24"/>
          <w:szCs w:val="24"/>
        </w:rPr>
        <w:t xml:space="preserve"> is fundamental to models of OFC </w:t>
      </w:r>
      <w:r w:rsidR="00E931A8">
        <w:rPr>
          <w:rFonts w:ascii="Times New Roman" w:hAnsi="Times New Roman" w:cs="Times New Roman"/>
          <w:bCs/>
          <w:sz w:val="24"/>
          <w:szCs w:val="24"/>
        </w:rPr>
        <w:t xml:space="preserve">function, </w:t>
      </w:r>
      <w:r w:rsidR="002351F2">
        <w:rPr>
          <w:rFonts w:ascii="Times New Roman" w:hAnsi="Times New Roman" w:cs="Times New Roman"/>
          <w:bCs/>
          <w:sz w:val="24"/>
          <w:szCs w:val="24"/>
        </w:rPr>
        <w:t>this predicted null effect has not been thoroughly investigated</w:t>
      </w:r>
      <w:r w:rsidR="00E24FD0">
        <w:rPr>
          <w:rFonts w:ascii="Times New Roman" w:hAnsi="Times New Roman" w:cs="Times New Roman"/>
          <w:bCs/>
          <w:sz w:val="24"/>
          <w:szCs w:val="24"/>
        </w:rPr>
        <w:t xml:space="preserve">. </w:t>
      </w:r>
      <w:r w:rsidR="00831127">
        <w:rPr>
          <w:rFonts w:ascii="Times New Roman" w:hAnsi="Times New Roman" w:cs="Times New Roman"/>
          <w:bCs/>
          <w:sz w:val="24"/>
          <w:szCs w:val="24"/>
        </w:rPr>
        <w:t>Here w</w:t>
      </w:r>
      <w:r w:rsidR="00E24FD0">
        <w:rPr>
          <w:rFonts w:ascii="Times New Roman" w:hAnsi="Times New Roman" w:cs="Times New Roman"/>
          <w:bCs/>
          <w:sz w:val="24"/>
          <w:szCs w:val="24"/>
        </w:rPr>
        <w:t xml:space="preserve">e test the effects of lesions and </w:t>
      </w:r>
      <w:r w:rsidR="005A6D9A">
        <w:rPr>
          <w:rFonts w:ascii="Times New Roman" w:hAnsi="Times New Roman" w:cs="Times New Roman"/>
          <w:bCs/>
          <w:sz w:val="24"/>
          <w:szCs w:val="24"/>
        </w:rPr>
        <w:t xml:space="preserve">temporary muscimol inactivation of the rodent lateral OFC on the acquisition of a simple single </w:t>
      </w:r>
      <w:r w:rsidR="00E748A9">
        <w:rPr>
          <w:rFonts w:ascii="Times New Roman" w:hAnsi="Times New Roman" w:cs="Times New Roman"/>
          <w:bCs/>
          <w:sz w:val="24"/>
          <w:szCs w:val="24"/>
        </w:rPr>
        <w:t xml:space="preserve">cue-outcome relationship. Surprisingly, pre-training lesions </w:t>
      </w:r>
      <w:r w:rsidR="000B04DE">
        <w:rPr>
          <w:rFonts w:ascii="Times New Roman" w:hAnsi="Times New Roman" w:cs="Times New Roman"/>
          <w:bCs/>
          <w:sz w:val="24"/>
          <w:szCs w:val="24"/>
        </w:rPr>
        <w:t>significantly enhance acquisition after over-training whereas post-training lesions and inactivation</w:t>
      </w:r>
      <w:r w:rsidR="009F6997">
        <w:rPr>
          <w:rFonts w:ascii="Times New Roman" w:hAnsi="Times New Roman" w:cs="Times New Roman"/>
          <w:bCs/>
          <w:sz w:val="24"/>
          <w:szCs w:val="24"/>
        </w:rPr>
        <w:t xml:space="preserve"> significantly impair acquisition.</w:t>
      </w:r>
      <w:r w:rsidR="007517B6">
        <w:rPr>
          <w:rFonts w:ascii="Times New Roman" w:hAnsi="Times New Roman" w:cs="Times New Roman"/>
          <w:bCs/>
          <w:sz w:val="24"/>
          <w:szCs w:val="24"/>
        </w:rPr>
        <w:t xml:space="preserve"> </w:t>
      </w:r>
      <w:r w:rsidR="00910A96">
        <w:rPr>
          <w:rFonts w:ascii="Times New Roman" w:hAnsi="Times New Roman" w:cs="Times New Roman"/>
          <w:bCs/>
          <w:sz w:val="24"/>
          <w:szCs w:val="24"/>
        </w:rPr>
        <w:t xml:space="preserve">This impaired </w:t>
      </w:r>
      <w:r w:rsidR="00065EC5">
        <w:rPr>
          <w:rFonts w:ascii="Times New Roman" w:hAnsi="Times New Roman" w:cs="Times New Roman"/>
          <w:bCs/>
          <w:sz w:val="24"/>
          <w:szCs w:val="24"/>
        </w:rPr>
        <w:t xml:space="preserve">acquisition </w:t>
      </w:r>
      <w:r w:rsidR="00E87971">
        <w:rPr>
          <w:rFonts w:ascii="Times New Roman" w:hAnsi="Times New Roman" w:cs="Times New Roman"/>
          <w:bCs/>
          <w:sz w:val="24"/>
          <w:szCs w:val="24"/>
        </w:rPr>
        <w:t xml:space="preserve">to the cue </w:t>
      </w:r>
      <w:r w:rsidR="00065EC5">
        <w:rPr>
          <w:rFonts w:ascii="Times New Roman" w:hAnsi="Times New Roman" w:cs="Times New Roman"/>
          <w:bCs/>
          <w:sz w:val="24"/>
          <w:szCs w:val="24"/>
        </w:rPr>
        <w:t>reflect</w:t>
      </w:r>
      <w:r w:rsidR="002F6E25">
        <w:rPr>
          <w:rFonts w:ascii="Times New Roman" w:hAnsi="Times New Roman" w:cs="Times New Roman"/>
          <w:bCs/>
          <w:sz w:val="24"/>
          <w:szCs w:val="24"/>
        </w:rPr>
        <w:t>s</w:t>
      </w:r>
      <w:r w:rsidR="00065EC5">
        <w:rPr>
          <w:rFonts w:ascii="Times New Roman" w:hAnsi="Times New Roman" w:cs="Times New Roman"/>
          <w:bCs/>
          <w:sz w:val="24"/>
          <w:szCs w:val="24"/>
        </w:rPr>
        <w:t xml:space="preserve"> a disruption of behavioural control and not learning since </w:t>
      </w:r>
      <w:r w:rsidR="00E87971">
        <w:rPr>
          <w:rFonts w:ascii="Times New Roman" w:hAnsi="Times New Roman" w:cs="Times New Roman"/>
          <w:bCs/>
          <w:sz w:val="24"/>
          <w:szCs w:val="24"/>
        </w:rPr>
        <w:t>the cu</w:t>
      </w:r>
      <w:r w:rsidR="00C86C27">
        <w:rPr>
          <w:rFonts w:ascii="Times New Roman" w:hAnsi="Times New Roman" w:cs="Times New Roman"/>
          <w:bCs/>
          <w:sz w:val="24"/>
          <w:szCs w:val="24"/>
        </w:rPr>
        <w:t xml:space="preserve">e could </w:t>
      </w:r>
      <w:r w:rsidR="00D83C95">
        <w:rPr>
          <w:rFonts w:ascii="Times New Roman" w:hAnsi="Times New Roman" w:cs="Times New Roman"/>
          <w:bCs/>
          <w:sz w:val="24"/>
          <w:szCs w:val="24"/>
        </w:rPr>
        <w:t>also act as</w:t>
      </w:r>
      <w:r w:rsidR="00C86C27">
        <w:rPr>
          <w:rFonts w:ascii="Times New Roman" w:hAnsi="Times New Roman" w:cs="Times New Roman"/>
          <w:bCs/>
          <w:sz w:val="24"/>
          <w:szCs w:val="24"/>
        </w:rPr>
        <w:t xml:space="preserve"> an effective blocking stimulus in an associative blocking procedure. </w:t>
      </w:r>
      <w:r w:rsidR="00D2259F">
        <w:rPr>
          <w:rFonts w:ascii="Times New Roman" w:hAnsi="Times New Roman" w:cs="Times New Roman"/>
          <w:bCs/>
          <w:sz w:val="24"/>
          <w:szCs w:val="24"/>
        </w:rPr>
        <w:t xml:space="preserve">Finally, we </w:t>
      </w:r>
      <w:r w:rsidR="001334F3">
        <w:rPr>
          <w:rFonts w:ascii="Times New Roman" w:hAnsi="Times New Roman" w:cs="Times New Roman"/>
          <w:bCs/>
          <w:sz w:val="24"/>
          <w:szCs w:val="24"/>
        </w:rPr>
        <w:t xml:space="preserve">demonstrate that the impaired behavioural control to the Pavlovian cue </w:t>
      </w:r>
      <w:r w:rsidR="00A048C8">
        <w:rPr>
          <w:rFonts w:ascii="Times New Roman" w:hAnsi="Times New Roman" w:cs="Times New Roman"/>
          <w:bCs/>
          <w:sz w:val="24"/>
          <w:szCs w:val="24"/>
        </w:rPr>
        <w:t>reflect</w:t>
      </w:r>
      <w:r w:rsidR="00D83C95">
        <w:rPr>
          <w:rFonts w:ascii="Times New Roman" w:hAnsi="Times New Roman" w:cs="Times New Roman"/>
          <w:bCs/>
          <w:sz w:val="24"/>
          <w:szCs w:val="24"/>
        </w:rPr>
        <w:t>s</w:t>
      </w:r>
      <w:r w:rsidR="00A048C8">
        <w:rPr>
          <w:rFonts w:ascii="Times New Roman" w:hAnsi="Times New Roman" w:cs="Times New Roman"/>
          <w:bCs/>
          <w:sz w:val="24"/>
          <w:szCs w:val="24"/>
        </w:rPr>
        <w:t xml:space="preserve"> a</w:t>
      </w:r>
      <w:r w:rsidR="00CE660D">
        <w:rPr>
          <w:rFonts w:ascii="Times New Roman" w:hAnsi="Times New Roman" w:cs="Times New Roman"/>
          <w:bCs/>
          <w:sz w:val="24"/>
          <w:szCs w:val="24"/>
        </w:rPr>
        <w:t xml:space="preserve"> specific</w:t>
      </w:r>
      <w:r w:rsidR="00A048C8">
        <w:rPr>
          <w:rFonts w:ascii="Times New Roman" w:hAnsi="Times New Roman" w:cs="Times New Roman"/>
          <w:bCs/>
          <w:sz w:val="24"/>
          <w:szCs w:val="24"/>
        </w:rPr>
        <w:t xml:space="preserve"> inability to flexibly </w:t>
      </w:r>
      <w:r w:rsidR="00CE660D">
        <w:rPr>
          <w:rFonts w:ascii="Times New Roman" w:hAnsi="Times New Roman" w:cs="Times New Roman"/>
          <w:bCs/>
          <w:sz w:val="24"/>
          <w:szCs w:val="24"/>
        </w:rPr>
        <w:t>update Pavlovian behaviours based on</w:t>
      </w:r>
      <w:r w:rsidR="00A048C8">
        <w:rPr>
          <w:rFonts w:ascii="Times New Roman" w:hAnsi="Times New Roman" w:cs="Times New Roman"/>
          <w:bCs/>
          <w:sz w:val="24"/>
          <w:szCs w:val="24"/>
        </w:rPr>
        <w:t xml:space="preserve"> the current value of alternative behavioural options</w:t>
      </w:r>
      <w:r w:rsidR="00CE660D">
        <w:rPr>
          <w:rFonts w:ascii="Times New Roman" w:hAnsi="Times New Roman" w:cs="Times New Roman"/>
          <w:bCs/>
          <w:sz w:val="24"/>
          <w:szCs w:val="24"/>
        </w:rPr>
        <w:t>.</w:t>
      </w:r>
      <w:r w:rsidR="00C80F8F">
        <w:rPr>
          <w:rFonts w:ascii="Times New Roman" w:hAnsi="Times New Roman" w:cs="Times New Roman"/>
          <w:bCs/>
          <w:sz w:val="24"/>
          <w:szCs w:val="24"/>
        </w:rPr>
        <w:t xml:space="preserve"> Contrary to most theories of OFC function, t</w:t>
      </w:r>
      <w:r w:rsidR="000A248D">
        <w:rPr>
          <w:rFonts w:ascii="Times New Roman" w:hAnsi="Times New Roman" w:cs="Times New Roman"/>
          <w:bCs/>
          <w:sz w:val="24"/>
          <w:szCs w:val="24"/>
        </w:rPr>
        <w:t>hese findings suggest that</w:t>
      </w:r>
      <w:r w:rsidR="000B42FC">
        <w:rPr>
          <w:rFonts w:ascii="Times New Roman" w:hAnsi="Times New Roman" w:cs="Times New Roman"/>
          <w:bCs/>
          <w:sz w:val="24"/>
          <w:szCs w:val="24"/>
        </w:rPr>
        <w:t xml:space="preserve"> while OFC function is often associated with flexible behavioural control in </w:t>
      </w:r>
      <w:r w:rsidR="00A361DA">
        <w:rPr>
          <w:rFonts w:ascii="Times New Roman" w:hAnsi="Times New Roman" w:cs="Times New Roman"/>
          <w:bCs/>
          <w:sz w:val="24"/>
          <w:szCs w:val="24"/>
        </w:rPr>
        <w:t xml:space="preserve">complex environments, </w:t>
      </w:r>
      <w:r w:rsidR="00646587">
        <w:rPr>
          <w:rFonts w:ascii="Times New Roman" w:hAnsi="Times New Roman" w:cs="Times New Roman"/>
          <w:bCs/>
          <w:sz w:val="24"/>
          <w:szCs w:val="24"/>
        </w:rPr>
        <w:t xml:space="preserve">it is also involved in the </w:t>
      </w:r>
      <w:r w:rsidR="000A67A3">
        <w:rPr>
          <w:rFonts w:ascii="Times New Roman" w:hAnsi="Times New Roman" w:cs="Times New Roman"/>
          <w:bCs/>
          <w:sz w:val="24"/>
          <w:szCs w:val="24"/>
        </w:rPr>
        <w:t>simple Pavlovian acquisition.</w:t>
      </w:r>
    </w:p>
    <w:p w14:paraId="3985592B" w14:textId="77777777" w:rsidR="00111DD6" w:rsidRDefault="00111DD6">
      <w:pPr>
        <w:rPr>
          <w:rFonts w:ascii="Times New Roman" w:hAnsi="Times New Roman" w:cs="Times New Roman"/>
          <w:bCs/>
          <w:sz w:val="24"/>
          <w:szCs w:val="24"/>
        </w:rPr>
      </w:pPr>
      <w:r>
        <w:rPr>
          <w:rFonts w:ascii="Times New Roman" w:hAnsi="Times New Roman" w:cs="Times New Roman"/>
          <w:bCs/>
          <w:sz w:val="24"/>
          <w:szCs w:val="24"/>
        </w:rPr>
        <w:br w:type="page"/>
      </w:r>
    </w:p>
    <w:p w14:paraId="5D93EA86" w14:textId="03753C32" w:rsidR="009E6850" w:rsidRPr="009E6850" w:rsidRDefault="009E6850" w:rsidP="009E6850">
      <w:pPr>
        <w:rPr>
          <w:rFonts w:ascii="Times New Roman" w:hAnsi="Times New Roman" w:cs="Times New Roman"/>
          <w:bCs/>
          <w:sz w:val="24"/>
          <w:szCs w:val="24"/>
        </w:rPr>
      </w:pPr>
      <w:r w:rsidRPr="009E6850">
        <w:rPr>
          <w:rFonts w:ascii="Times New Roman" w:hAnsi="Times New Roman" w:cs="Times New Roman"/>
          <w:bCs/>
          <w:sz w:val="24"/>
          <w:szCs w:val="24"/>
        </w:rPr>
        <w:lastRenderedPageBreak/>
        <w:t>The orbitofrontal cortex (OFC) is critical to behavioural flexibility when learning and behaviour need to be updated to reflect a change in the environment</w:t>
      </w:r>
      <w:r w:rsidR="00194513">
        <w:rPr>
          <w:rFonts w:ascii="Times New Roman" w:hAnsi="Times New Roman" w:cs="Times New Roman"/>
          <w:bCs/>
          <w:sz w:val="24"/>
          <w:szCs w:val="24"/>
        </w:rPr>
        <w:t xml:space="preserve"> </w:t>
      </w:r>
      <w:r w:rsidR="00194513">
        <w:rPr>
          <w:rFonts w:ascii="Times New Roman" w:hAnsi="Times New Roman" w:cs="Times New Roman"/>
          <w:bCs/>
          <w:sz w:val="24"/>
          <w:szCs w:val="24"/>
        </w:rPr>
        <w:fldChar w:fldCharType="begin" w:fldLock="1"/>
      </w:r>
      <w:r w:rsidR="00661D73">
        <w:rPr>
          <w:rFonts w:ascii="Times New Roman" w:hAnsi="Times New Roman" w:cs="Times New Roman"/>
          <w:bCs/>
          <w:sz w:val="24"/>
          <w:szCs w:val="24"/>
        </w:rPr>
        <w:instrText>ADDIN CSL_CITATION {"citationItems":[{"id":"ITEM-1","itemData":{"author":[{"dropping-particle":"","family":"Klein-Flugge","given":"M C","non-dropping-particle":"","parse-names":false,"suffix":""},{"dropping-particle":"","family":"Barron","given":"H C","non-dropping-particle":"","parse-names":false,"suffix":""},{"dropping-particle":"","family":"Brodersen","given":"K H","non-dropping-particle":"","parse-names":false,"suffix":""},{"dropping-particle":"","family":"Dolan","given":"R J","non-dropping-particle":"","parse-names":false,"suffix":""},{"dropping-particle":"","family":"Behrens","given":"T E","non-dropping-particle":"","parse-names":false,"suffix":""}],"container-title":"Journal of Neuroscience","id":"ITEM-1","issued":{"date-parts":[["2013"]]},"page":"3202-3211","title":"Segregated encoding of reward-identity and stimulus-reward associations in human orbitofrontal cortex","type":"article-journal","volume":"33"},"uris":["http://www.mendeley.com/documents/?uuid=485a457c-85d7-49f2-bfba-4d6a097fc653"]},{"id":"ITEM-2","itemData":{"DOI":"10.1016/j.cub.2019.10.058","abstract":"Highlights d Rats show immediate changes in choice behavior following reinforcer revaluation d Direction of satiety-specific revaluation depends on the baseline food preference d Orbitofrontal inactivation disrupts behavior following reinforcer revaluation In Brief Appropriate decision making depends on up-to-date information about the available offers. Here, Gardner et al. show that immediate adjustments in choice behavior following revaluation of an offer require the orbitofrontal cortex to be online at the time of the choice.","author":[{"dropping-particle":"","family":"Gardner","given":"Matthew P.H.","non-dropping-particle":"","parse-names":false,"suffix":""},{"dropping-particle":"","family":"Conroy","given":"Jessica C","non-dropping-particle":"","parse-names":false,"suffix":""},{"dropping-particle":"","family":"Sanchez","given":"Davied C","non-dropping-particle":"","parse-names":false,"suffix":""},{"dropping-particle":"","family":"Zhou","given":"Jingfeng","non-dropping-particle":"","parse-names":false,"suffix":""},{"dropping-particle":"","family":"Schoenbaum","given":"Geoffrey","non-dropping-particle":"","parse-names":false,"suffix":""}],"container-title":"Current Biology","id":"ITEM-2","issued":{"date-parts":[["2019"]]},"title":"Real-Time Value Integration during Economic Choice Is Regulated by Orbitofrontal Cortex","type":"article-journal"},"uris":["http://www.mendeley.com/documents/?uuid=92212c66-0a64-382f-83ef-b8154a41c82f"]},{"id":"ITEM-3","itemData":{"DOI":"10.1038/s41583-018-0013-4","ISSN":"1471-003X","abstract":"The estimated values of choices, and therefore decision-making based on those values, are influenced by both the chance that the chosen items or goods can be obtained (availability) and their current worth (desirability) as well as by the ability to link the estimated values to choices (a process sometimes called credit assignment). In primates, the prefrontal cortex (PFC) has been thought to contribute to each of these processes; however, causal relationships between particular subdivisions of the PFC and specific functions have been difficult to establish. Recent lesion-based research studies have defined the roles of two different parts of the primate PFC — the orbitofrontal cortex (OFC) and the ventral lateral frontal cortex (VLFC) — and their subdivisions in evaluating each of these factors and in mediating credit assignment during reward-based decision-making.","author":[{"dropping-particle":"","family":"Murray","given":"Elisabeth A.","non-dropping-particle":"","parse-names":false,"suffix":""},{"dropping-particle":"","family":"Rudebeck","given":"Peter H.","non-dropping-particle":"","parse-names":false,"suffix":""}],"container-title":"Nature Reviews Neuroscience","id":"ITEM-3","issue":"7","issued":{"date-parts":[["2018","7","23"]]},"page":"404-417","publisher":"Nature Publishing Group","title":"Specializations for reward-guided decision-making in the primate ventral prefrontal cortex","type":"article-journal","volume":"19"},"uris":["http://www.mendeley.com/documents/?uuid=071e82ae-9a82-3ab2-ba18-e67ab741054e"]},{"id":"ITEM-4","itemData":{"DOI":"10.1016/j.neuron.2014.10.049","abstract":"The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A.","non-dropping-particle":"","parse-names":false,"suffix":""}],"container-title":"Neuron","id":"ITEM-4","issue":"6","issued":{"date-parts":[["2014"]]},"page":"1143-1156","publisher":"Elsevier","title":"The Orbitofrontal Oracle: Cortical Mechanisms for the Prediction and Evaluation of Specific Behavioral Outcomes","type":"article-journal","volume":"84"},"uris":["http://www.mendeley.com/documents/?uuid=045ae595-4a1e-462a-abf9-8dc98a92d0e2"]},{"id":"ITEM-5","itemData":{"DOI":"Doi 10.1038/Nrn1747","ISBN":"1471-0048","abstract":"Hedonic experience is arguably at the heart of what makes us human. In recent neuroimaging studies of the cortical networks that mediate hedonic experience in the human brain, the orbitofrontal cortex has emerged as the strongest candidate for linking food and other types of reward to hedonic experience. The orbitofrontal cortex is among the least understood regions of the human brain, but has been proposed to be involved in sensory integration, in representing the affective value of reinforcers, and in decision making and expectation. Here, the functional neuroanatomy of the human orbitofrontal cortex is described and a new integrated model of its functions proposed, including a possible role in the mediation of hedonic experience.","author":[{"dropping-particle":"","family":"Kringelbach","given":"M L","non-dropping-particle":"","parse-names":false,"suffix":""}],"container-title":"Nature Reviews Neuroscience","id":"ITEM-5","issue":"9","issued":{"date-parts":[["2005"]]},"language":"English","note":"960LJ\nTimes Cited:682\nCited References Count:114","page":"691-702","title":"The human orbitofrontal cortex: Linking reward to hedonic experience","type":"article-journal","volume":"6"},"uris":["http://www.mendeley.com/documents/?uuid=e4fcb5e4-4830-4f51-92d1-0b9c5ec125ab"]}],"mendeley":{"formattedCitation":"(Gardner et al., 2019; Klein-Flugge et al., 2013; Kringelbach, 2005; Murray &amp; Rudebeck, 2018; Rudebeck &amp; Murray, 2014)","plainTextFormattedCitation":"(Gardner et al., 2019; Klein-Flugge et al., 2013; Kringelbach, 2005; Murray &amp; Rudebeck, 2018; Rudebeck &amp; Murray, 2014)","previouslyFormattedCitation":"(Gardner et al., 2019; Klein-Flugge et al., 2013; Kringelbach, 2005; Murray &amp; Rudebeck, 2018; Rudebeck &amp; Murray, 2014)"},"properties":{"noteIndex":0},"schema":"https://github.com/citation-style-language/schema/raw/master/csl-citation.json"}</w:instrText>
      </w:r>
      <w:r w:rsidR="00194513">
        <w:rPr>
          <w:rFonts w:ascii="Times New Roman" w:hAnsi="Times New Roman" w:cs="Times New Roman"/>
          <w:bCs/>
          <w:sz w:val="24"/>
          <w:szCs w:val="24"/>
        </w:rPr>
        <w:fldChar w:fldCharType="separate"/>
      </w:r>
      <w:r w:rsidR="0077411D" w:rsidRPr="0077411D">
        <w:rPr>
          <w:rFonts w:ascii="Times New Roman" w:hAnsi="Times New Roman" w:cs="Times New Roman"/>
          <w:bCs/>
          <w:noProof/>
          <w:sz w:val="24"/>
          <w:szCs w:val="24"/>
        </w:rPr>
        <w:t>(Gardner et al., 2019; Klein-Flugge et al., 2013; Kringelbach, 2005; Murray &amp; Rudebeck, 2018; Rudebeck &amp; Murray, 2014)</w:t>
      </w:r>
      <w:r w:rsidR="00194513">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In particular, the OFC is necessary for appropriately updating behavior when the contingencies between predictive cues and outcomes change, or when outcomes change in value </w:t>
      </w:r>
      <w:r w:rsidR="004C3755">
        <w:rPr>
          <w:rFonts w:ascii="Times New Roman" w:hAnsi="Times New Roman" w:cs="Times New Roman"/>
          <w:bCs/>
          <w:sz w:val="24"/>
          <w:szCs w:val="24"/>
        </w:rPr>
        <w:fldChar w:fldCharType="begin" w:fldLock="1"/>
      </w:r>
      <w:r w:rsidR="00DF718E">
        <w:rPr>
          <w:rFonts w:ascii="Times New Roman" w:hAnsi="Times New Roman" w:cs="Times New Roman"/>
          <w:bCs/>
          <w:sz w:val="24"/>
          <w:szCs w:val="24"/>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world","type":"article-journal","volume":"1239"},"uris":["http://www.mendeley.com/documents/?uuid=f7a1d0b4-bc76-4e29-ae07-7c64d6d4d80d"]},{"id":"ITEM-2","itemData":{"DOI":"2005-01705-030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Neurosci","edition":"2005/02/25","id":"ITEM-2","issue":"1","issued":{"date-parts":[["2005"]]},"language":"eng","page":"317-322","title":"Orbitofrontal lesions impair use of cue-outcome associations in a devaluation task","type":"article-journal","volume":"119"},"uris":["http://www.mendeley.com/documents/?uuid=142c50b1-8670-4327-bee0-d91137a96fd5"]},{"id":"ITEM-3","itemData":{"DOI":"10.7554/eLife.37357.001","ISSN":"2050084X","abstract":"The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 Pickens et al., 2005; Walton et al., 2011)","plainTextFormattedCitation":"(Panayi &amp; Killcross, 2018; Pickens et al., 2005; Walton et al., 2011)","previouslyFormattedCitation":"(Panayi &amp; Killcross, 2018; Pickens et al., 2005; Walton et al., 2011)"},"properties":{"noteIndex":0},"schema":"https://github.com/citation-style-language/schema/raw/master/csl-citation.json"}</w:instrText>
      </w:r>
      <w:r w:rsidR="004C3755">
        <w:rPr>
          <w:rFonts w:ascii="Times New Roman" w:hAnsi="Times New Roman" w:cs="Times New Roman"/>
          <w:bCs/>
          <w:sz w:val="24"/>
          <w:szCs w:val="24"/>
        </w:rPr>
        <w:fldChar w:fldCharType="separate"/>
      </w:r>
      <w:r w:rsidR="00242371" w:rsidRPr="00242371">
        <w:rPr>
          <w:rFonts w:ascii="Times New Roman" w:hAnsi="Times New Roman" w:cs="Times New Roman"/>
          <w:bCs/>
          <w:noProof/>
          <w:sz w:val="24"/>
          <w:szCs w:val="24"/>
        </w:rPr>
        <w:t>(Panayi &amp; Killcross, 2018; Pickens et al., 2005; Walton et al., 2011)</w:t>
      </w:r>
      <w:r w:rsidR="004C3755">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Information encoded in the OFC about the expected value and identity of predicted outcomes is necessary for flexibly updating behaviour when these outcome features change. Population and single-unit neuronal firing in the OFC encodes many features of reward outcomes (e.g. size, preference, identity, time, location, probability, certainty, salience </w:t>
      </w:r>
      <w:r w:rsidR="009B480B">
        <w:rPr>
          <w:rFonts w:ascii="Times New Roman" w:hAnsi="Times New Roman" w:cs="Times New Roman"/>
          <w:bCs/>
          <w:sz w:val="24"/>
          <w:szCs w:val="24"/>
        </w:rPr>
        <w:fldChar w:fldCharType="begin" w:fldLock="1"/>
      </w:r>
      <w:r w:rsidR="00A226F4">
        <w:rPr>
          <w:rFonts w:ascii="Times New Roman" w:hAnsi="Times New Roman" w:cs="Times New Roman"/>
          <w:bCs/>
          <w:sz w:val="24"/>
          <w:szCs w:val="24"/>
        </w:rPr>
        <w:instrText>ADDIN CSL_CITATION {"citationItems":[{"id":"ITEM-1","itemData":{"DOI":"10.1038/ncomms4926","ISBN":"2041-1723 (Electronic) 2041-1723 (Linking)","PMID":"24894805","abstract":"The best way to respond flexibly to changes in the environment is to anticipate them. Such anticipation often benefits us if we can infer that a change has occurred, before we have actually experienced the effects of that change. Here we test for neural correlates of this process by recording single-unit activity in the orbitofrontal cortex in rats performing a choice task in which the available rewards changed across blocks of trials. Consistent with the proposal that orbitofrontal cortex signals inferred information, firing changes at the start of each new block as if predicting the not-yet-experienced reward. This change occurs whether the new reward is different in number of drops, requiring signalling of a new value, or in flavour, requiring signalling of a new sensory feature. These results show that orbitofrontal neurons provide a behaviourally relevant signal that reflects inferences about both value-relevant and value-neutral information about impending outcomes.","author":[{"dropping-particle":"","family":"Stalnaker","given":"Thomas A","non-dropping-particle":"","parse-names":false,"suffix":""},{"dropping-particle":"","family":"Cooch","given":"N K","non-dropping-particle":"","parse-names":false,"suffix":""},{"dropping-particle":"","family":"McDannald","given":"Michael A","non-dropping-particle":"","parse-names":false,"suffix":""},{"dropping-particle":"","family":"Liu","given":"T L","non-dropping-particle":"","parse-names":false,"suffix":""},{"dropping-particle":"","family":"Wied","given":"H","non-dropping-particle":"","parse-names":false,"suffix":""},{"dropping-particle":"","family":"Schoenbaum","given":"G","non-dropping-particle":"","parse-names":false,"suffix":""},{"dropping-particle":"","family":"Tzu-Lan","given":"L","non-dropping-particle":"","parse-names":false,"suffix":""},{"dropping-particle":"","family":"Wied","given":"H","non-dropping-particle":"","parse-names":false,"suffix":""},{"dropping-particle":"","family":"Schoenbaum","given":"G","non-dropping-particle":"","parse-names":false,"suffix":""}],"container-title":"Nat Commun","id":"ITEM-1","issued":{"date-parts":[["2014"]]},"note":"From Duplicate 2 (Orbitofrontal neurons infer the value and identity of predicted outcomes - Stalnaker, T A; Cooch, N K; McDannald, M A; Liu, T L; Wied, H; Schoenbaum, G)\n\nStalnaker, Thomas A\nCooch, Nisha K\nMcDannald, Michael A\nLiu, Tzu-Lan\nWied, Heather\nSchoenbaum, Geoffrey\neng\nZ99 DA999999/DA/NIDA NIH HHS/\nZIA DA000587-01/DA/NIDA NIH HHS/\nZIA DA000587-02/DA/NIDA NIH HHS/\nResearch Support, N.I.H., Extramural\nEngland\n2014/06/05 06:00\nNat Commun. 2014 Jun 4;5:3926. doi: 10.1038/ncomms4926.","page":"3926","title":"Orbitofrontal neurons infer the value and identity of predicted outcomes","type":"article-journal","volume":"5"},"uris":["http://www.mendeley.com/documents/?uuid=82821acc-3887-41fc-9274-46355d0204b4"]},{"id":"ITEM-2","itemData":{"DOI":"10.7554/eLife.30373","ISSN":"2050-084X","abstract":"&lt;p&gt;Using knowledge of the structure of the world to infer value is at the heart of model-based reasoning and relies on a circuit that includes the orbitofrontal cortex (OFC). Some accounts link this to the representation of biological significance or value by neurons in OFC, while other models focus on the representation of associative structure or cognitive maps. Here we tested between these accounts by recording OFC neurons in rats during an OFC-dependent sensory preconditioning task. We found that while OFC neurons were strongly driven by biological significance or reward predictions at the end of training, they also showed clear evidence of acquiring the incidental stimulus-stimulus pairings in the preconditioning phase, prior to reward training. These results support a role for OFC in representing associative structure, independent of value.&lt;/p&gt;","author":[{"dropping-particle":"","family":"Sadacca","given":"Brian F","non-dropping-particle":"","parse-names":false,"suffix":""},{"dropping-particle":"","family":"Wied","given":"Heather M","non-dropping-particle":"","parse-names":false,"suffix":""},{"dropping-particle":"","family":"Lopatina","given":"Nina","non-dropping-particle":"","parse-names":false,"suffix":""},{"dropping-particle":"","family":"Saini","given":"Gurpreet K","non-dropping-particle":"","parse-names":false,"suffix":""},{"dropping-particle":"","family":"Nemirovsky","given":"Daniel","non-dropping-particle":"","parse-names":false,"suffix":""},{"dropping-particle":"","family":"Schoenbaum","given":"Geoffrey","non-dropping-particle":"","parse-names":false,"suffix":""}],"container-title":"eLife","id":"ITEM-2","issued":{"date-parts":[["2018","3","7"]]},"page":"e30373","publisher":"eLife Sciences Publications Limited","title":"Orbitofrontal neurons signal sensory associations underlying model-based inference in a sensory preconditioning task","type":"article-journal","volume":"7"},"uris":["http://www.mendeley.com/documents/?uuid=f4e59df1-75b3-3d3e-a4a7-173d32db14ea"]},{"id":"ITEM-3","itemData":{"author":[{"dropping-particle":"","family":"Takahashi","given":"Yuji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-3","issued":{"date-parts":[["2013"]]},"page":"507-518","title":"Neural estimates of imagined outcomes in the orbitofrontal cortex drive behavior and learning","type":"article-journal","volume":"80"},"uris":["http://www.mendeley.com/documents/?uuid=fd8747dc-8e3e-4f94-bf85-606dfceeb18c"]},{"id":"ITEM-4","itemData":{"DOI":"10.1016/j.neuron.2012.11.006","ISSN":"1097-4199","PMID":"23352162","abstract":"Decision making is impacted by uncertainty and risk (i.e., variance). Activity in the orbitofrontal cortex, an area implicated in decision making, covaries with these quantities. However, this activity could reflect the heightened salience of situations in which multiple outcomes-reward and reward omission-are expected. To resolve these accounts, rats were trained to respond to cues predicting 100%, 67%, 33%, or 0% reward. Consistent with prior reports, some orbitofrontal neurons fired differently in anticipation of uncertain (33% and 67%) versus certain (100% and 0%) reward. However, over 90% of these neurons also fired differently prior to 100% versus 0% reward (or baseline) or prior to 33% versus 67% reward. These responses are inconsistent with risk but fit well with the representation of acquired salience linked to the sum of cue-outcome and cue-no-outcome associative strengths. These results expand our understanding of how the orbitofrontal cortex might regulate learning and behavior.","author":[{"dropping-particle":"","family":"Ogawa","given":"Masaaki","non-dropping-particle":"","parse-names":false,"suffix":""},{"dropping-particle":"","family":"Meer","given":"Matthijs A A","non-dropping-particle":"van der","parse-names":false,"suffix":""},{"dropping-particle":"","family":"Esber","given":"Guillem R","non-dropping-particle":"","parse-names":false,"suffix":""},{"dropping-particle":"","family":"Cerri","given":"Domenic H","non-dropping-particle":"","parse-names":false,"suffix":""},{"dropping-particle":"","family":"Stalnaker","given":"Thomas A","non-dropping-particle":"","parse-names":false,"suffix":""},{"dropping-particle":"","family":"Schoenbaum","given":"Geoffrey","non-dropping-particle":"","parse-names":false,"suffix":""}],"container-title":"Neuron","id":"ITEM-4","issue":"2","issued":{"date-parts":[["2013","1","23"]]},"page":"251-8","publisher":"Elsevier","title":"Risk-responsive orbitofrontal neurons track acquired salience.","type":"article-journal","volume":"77"},"uris":["http://www.mendeley.com/documents/?uuid=bee8e34e-0469-3ab2-9be7-e5f589d05609"]},{"id":"ITEM-5","itemData":{"DOI":"10.1016/j.cub.2019.01.048","ISSN":"09609822","PMID":"30827919","abstract":"The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eoffrey","non-dropping-particle":"","parse-names":false,"suffix":""}],"container-title":"Current Biology","id":"ITEM-5","issued":{"date-parts":[["2019"]]},"title":"Rat Orbitofrontal Ensemble Activity Contains Multiplexed but Dissociable Representations of Value and Task Structure in an Odor Sequence Task","type":"article-journal"},"uris":["http://www.mendeley.com/documents/?uuid=4f36717f-8ad1-4452-97a6-431a17300717"]},{"id":"ITEM-6","itemData":{"author":[{"dropping-particle":"","family":"Padoa-Schioppa","given":"C","non-dropping-particle":"","parse-names":false,"suffix":""}],"container-title":"Journal of Neuroscience","id":"ITEM-6","issued":{"date-parts":[["2009"]]},"page":"14004-14014","title":"Range-adapting representation of economic value in the orbitofrontal cortex","type":"article-journal","volume":"29"},"uris":["http://www.mendeley.com/documents/?uuid=7a5669e3-d3c1-4bab-8c0e-b886c902edbd"]},{"id":"ITEM-7","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J","non-dropping-particle":"","parse-names":false,"suffix":""}],"id":"ITEM-7","issued":{"date-parts":[["2007"]]},"language":"English","page":"152-173","publisher":"Blackwell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conditioning","type":"chapter","volume":"1121"},"uris":["http://www.mendeley.com/documents/?uuid=fe58f3e9-0bae-4cf9-be89-0a503f752db3"]}],"mendeley":{"formattedCitation":"(Delamater, 2007; Ogawa et al., 2013; Padoa-Schioppa, 2009; Sadacca et al., 2018; Stalnaker et al., 2014; Takahashi et al., 2013; Zhou et al., 2019)","plainTextFormattedCitation":"(Delamater, 2007; Ogawa et al., 2013; Padoa-Schioppa, 2009; Sadacca et al., 2018; Stalnaker et al., 2014; Takahashi et al., 2013; Zhou et al., 2019)","previouslyFormattedCitation":"(Delamater, 2007; Ogawa et al., 2013; Padoa-Schioppa, 2009; Sadacca et al., 2018; Stalnaker et al., 2014; Takahashi et al., 2013; Zhou et al., 2019)"},"properties":{"noteIndex":0},"schema":"https://github.com/citation-style-language/schema/raw/master/csl-citation.json"}</w:instrText>
      </w:r>
      <w:r w:rsidR="009B480B">
        <w:rPr>
          <w:rFonts w:ascii="Times New Roman" w:hAnsi="Times New Roman" w:cs="Times New Roman"/>
          <w:bCs/>
          <w:sz w:val="24"/>
          <w:szCs w:val="24"/>
        </w:rPr>
        <w:fldChar w:fldCharType="separate"/>
      </w:r>
      <w:r w:rsidR="00661D73" w:rsidRPr="00661D73">
        <w:rPr>
          <w:rFonts w:ascii="Times New Roman" w:hAnsi="Times New Roman" w:cs="Times New Roman"/>
          <w:bCs/>
          <w:noProof/>
          <w:sz w:val="24"/>
          <w:szCs w:val="24"/>
        </w:rPr>
        <w:t>(Delamater, 2007; Ogawa et al., 2013; Padoa-Schioppa, 2009; Sadacca et al., 2018; Stalnaker et al., 2014; Takahashi et al., 2013; Zhou et al., 2019)</w:t>
      </w:r>
      <w:r w:rsidR="009B480B">
        <w:rPr>
          <w:rFonts w:ascii="Times New Roman" w:hAnsi="Times New Roman" w:cs="Times New Roman"/>
          <w:bCs/>
          <w:sz w:val="24"/>
          <w:szCs w:val="24"/>
        </w:rPr>
        <w:fldChar w:fldCharType="end"/>
      </w:r>
      <w:r w:rsidRPr="009E6850">
        <w:rPr>
          <w:rFonts w:ascii="Times New Roman" w:hAnsi="Times New Roman" w:cs="Times New Roman"/>
          <w:bCs/>
          <w:sz w:val="24"/>
          <w:szCs w:val="24"/>
        </w:rPr>
        <w:t>), furthermore the coding of these features develops over the course of learning to predictive cues in anticipation of the expected outcome</w:t>
      </w:r>
      <w:r w:rsidR="00891564">
        <w:rPr>
          <w:rFonts w:ascii="Times New Roman" w:hAnsi="Times New Roman" w:cs="Times New Roman"/>
          <w:bCs/>
          <w:sz w:val="24"/>
          <w:szCs w:val="24"/>
        </w:rPr>
        <w:t xml:space="preserve"> </w:t>
      </w:r>
      <w:r w:rsidR="00B23964">
        <w:rPr>
          <w:rFonts w:ascii="Times New Roman" w:hAnsi="Times New Roman" w:cs="Times New Roman"/>
          <w:bCs/>
          <w:sz w:val="24"/>
          <w:szCs w:val="24"/>
        </w:rPr>
        <w:fldChar w:fldCharType="begin" w:fldLock="1"/>
      </w:r>
      <w:r w:rsidR="00DF718E">
        <w:rPr>
          <w:rFonts w:ascii="Times New Roman" w:hAnsi="Times New Roman" w:cs="Times New Roman"/>
          <w:bCs/>
          <w:sz w:val="24"/>
          <w:szCs w:val="24"/>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behaviour","type":"article-journal","volume":"10"},"uris":["http://www.mendeley.com/documents/?uuid=9124fd3f-a73f-4663-9302-6f70d776e02c"]}],"mendeley":{"formattedCitation":"(Schoenbaum et al., 2009)","plainTextFormattedCitation":"(Schoenbaum et al., 2009)","previouslyFormattedCitation":"(Schoenbaum et al., 2009)"},"properties":{"noteIndex":0},"schema":"https://github.com/citation-style-language/schema/raw/master/csl-citation.json"}</w:instrText>
      </w:r>
      <w:r w:rsidR="00B23964">
        <w:rPr>
          <w:rFonts w:ascii="Times New Roman" w:hAnsi="Times New Roman" w:cs="Times New Roman"/>
          <w:bCs/>
          <w:sz w:val="24"/>
          <w:szCs w:val="24"/>
        </w:rPr>
        <w:fldChar w:fldCharType="separate"/>
      </w:r>
      <w:r w:rsidR="00242371" w:rsidRPr="00242371">
        <w:rPr>
          <w:rFonts w:ascii="Times New Roman" w:hAnsi="Times New Roman" w:cs="Times New Roman"/>
          <w:bCs/>
          <w:noProof/>
          <w:sz w:val="24"/>
          <w:szCs w:val="24"/>
        </w:rPr>
        <w:t>(Schoenbaum et al., 2009)</w:t>
      </w:r>
      <w:r w:rsidR="00B23964">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There is also substantial evidence to suggest that this outcome expectancy information in the OFC is incorporated into mid-brain dopaminergic reward prediction errors </w:t>
      </w:r>
      <w:r w:rsidR="00991F59">
        <w:rPr>
          <w:rFonts w:ascii="Times New Roman" w:hAnsi="Times New Roman" w:cs="Times New Roman"/>
          <w:bCs/>
          <w:sz w:val="24"/>
          <w:szCs w:val="24"/>
        </w:rPr>
        <w:fldChar w:fldCharType="begin" w:fldLock="1"/>
      </w:r>
      <w:r w:rsidR="005243AB">
        <w:rPr>
          <w:rFonts w:ascii="Times New Roman" w:hAnsi="Times New Roman" w:cs="Times New Roman"/>
          <w:bCs/>
          <w:sz w:val="24"/>
          <w:szCs w:val="24"/>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eoffrey","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cortex","type":"article-journal","volume":"14"},"uris":["http://www.mendeley.com/documents/?uuid=ef0e30e7-0413-4094-a294-c1ebacc27b60"]}],"mendeley":{"formattedCitation":"(Takahashi et al., 2011)","plainTextFormattedCitation":"(Takahashi et al., 2011)","previouslyFormattedCitation":"(Takahashi et al., 2011)"},"properties":{"noteIndex":0},"schema":"https://github.com/citation-style-language/schema/raw/master/csl-citation.json"}</w:instrText>
      </w:r>
      <w:r w:rsidR="00991F59">
        <w:rPr>
          <w:rFonts w:ascii="Times New Roman" w:hAnsi="Times New Roman" w:cs="Times New Roman"/>
          <w:bCs/>
          <w:sz w:val="24"/>
          <w:szCs w:val="24"/>
        </w:rPr>
        <w:fldChar w:fldCharType="separate"/>
      </w:r>
      <w:r w:rsidR="00991F59" w:rsidRPr="00991F59">
        <w:rPr>
          <w:rFonts w:ascii="Times New Roman" w:hAnsi="Times New Roman" w:cs="Times New Roman"/>
          <w:bCs/>
          <w:noProof/>
          <w:sz w:val="24"/>
          <w:szCs w:val="24"/>
        </w:rPr>
        <w:t>(Takahashi et al., 2011)</w:t>
      </w:r>
      <w:r w:rsidR="00991F59">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which are critical for learning </w:t>
      </w:r>
      <w:r w:rsidR="005243AB">
        <w:rPr>
          <w:rFonts w:ascii="Times New Roman" w:hAnsi="Times New Roman" w:cs="Times New Roman"/>
          <w:bCs/>
          <w:sz w:val="24"/>
          <w:szCs w:val="24"/>
        </w:rPr>
        <w:fldChar w:fldCharType="begin" w:fldLock="1"/>
      </w:r>
      <w:r w:rsidR="00AB79FB">
        <w:rPr>
          <w:rFonts w:ascii="Times New Roman" w:hAnsi="Times New Roman" w:cs="Times New Roman"/>
          <w:bCs/>
          <w:sz w:val="24"/>
          <w:szCs w:val="24"/>
        </w:rPr>
        <w:instrText>ADDIN CSL_CITATION {"citationItems":[{"id":"ITEM-1","itemData":{"ISBN":"0022-3077","abstract":"The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even…","author":[{"dropping-particle":"","family":"Schultz","given":"W","non-dropping-particle":"","parse-names":false,"suffix":""}],"container-title":"Journal of Neurophysiology","id":"ITEM-1","issue":"1","issued":{"date-parts":[["1998"]]},"language":"English","note":"Zz636\nTimes Cited:1811\nCited References Count:301","page":"1-27","title":"Predictive reward signal of dopamine neurons","type":"article-journal","volume":"80"},"uris":["http://www.mendeley.com/documents/?uuid=04be3e1d-2543-42cb-b30e-2a8563951e86"]},{"id":"ITEM-2","itemData":{"DOI":"10.1038/nn.3413","ISBN":"1546-1726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Neuroscience","id":"ITEM-2","issue":"7","issued":{"date-parts":[["2013"]]},"page":"966-973","title":"A causal link between prediction errors, dopamine neurons and learning","type":"article-journal","volume":"16"},"uris":["http://www.mendeley.com/documents/?uuid=721f625d-09d6-42e2-82ad-124b5a1bfbdf"]}],"mendeley":{"formattedCitation":"(Schultz, 1998; Steinberg et al., 2013)","plainTextFormattedCitation":"(Schultz, 1998; Steinberg et al., 2013)","previouslyFormattedCitation":"(Schultz, 1998; Steinberg et al., 2013)"},"properties":{"noteIndex":0},"schema":"https://github.com/citation-style-language/schema/raw/master/csl-citation.json"}</w:instrText>
      </w:r>
      <w:r w:rsidR="005243AB">
        <w:rPr>
          <w:rFonts w:ascii="Times New Roman" w:hAnsi="Times New Roman" w:cs="Times New Roman"/>
          <w:bCs/>
          <w:sz w:val="24"/>
          <w:szCs w:val="24"/>
        </w:rPr>
        <w:fldChar w:fldCharType="separate"/>
      </w:r>
      <w:r w:rsidR="005243AB" w:rsidRPr="005243AB">
        <w:rPr>
          <w:rFonts w:ascii="Times New Roman" w:hAnsi="Times New Roman" w:cs="Times New Roman"/>
          <w:bCs/>
          <w:noProof/>
          <w:sz w:val="24"/>
          <w:szCs w:val="24"/>
        </w:rPr>
        <w:t>(Schultz, 1998; Steinberg et al., 2013)</w:t>
      </w:r>
      <w:r w:rsidR="005243AB">
        <w:rPr>
          <w:rFonts w:ascii="Times New Roman" w:hAnsi="Times New Roman" w:cs="Times New Roman"/>
          <w:bCs/>
          <w:sz w:val="24"/>
          <w:szCs w:val="24"/>
        </w:rPr>
        <w:fldChar w:fldCharType="end"/>
      </w:r>
      <w:r w:rsidRPr="009E6850">
        <w:rPr>
          <w:rFonts w:ascii="Times New Roman" w:hAnsi="Times New Roman" w:cs="Times New Roman"/>
          <w:bCs/>
          <w:sz w:val="24"/>
          <w:szCs w:val="24"/>
        </w:rPr>
        <w:t>.</w:t>
      </w:r>
    </w:p>
    <w:p w14:paraId="44391342" w14:textId="70381924" w:rsidR="00395A24" w:rsidRDefault="00395A24" w:rsidP="002860CC">
      <w:pPr>
        <w:ind w:firstLine="720"/>
        <w:rPr>
          <w:rFonts w:ascii="Times New Roman" w:hAnsi="Times New Roman" w:cs="Times New Roman"/>
          <w:bCs/>
          <w:sz w:val="24"/>
          <w:szCs w:val="24"/>
        </w:rPr>
      </w:pPr>
      <w:r w:rsidRPr="009E6850">
        <w:rPr>
          <w:rFonts w:ascii="Times New Roman" w:hAnsi="Times New Roman" w:cs="Times New Roman"/>
          <w:bCs/>
          <w:sz w:val="24"/>
          <w:szCs w:val="24"/>
        </w:rPr>
        <w:t>However, despite these close ties to the learning process, the OFC is not necessary for the initial acquisition learning</w:t>
      </w:r>
      <w:r w:rsidR="00282C90">
        <w:rPr>
          <w:rFonts w:ascii="Times New Roman" w:hAnsi="Times New Roman" w:cs="Times New Roman"/>
          <w:bCs/>
          <w:sz w:val="24"/>
          <w:szCs w:val="24"/>
        </w:rPr>
        <w:t xml:space="preserve"> </w:t>
      </w:r>
      <w:r w:rsidR="00E92079">
        <w:rPr>
          <w:rFonts w:ascii="Times New Roman" w:hAnsi="Times New Roman" w:cs="Times New Roman"/>
          <w:bCs/>
          <w:sz w:val="24"/>
          <w:szCs w:val="24"/>
        </w:rPr>
        <w:fldChar w:fldCharType="begin" w:fldLock="1"/>
      </w:r>
      <w:r w:rsidR="00A226F4">
        <w:rPr>
          <w:rFonts w:ascii="Times New Roman" w:hAnsi="Times New Roman" w:cs="Times New Roman"/>
          <w:bCs/>
          <w:sz w:val="24"/>
          <w:szCs w:val="24"/>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studies","type":"article-journal","volume":"27"},"uris":["http://www.mendeley.com/documents/?uuid=bc6bf326-57b1-4d03-83e5-7696730fbc71"]},{"id":"ITEM-2","itemData":{"DOI":"10.1038/nn.3982","ISSN":"15461726","abstract":"The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Neuroscience","id":"ITEM-2","issued":{"date-parts":[["2015"]]},"title":"What the orbitofrontal cortex does not do","type":"article"},"uris":["http://www.mendeley.com/documents/?uuid=27e76bc7-609d-486b-a56b-b8b4e15e5051"]},{"id":"ITEM-3","itemData":{"DOI":"10.1523/JNEUROSCI.1678-17.2017","ISSN":"1529-2401","PMID":"29093055","abstract":"Rat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 OFC 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work.","author":[{"dropping-particle":"","family":"Izquierdo","given":"Alicia","non-dropping-particle":"","parse-names":false,"suffix":""}],"container-title":"The Journal of neuroscience : the official journal of the Society for Neuroscience","id":"ITEM-3","issue":"44","issued":{"date-parts":[["2017","11","1"]]},"page":"10529-10540","publisher":"Society for Neuroscience","title":"Functional Heterogeneity within Rat Orbitofrontal Cortex in Reward Learning and Decision Making.","type":"article-journal","volume":"37"},"uris":["http://www.mendeley.com/documents/?uuid=e9c2f44d-77e4-3271-a668-e294c7686aaa"]},{"id":"ITEM-4","itemData":{"DOI":"10.1016/j.neuron.2014.10.049","abstract":"The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A.","non-dropping-particle":"","parse-names":false,"suffix":""}],"container-title":"Neuron","id":"ITEM-4","issue":"6","issued":{"date-parts":[["2014"]]},"page":"1143-1156","publisher":"Elsevier","title":"The Orbitofrontal Oracle: Cortical Mechanisms for the Prediction and Evaluation of Specific Behavioral Outcomes","type":"article-journal","volume":"84"},"uris":["http://www.mendeley.com/documents/?uuid=045ae595-4a1e-462a-abf9-8dc98a92d0e2"]},{"id":"ITEM-5","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J","non-dropping-particle":"","parse-names":false,"suffix":""}],"id":"ITEM-5","issued":{"date-parts":[["2007"]]},"language":"English","page":"152-173","publisher":"Blackwell Publishing","publisher-place":"Oxford","title":"The role of the orbitofrontal cortex in sensory-specific encoding of associations in Pavlovian and instrumental conditioning","type":"chapter","volume":"1121"},"prefix":"comprehensively documented by ","uris":["http://www.mendeley.com/documents/?uuid=fe58f3e9-0bae-4cf9-be89-0a503f752db3"]}],"mendeley":{"formattedCitation":"(comprehensively documented by Delamater, 2007; Izquierdo, 2017; Murray et al., 2007; Rudebeck &amp; Murray, 2014; Stalnaker et al., 2015)","plainTextFormattedCitation":"(comprehensively documented by Delamater, 2007; Izquierdo, 2017; Murray et al., 2007; Rudebeck &amp; Murray, 2014; Stalnaker et al., 2015)","previouslyFormattedCitation":"(comprehensively documented by Delamater, 2007; Izquierdo, 2017; Murray et al., 2007; Rudebeck &amp; Murray, 2014; Stalnaker et al., 2015)"},"properties":{"noteIndex":0},"schema":"https://github.com/citation-style-language/schema/raw/master/csl-citation.json"}</w:instrText>
      </w:r>
      <w:r w:rsidR="00E92079">
        <w:rPr>
          <w:rFonts w:ascii="Times New Roman" w:hAnsi="Times New Roman" w:cs="Times New Roman"/>
          <w:bCs/>
          <w:sz w:val="24"/>
          <w:szCs w:val="24"/>
        </w:rPr>
        <w:fldChar w:fldCharType="separate"/>
      </w:r>
      <w:r w:rsidR="00661D73" w:rsidRPr="00661D73">
        <w:rPr>
          <w:rFonts w:ascii="Times New Roman" w:hAnsi="Times New Roman" w:cs="Times New Roman"/>
          <w:bCs/>
          <w:noProof/>
          <w:sz w:val="24"/>
          <w:szCs w:val="24"/>
        </w:rPr>
        <w:t>(comprehensively documented by Delamater, 2007; Izquierdo, 2017; Murray et al., 2007; Rudebeck &amp; Murray, 2014; Stalnaker et al., 2015)</w:t>
      </w:r>
      <w:r w:rsidR="00E92079">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in all but the most complex of circumstances </w:t>
      </w:r>
      <w:r>
        <w:rPr>
          <w:rFonts w:ascii="Times New Roman" w:hAnsi="Times New Roman" w:cs="Times New Roman"/>
          <w:bCs/>
          <w:sz w:val="24"/>
          <w:szCs w:val="24"/>
        </w:rPr>
        <w:fldChar w:fldCharType="begin" w:fldLock="1"/>
      </w:r>
      <w:r w:rsidR="00164C45">
        <w:rPr>
          <w:rFonts w:ascii="Times New Roman" w:hAnsi="Times New Roman" w:cs="Times New Roman"/>
          <w:bCs/>
          <w:sz w:val="24"/>
          <w:szCs w:val="24"/>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world","type":"article-journal","volume":"1239"},"prefix":"e.g. ","uris":["http://www.mendeley.com/documents/?uuid=f7a1d0b4-bc76-4e29-ae07-7c64d6d4d80d"]}],"mendeley":{"formattedCitation":"(e.g. Walton et al., 2011)","plainTextFormattedCitation":"(e.g. Walton et al., 2011)","previouslyFormattedCitation":"(e.g. Walton et al., 2011)"},"properties":{"noteIndex":0},"schema":"https://github.com/citation-style-language/schema/raw/master/csl-citation.json"}</w:instrText>
      </w:r>
      <w:r>
        <w:rPr>
          <w:rFonts w:ascii="Times New Roman" w:hAnsi="Times New Roman" w:cs="Times New Roman"/>
          <w:bCs/>
          <w:sz w:val="24"/>
          <w:szCs w:val="24"/>
        </w:rPr>
        <w:fldChar w:fldCharType="separate"/>
      </w:r>
      <w:r w:rsidR="008C23AF" w:rsidRPr="008C23AF">
        <w:rPr>
          <w:rFonts w:ascii="Times New Roman" w:hAnsi="Times New Roman" w:cs="Times New Roman"/>
          <w:bCs/>
          <w:noProof/>
          <w:sz w:val="24"/>
          <w:szCs w:val="24"/>
        </w:rPr>
        <w:t>(e.g. Walton et al., 2011)</w:t>
      </w:r>
      <w:r>
        <w:rPr>
          <w:rFonts w:ascii="Times New Roman" w:hAnsi="Times New Roman" w:cs="Times New Roman"/>
          <w:bCs/>
          <w:sz w:val="24"/>
          <w:szCs w:val="24"/>
        </w:rPr>
        <w:fldChar w:fldCharType="end"/>
      </w:r>
      <w:r w:rsidRPr="009E6850">
        <w:rPr>
          <w:rFonts w:ascii="Times New Roman" w:hAnsi="Times New Roman" w:cs="Times New Roman"/>
          <w:bCs/>
          <w:sz w:val="24"/>
          <w:szCs w:val="24"/>
        </w:rPr>
        <w:t>. Lesions and functional inactivation of the OFC do not disturb initial learning about Pavlovian cue-outcome relationships in a range of tasks, and instead only reveal their effects when the cue-outcome relationships change</w:t>
      </w:r>
      <w:r>
        <w:rPr>
          <w:rFonts w:ascii="Times New Roman" w:hAnsi="Times New Roman" w:cs="Times New Roman"/>
          <w:bCs/>
          <w:sz w:val="24"/>
          <w:szCs w:val="24"/>
        </w:rPr>
        <w:t xml:space="preserve">, </w:t>
      </w:r>
      <w:r w:rsidRPr="009E6850">
        <w:rPr>
          <w:rFonts w:ascii="Times New Roman" w:hAnsi="Times New Roman" w:cs="Times New Roman"/>
          <w:bCs/>
          <w:sz w:val="24"/>
          <w:szCs w:val="24"/>
        </w:rPr>
        <w:t>or when the value of expected outcomes change</w:t>
      </w:r>
      <w:r>
        <w:rPr>
          <w:rFonts w:ascii="Times New Roman" w:hAnsi="Times New Roman" w:cs="Times New Roman"/>
          <w:bCs/>
          <w:sz w:val="24"/>
          <w:szCs w:val="24"/>
        </w:rPr>
        <w:t xml:space="preserve"> such as in reversal learning and outcome devaluation </w:t>
      </w:r>
      <w:r w:rsidRPr="000C41DE">
        <w:rPr>
          <w:rFonts w:ascii="Times New Roman" w:hAnsi="Times New Roman" w:cs="Times New Roman"/>
          <w:bCs/>
          <w:sz w:val="24"/>
          <w:szCs w:val="24"/>
        </w:rPr>
        <w:t xml:space="preserve">procedures </w:t>
      </w:r>
      <w:r w:rsidR="00164C45" w:rsidRPr="000C41DE">
        <w:rPr>
          <w:rFonts w:ascii="Times New Roman" w:hAnsi="Times New Roman" w:cs="Times New Roman"/>
          <w:bCs/>
          <w:sz w:val="24"/>
          <w:szCs w:val="24"/>
        </w:rPr>
        <w:fldChar w:fldCharType="begin" w:fldLock="1"/>
      </w:r>
      <w:r w:rsidR="00DF718E">
        <w:rPr>
          <w:rFonts w:ascii="Times New Roman" w:hAnsi="Times New Roman" w:cs="Times New Roman"/>
          <w:bCs/>
          <w:sz w:val="24"/>
          <w:szCs w:val="24"/>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reversals","type":"article-journal","volume":"10"},"uris":["http://www.mendeley.com/documents/?uuid=5ebfb22c-1f18-498d-8cd4-28e2d758f013"]},{"id":"ITEM-2","itemData":{"DOI":"10.1038/380069a0","ISBN":"0028-0836 (Print)\r0028-0836 (Linking)","PMID":"8598908","abstract":"The prefrontal cortex is implicated in such human characteristics as volition, planning, abstract reasoning and affect. Frontal-lobe damage can cause disinhibition such that the behaviour of a subject is guided by previously acquired responses that are inappropriate to the current situation. Here we demonstrate that disinhibition, or a loss of inhibitory control, can be selective for particular cognitive functions and that different regions of the prefrontal cortex provide inhibitory control in different aspects of cognitive processing. Thus, whereas damage to the lateral prefrontal cortex (Brodmann's area 9) in monkeys causes a loss of inhibitory control in attentional selection, damage to the orbito-frontal cortex in monkeys causes a loss of inhibitory control in 'affective' processing, thereby impairing the ability to alter behaviour in response to fluctuations in the emotional significance of stimuli. These findings not only support the view that the prefrontal cortex has multiple functions, but also provide evidence for the distribution of different cognitive functions within specific regions of prefrontal cortex.","author":[{"dropping-particle":"","family":"Dias","given":"R","non-dropping-particle":"","parse-names":false,"suffix":""},{"dropping-particle":"","family":"Robbins","given":"T W","non-dropping-particle":"","parse-names":false,"suffix":""},{"dropping-particle":"","family":"Roberts","given":"A C","non-dropping-particle":"","parse-names":false,"suffix":""}],"container-title":"Nature","id":"ITEM-2","issue":"6569","issued":{"date-parts":[["1996"]]},"note":"Dias, R\nRobbins, T W\nRoberts, A C\neng\nWellcome Trust/United Kingdom\nResearch Support, Non-U.S. Gov't\nENGLAND\n1996/03/07\nNature. 1996 Mar 7;380(6569):69-72.","page":"69-72","title":"Dissociation in prefrontal cortex of affective and attentional shifts","type":"article-journal","volume":"380"},"uris":["http://www.mendeley.com/documents/?uuid=f9faf17f-6dd3-4323-b02d-e36dce17274e"]},{"id":"ITEM-3","itemData":{"ISBN":"0014-4819 (Print)\r0014-4819 (Linking)","PMID":"4993199","author":[{"dropping-particle":"","family":"Iversen","given":"S D","non-dropping-particle":"","parse-names":false,"suffix":""},{"dropping-particle":"","family":"Mishkin","given":"M","non-dropping-particle":"","parse-names":false,"suffix":""}],"container-title":"Experimental Brain Research","id":"ITEM-3","issue":"4","issued":{"date-parts":[["1970"]]},"note":"Iversen, S D\nMishkin, M\neng\nGERMANY, WEST\n1970/11/26\nExp Brain Res. 1970 Nov 26;11(4):376-86.","page":"376-386","title":"Perseverative interference in monkeys following selective lesions of the inferior prefrontal convexity","type":"article-journal","volume":"11"},"uris":["http://www.mendeley.com/documents/?uuid=39fb1a65-1899-441a-89c1-44080522265d"]},{"id":"ITEM-4","itemData":{"author":[{"dropping-particle":"","family":"Butter","given":"C M","non-dropping-particle":"","parse-names":false,"suffix":""}],"container-title":"Physiol. Behav","id":"ITEM-4","issued":{"date-parts":[["1969"]]},"page":"163-171","title":"Perseveration in extinction and in discrimination reversal tasks following selective frontal ablations in Macaca mulatta","type":"article-journal","volume":"4"},"uris":["http://www.mendeley.com/documents/?uuid=ebd12b0a-14cc-41fd-a252-aadb3df2450a"]},{"id":"ITEM-5","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Neuroscience","id":"ITEM-5","issue":"15","issued":{"date-parts":[["1999"]]},"language":"English","page":"6610-6614","title":"Orbitofrontal cortex and representation of incentive value in associative learning","type":"article-journal","volume":"19"},"uris":["http://www.mendeley.com/documents/?uuid=67ba92ca-b679-407e-9f2a-7aac71c3f739"]},{"id":"ITEM-6","itemData":{"DOI":"10.1523/JNEUROSCI.3295-11.2011","ISBN":"0270-6474\r1529-2401","abstract":"The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Neuroscience","id":"ITEM-6","issue":"42","issued":{"date-parts":[["2011"]]},"note":"22016546[pmid]\nJ Neurosci","page":"15128-15135","title":"Transient Inactivation of Orbitofrontal Cortex Blocks Reinforcer Devaluation in Macaques","type":"article-journal","volume":"31"},"uris":["http://www.mendeley.com/documents/?uuid=66cf4632-93ab-4722-8012-a7a06ffbff12"]}],"mendeley":{"formattedCitation":"(Butter, 1969; Dias et al., 1996; Gallagher et al., 1999; Iversen &amp; Mishkin, 1970; Schoenbaum et al., 2003; West et al., 2011)","plainTextFormattedCitation":"(Butter, 1969; Dias et al., 1996; Gallagher et al., 1999; Iversen &amp; Mishkin, 1970; Schoenbaum et al., 2003; West et al., 2011)","previouslyFormattedCitation":"(Butter, 1969; Dias et al., 1996; Gallagher et al., 1999; Iversen &amp; Mishkin, 1970; Schoenbaum et al., 2003; West et al., 2011)"},"properties":{"noteIndex":0},"schema":"https://github.com/citation-style-language/schema/raw/master/csl-citation.json"}</w:instrText>
      </w:r>
      <w:r w:rsidR="00164C45" w:rsidRPr="000C41DE">
        <w:rPr>
          <w:rFonts w:ascii="Times New Roman" w:hAnsi="Times New Roman" w:cs="Times New Roman"/>
          <w:bCs/>
          <w:sz w:val="24"/>
          <w:szCs w:val="24"/>
        </w:rPr>
        <w:fldChar w:fldCharType="separate"/>
      </w:r>
      <w:r w:rsidR="00242371" w:rsidRPr="00242371">
        <w:rPr>
          <w:rFonts w:ascii="Times New Roman" w:hAnsi="Times New Roman" w:cs="Times New Roman"/>
          <w:bCs/>
          <w:noProof/>
          <w:sz w:val="24"/>
          <w:szCs w:val="24"/>
        </w:rPr>
        <w:t>(Butter, 1969; Dias et al., 1996; Gallagher et al., 1999; Iversen &amp; Mishkin, 1970; Schoenbaum et al., 2003; West et al., 2011)</w:t>
      </w:r>
      <w:r w:rsidR="00164C45" w:rsidRPr="000C41DE">
        <w:rPr>
          <w:rFonts w:ascii="Times New Roman" w:hAnsi="Times New Roman" w:cs="Times New Roman"/>
          <w:bCs/>
          <w:sz w:val="24"/>
          <w:szCs w:val="24"/>
        </w:rPr>
        <w:fldChar w:fldCharType="end"/>
      </w:r>
      <w:r w:rsidRPr="000C41DE">
        <w:rPr>
          <w:rFonts w:ascii="Times New Roman" w:hAnsi="Times New Roman" w:cs="Times New Roman"/>
          <w:bCs/>
          <w:sz w:val="24"/>
          <w:szCs w:val="24"/>
        </w:rPr>
        <w:t>.</w:t>
      </w:r>
      <w:r>
        <w:rPr>
          <w:rFonts w:ascii="Times New Roman" w:hAnsi="Times New Roman" w:cs="Times New Roman"/>
          <w:bCs/>
          <w:sz w:val="24"/>
          <w:szCs w:val="24"/>
        </w:rPr>
        <w:t xml:space="preserve"> To account for these effects, one class of OFC theories suggests that the OFC is necessary for representing information about the sensory</w:t>
      </w:r>
      <w:r w:rsidR="001216A4">
        <w:rPr>
          <w:rFonts w:ascii="Times New Roman" w:hAnsi="Times New Roman" w:cs="Times New Roman"/>
          <w:bCs/>
          <w:sz w:val="24"/>
          <w:szCs w:val="24"/>
        </w:rPr>
        <w:t>-</w:t>
      </w:r>
      <w:r>
        <w:rPr>
          <w:rFonts w:ascii="Times New Roman" w:hAnsi="Times New Roman" w:cs="Times New Roman"/>
          <w:bCs/>
          <w:sz w:val="24"/>
          <w:szCs w:val="24"/>
        </w:rPr>
        <w:t>specific properties or identity of expected outcomes</w:t>
      </w:r>
      <w:r w:rsidR="006B0EA1">
        <w:rPr>
          <w:rFonts w:ascii="Times New Roman" w:hAnsi="Times New Roman" w:cs="Times New Roman"/>
          <w:bCs/>
          <w:sz w:val="24"/>
          <w:szCs w:val="24"/>
        </w:rPr>
        <w:t xml:space="preserve"> </w:t>
      </w:r>
      <w:r w:rsidR="006B0EA1">
        <w:rPr>
          <w:rFonts w:ascii="Times New Roman" w:hAnsi="Times New Roman" w:cs="Times New Roman"/>
          <w:bCs/>
          <w:sz w:val="24"/>
          <w:szCs w:val="24"/>
        </w:rPr>
        <w:fldChar w:fldCharType="begin" w:fldLock="1"/>
      </w:r>
      <w:r w:rsidR="006159CE">
        <w:rPr>
          <w:rFonts w:ascii="Times New Roman" w:hAnsi="Times New Roman" w:cs="Times New Roman"/>
          <w:bCs/>
          <w:sz w:val="24"/>
          <w:szCs w:val="24"/>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behaviour","type":"article-journal","volume":"10"},"uris":["http://www.mendeley.com/documents/?uuid=9124fd3f-a73f-4663-9302-6f70d776e02c"]},{"id":"ITEM-2","itemData":{"DOI":"Doi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-2","issue":"7202","issued":{"date-parts":[["2008"]]},"language":"English","page":"340-U45","title":"The role of the orbitofrontal cortex in the pursuit of happiness and more specific rewards","type":"article-journal","volume":"454"},"uris":["http://www.mendeley.com/documents/?uuid=c3367cf0-c4f1-419c-80b8-0bb9c2afd479"]},{"id":"ITEM-3","itemData":{"DOI":"10.1111/j.1749-6632.2011.06210.x","ISBN":"1749-6632","author":[{"dropping-particle":"","family":"Schoenbaum","given":"G","non-dropping-particle":"","parse-names":false,"suffix":""},{"dropping-particle":"","family":"Takahashi","given":"Yuji K.","non-dropping-particle":"","parse-names":false,"suffix":""},{"dropping-particle":"","family":"Liu","given":"T","non-dropping-particle":"","parse-names":false,"suffix":""},{"dropping-particle":"","family":"McDannald","given":"Michael A","non-dropping-particle":"","parse-names":false,"suffix":""}],"container-title":"Ann N Y Acad Sci","id":"ITEM-3","issue":"1","issued":{"date-parts":[["2011"]]},"page":"87-99","publisher":"Blackwell Publishing Inc","title":"Does the orbitofrontal cortex signal value?","type":"article-journal","volume":"1239"},"uris":["http://www.mendeley.com/documents/?uuid=3f415e73-ab30-4798-887c-7839b634b28e"]},{"id":"ITEM-4","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J","non-dropping-particle":"","parse-names":false,"suffix":""}],"id":"ITEM-4","issued":{"date-parts":[["2007"]]},"language":"English","page":"152-173","publisher":"Blackwell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conditioning","type":"chapter","volume":"1121"},"uris":["http://www.mendeley.com/documents/?uuid=fe58f3e9-0bae-4cf9-be89-0a503f752db3"]}],"mendeley":{"formattedCitation":"(Burke et al., 2008; Delamater, 2007; Schoenbaum et al., 2009, 2011)","plainTextFormattedCitation":"(Burke et al., 2008; Delamater, 2007; Schoenbaum et al., 2009, 2011)","previouslyFormattedCitation":"(Burke et al., 2008; Delamater, 2007; Schoenbaum et al., 2009, 2011)"},"properties":{"noteIndex":0},"schema":"https://github.com/citation-style-language/schema/raw/master/csl-citation.json"}</w:instrText>
      </w:r>
      <w:r w:rsidR="006B0EA1">
        <w:rPr>
          <w:rFonts w:ascii="Times New Roman" w:hAnsi="Times New Roman" w:cs="Times New Roman"/>
          <w:bCs/>
          <w:sz w:val="24"/>
          <w:szCs w:val="24"/>
        </w:rPr>
        <w:fldChar w:fldCharType="separate"/>
      </w:r>
      <w:r w:rsidR="00CA2485" w:rsidRPr="00CA2485">
        <w:rPr>
          <w:rFonts w:ascii="Times New Roman" w:hAnsi="Times New Roman" w:cs="Times New Roman"/>
          <w:bCs/>
          <w:noProof/>
          <w:sz w:val="24"/>
          <w:szCs w:val="24"/>
        </w:rPr>
        <w:t>(Burke et al., 2008; Delamater, 2007; Schoenbaum et al., 2009, 2011)</w:t>
      </w:r>
      <w:r w:rsidR="006B0EA1">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sidRPr="009E6850">
        <w:rPr>
          <w:rFonts w:ascii="Times New Roman" w:hAnsi="Times New Roman" w:cs="Times New Roman"/>
          <w:bCs/>
          <w:sz w:val="24"/>
          <w:szCs w:val="24"/>
        </w:rPr>
        <w:t xml:space="preserve">A second, but complementary class of theories using a reinforcement learning framework suggests that the OFC is necessary for the representation of latent state information </w:t>
      </w:r>
      <w:r w:rsidR="006B0EA1">
        <w:rPr>
          <w:rFonts w:ascii="Times New Roman" w:hAnsi="Times New Roman" w:cs="Times New Roman"/>
          <w:bCs/>
          <w:sz w:val="24"/>
          <w:szCs w:val="24"/>
        </w:rPr>
        <w:fldChar w:fldCharType="begin" w:fldLock="1"/>
      </w:r>
      <w:r w:rsidR="00DF718E">
        <w:rPr>
          <w:rFonts w:ascii="Times New Roman" w:hAnsi="Times New Roman" w:cs="Times New Roman"/>
          <w:bCs/>
          <w:sz w:val="24"/>
          <w:szCs w:val="24"/>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6B0EA1">
        <w:rPr>
          <w:rFonts w:ascii="Times New Roman" w:hAnsi="Times New Roman" w:cs="Times New Roman"/>
          <w:bCs/>
          <w:sz w:val="24"/>
          <w:szCs w:val="24"/>
        </w:rPr>
        <w:fldChar w:fldCharType="separate"/>
      </w:r>
      <w:r w:rsidR="00242371" w:rsidRPr="00242371">
        <w:rPr>
          <w:rFonts w:ascii="Times New Roman" w:hAnsi="Times New Roman" w:cs="Times New Roman"/>
          <w:bCs/>
          <w:noProof/>
          <w:sz w:val="24"/>
          <w:szCs w:val="24"/>
        </w:rPr>
        <w:t>(Wilson et al., 2014)</w:t>
      </w:r>
      <w:r w:rsidR="006B0EA1">
        <w:rPr>
          <w:rFonts w:ascii="Times New Roman" w:hAnsi="Times New Roman" w:cs="Times New Roman"/>
          <w:bCs/>
          <w:sz w:val="24"/>
          <w:szCs w:val="24"/>
        </w:rPr>
        <w:fldChar w:fldCharType="end"/>
      </w:r>
      <w:r w:rsidRPr="009E6850">
        <w:rPr>
          <w:rFonts w:ascii="Times New Roman" w:hAnsi="Times New Roman" w:cs="Times New Roman"/>
          <w:bCs/>
          <w:sz w:val="24"/>
          <w:szCs w:val="24"/>
        </w:rPr>
        <w:t>.</w:t>
      </w:r>
      <w:r>
        <w:rPr>
          <w:rFonts w:ascii="Times New Roman" w:hAnsi="Times New Roman" w:cs="Times New Roman"/>
          <w:bCs/>
          <w:sz w:val="24"/>
          <w:szCs w:val="24"/>
        </w:rPr>
        <w:t xml:space="preserve"> </w:t>
      </w:r>
      <w:r w:rsidRPr="009E6850">
        <w:rPr>
          <w:rFonts w:ascii="Times New Roman" w:hAnsi="Times New Roman" w:cs="Times New Roman"/>
          <w:bCs/>
          <w:sz w:val="24"/>
          <w:szCs w:val="24"/>
        </w:rPr>
        <w:t xml:space="preserve">In reinforcement learning models, tasks such as Pavlovian conditioning can be divided into discrete </w:t>
      </w:r>
      <w:r>
        <w:rPr>
          <w:rFonts w:ascii="Times New Roman" w:hAnsi="Times New Roman" w:cs="Times New Roman"/>
          <w:bCs/>
          <w:sz w:val="24"/>
          <w:szCs w:val="24"/>
        </w:rPr>
        <w:t xml:space="preserve">physically observable </w:t>
      </w:r>
      <w:r w:rsidRPr="009E6850">
        <w:rPr>
          <w:rFonts w:ascii="Times New Roman" w:hAnsi="Times New Roman" w:cs="Times New Roman"/>
          <w:bCs/>
          <w:sz w:val="24"/>
          <w:szCs w:val="24"/>
        </w:rPr>
        <w:t>states, such as “cue on”, “cue off”, and “reward”</w:t>
      </w:r>
      <w:r>
        <w:rPr>
          <w:rFonts w:ascii="Times New Roman" w:hAnsi="Times New Roman" w:cs="Times New Roman"/>
          <w:bCs/>
          <w:sz w:val="24"/>
          <w:szCs w:val="24"/>
        </w:rPr>
        <w:t xml:space="preserve">, and underlying latent states </w:t>
      </w:r>
      <w:r w:rsidRPr="009E6850">
        <w:rPr>
          <w:rFonts w:ascii="Times New Roman" w:hAnsi="Times New Roman" w:cs="Times New Roman"/>
          <w:bCs/>
          <w:sz w:val="24"/>
          <w:szCs w:val="24"/>
        </w:rPr>
        <w:t>signaled by partially observable information recalled into working memory such as reinforcement histo</w:t>
      </w:r>
      <w:r>
        <w:rPr>
          <w:rFonts w:ascii="Times New Roman" w:hAnsi="Times New Roman" w:cs="Times New Roman"/>
          <w:bCs/>
          <w:sz w:val="24"/>
          <w:szCs w:val="24"/>
        </w:rPr>
        <w:t xml:space="preserve">ry. </w:t>
      </w:r>
    </w:p>
    <w:p w14:paraId="5CA49348" w14:textId="7E9340BC" w:rsidR="00395A24" w:rsidRDefault="00395A24" w:rsidP="002860CC">
      <w:pPr>
        <w:ind w:firstLine="720"/>
        <w:rPr>
          <w:rFonts w:ascii="Times New Roman" w:hAnsi="Times New Roman" w:cs="Times New Roman"/>
          <w:bCs/>
          <w:sz w:val="24"/>
          <w:szCs w:val="24"/>
        </w:rPr>
      </w:pPr>
      <w:r w:rsidRPr="009E6850">
        <w:rPr>
          <w:rFonts w:ascii="Times New Roman" w:hAnsi="Times New Roman" w:cs="Times New Roman"/>
          <w:bCs/>
          <w:sz w:val="24"/>
          <w:szCs w:val="24"/>
        </w:rPr>
        <w:t xml:space="preserve">Both theories, while couched in different computational and theoretical frameworks, suggest similar roles for the OFC. Latent states encompass specific outcome expectancies and include </w:t>
      </w:r>
      <w:r>
        <w:rPr>
          <w:rFonts w:ascii="Times New Roman" w:hAnsi="Times New Roman" w:cs="Times New Roman"/>
          <w:bCs/>
          <w:sz w:val="24"/>
          <w:szCs w:val="24"/>
        </w:rPr>
        <w:t xml:space="preserve">a </w:t>
      </w:r>
      <w:r w:rsidRPr="009E6850">
        <w:rPr>
          <w:rFonts w:ascii="Times New Roman" w:hAnsi="Times New Roman" w:cs="Times New Roman"/>
          <w:bCs/>
          <w:sz w:val="24"/>
          <w:szCs w:val="24"/>
        </w:rPr>
        <w:t>broader category of potential stimuli (e.g. internal context</w:t>
      </w:r>
      <w:r w:rsidR="0043074E">
        <w:rPr>
          <w:rFonts w:ascii="Times New Roman" w:hAnsi="Times New Roman" w:cs="Times New Roman"/>
          <w:bCs/>
          <w:sz w:val="24"/>
          <w:szCs w:val="24"/>
        </w:rPr>
        <w:t xml:space="preserve"> </w:t>
      </w:r>
      <w:r w:rsidR="0043074E">
        <w:rPr>
          <w:rFonts w:ascii="Times New Roman" w:hAnsi="Times New Roman" w:cs="Times New Roman"/>
          <w:bCs/>
          <w:sz w:val="24"/>
          <w:szCs w:val="24"/>
        </w:rPr>
        <w:fldChar w:fldCharType="begin" w:fldLock="1"/>
      </w:r>
      <w:r w:rsidR="0085347E">
        <w:rPr>
          <w:rFonts w:ascii="Times New Roman" w:hAnsi="Times New Roman" w:cs="Times New Roman"/>
          <w:bCs/>
          <w:sz w:val="24"/>
          <w:szCs w:val="24"/>
        </w:rPr>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representations","type":"article-journal","volume":"22"},"uris":["http://www.mendeley.com/documents/?uuid=5ccfcbfa-f7a0-3a47-9b7a-1c10a0912157"]}],"mendeley":{"formattedCitation":"(Niv, 2019)","plainTextFormattedCitation":"(Niv, 2019)","previouslyFormattedCitation":"(Niv, 2019)"},"properties":{"noteIndex":0},"schema":"https://github.com/citation-style-language/schema/raw/master/csl-citation.json"}</w:instrText>
      </w:r>
      <w:r w:rsidR="0043074E">
        <w:rPr>
          <w:rFonts w:ascii="Times New Roman" w:hAnsi="Times New Roman" w:cs="Times New Roman"/>
          <w:bCs/>
          <w:sz w:val="24"/>
          <w:szCs w:val="24"/>
        </w:rPr>
        <w:fldChar w:fldCharType="separate"/>
      </w:r>
      <w:r w:rsidR="0043074E" w:rsidRPr="0043074E">
        <w:rPr>
          <w:rFonts w:ascii="Times New Roman" w:hAnsi="Times New Roman" w:cs="Times New Roman"/>
          <w:bCs/>
          <w:noProof/>
          <w:sz w:val="24"/>
          <w:szCs w:val="24"/>
        </w:rPr>
        <w:t>(Niv, 2019)</w:t>
      </w:r>
      <w:r w:rsidR="0043074E">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Implicit in these theories is that </w:t>
      </w:r>
      <w:r>
        <w:rPr>
          <w:rFonts w:ascii="Times New Roman" w:hAnsi="Times New Roman" w:cs="Times New Roman"/>
          <w:bCs/>
          <w:sz w:val="24"/>
          <w:szCs w:val="24"/>
        </w:rPr>
        <w:t xml:space="preserve">initial </w:t>
      </w:r>
      <w:r w:rsidRPr="009E6850">
        <w:rPr>
          <w:rFonts w:ascii="Times New Roman" w:hAnsi="Times New Roman" w:cs="Times New Roman"/>
          <w:bCs/>
          <w:sz w:val="24"/>
          <w:szCs w:val="24"/>
        </w:rPr>
        <w:t xml:space="preserve">acquisition should be affected by OFC dysfunction if performance depends on specific outcome expectancy or latent states (e.g. the differential outcomes effect </w:t>
      </w:r>
      <w:r w:rsidR="00E755C2">
        <w:rPr>
          <w:rFonts w:ascii="Times New Roman" w:hAnsi="Times New Roman" w:cs="Times New Roman"/>
          <w:bCs/>
          <w:sz w:val="24"/>
          <w:szCs w:val="24"/>
        </w:rPr>
        <w:fldChar w:fldCharType="begin" w:fldLock="1"/>
      </w:r>
      <w:r w:rsidR="00DF718E">
        <w:rPr>
          <w:rFonts w:ascii="Times New Roman" w:hAnsi="Times New Roman" w:cs="Times New Roman"/>
          <w:bCs/>
          <w:sz w:val="24"/>
          <w:szCs w:val="24"/>
        </w:rPr>
        <w:instrText>ADDIN CSL_CITATION {"citationItems":[{"id":"ITEM-1","itemData":{"DOI":"10.1016/j.bbr.2008.10.005","ISBN":"0166-4328","author":[{"dropping-particle":"","family":"Boulougouris","given":"V","non-dropping-particle":"","parse-names":false,"suffix":""},{"dropping-particle":"","family":"Robbins","given":"T W","non-dropping-particle":"","parse-names":false,"suffix":""}],"container-title":"Behavioural Brain Research","id":"ITEM-1","issue":"2","issued":{"date-parts":[["2009"]]},"language":"English","page":"469-475","title":"Pre-surgical training ameliorates orbitofrontal-mediated impairments in spatial reversal learning","type":"article-journal","volume":"197"},"uris":["http://www.mendeley.com/documents/?uuid=ae4c5282-d1e4-4152-955d-ab00c8365769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rat","type":"article-journal","volume":"179"},"uris":["http://www.mendeley.com/documents/?uuid=1bf26a95-c216-4d3b-80b2-0a60d1077775"]},{"id":"ITEM-3","itemData":{"DOI":"25/18/4626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Neuroscience","edition":"2005/05/06","id":"ITEM-3","issue":"18","issued":{"date-parts":[["2005"]]},"language":"eng","page":"4626-4632","title":"Lesions of orbitofrontal cortex impair rats' differential outcome expectancy learning but not conditioned stimulus-potentiated feeding","type":"article-journal","volume":"25"},"uris":["http://www.mendeley.com/documents/?uuid=910be4df-5700-43f9-a41d-a627c24b09a3"]}],"mendeley":{"formattedCitation":"(Boulougouris et al., 2007; Boulougouris &amp; Robbins, 2009; McDannald et al., 2005)","plainTextFormattedCitation":"(Boulougouris et al., 2007; Boulougouris &amp; Robbins, 2009; McDannald et al., 2005)","previouslyFormattedCitation":"(Boulougouris et al., 2007; Boulougouris &amp; Robbins, 2009; McDannald et al., 2005)"},"properties":{"noteIndex":0},"schema":"https://github.com/citation-style-language/schema/raw/master/csl-citation.json"}</w:instrText>
      </w:r>
      <w:r w:rsidR="00E755C2">
        <w:rPr>
          <w:rFonts w:ascii="Times New Roman" w:hAnsi="Times New Roman" w:cs="Times New Roman"/>
          <w:bCs/>
          <w:sz w:val="24"/>
          <w:szCs w:val="24"/>
        </w:rPr>
        <w:fldChar w:fldCharType="separate"/>
      </w:r>
      <w:r w:rsidR="00242371" w:rsidRPr="00242371">
        <w:rPr>
          <w:rFonts w:ascii="Times New Roman" w:hAnsi="Times New Roman" w:cs="Times New Roman"/>
          <w:bCs/>
          <w:noProof/>
          <w:sz w:val="24"/>
          <w:szCs w:val="24"/>
        </w:rPr>
        <w:t>(Boulougouris et al., 2007; Boulougouris &amp; Robbins, 2009; McDannald et al., 2005)</w:t>
      </w:r>
      <w:r w:rsidR="00E755C2">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complex multiple-choice probabilistic learning tasks </w:t>
      </w:r>
      <w:r w:rsidR="00E755C2">
        <w:rPr>
          <w:rFonts w:ascii="Times New Roman" w:hAnsi="Times New Roman" w:cs="Times New Roman"/>
          <w:bCs/>
          <w:sz w:val="24"/>
          <w:szCs w:val="24"/>
        </w:rPr>
        <w:fldChar w:fldCharType="begin" w:fldLock="1"/>
      </w:r>
      <w:r w:rsidR="00E755C2">
        <w:rPr>
          <w:rFonts w:ascii="Times New Roman" w:hAnsi="Times New Roman" w:cs="Times New Roman"/>
          <w:bCs/>
          <w:sz w:val="24"/>
          <w:szCs w:val="24"/>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world","type":"article-journal","volume":"1239"},"uris":["http://www.mendeley.com/documents/?uuid=f7a1d0b4-bc76-4e29-ae07-7c64d6d4d80d"]}],"mendeley":{"formattedCitation":"(Walton et al., 2011)","plainTextFormattedCitation":"(Walton et al., 2011)","previouslyFormattedCitation":"(Walton et al., 2011)"},"properties":{"noteIndex":0},"schema":"https://github.com/citation-style-language/schema/raw/master/csl-citation.json"}</w:instrText>
      </w:r>
      <w:r w:rsidR="00E755C2">
        <w:rPr>
          <w:rFonts w:ascii="Times New Roman" w:hAnsi="Times New Roman" w:cs="Times New Roman"/>
          <w:bCs/>
          <w:sz w:val="24"/>
          <w:szCs w:val="24"/>
        </w:rPr>
        <w:fldChar w:fldCharType="separate"/>
      </w:r>
      <w:r w:rsidR="00E755C2" w:rsidRPr="00E755C2">
        <w:rPr>
          <w:rFonts w:ascii="Times New Roman" w:hAnsi="Times New Roman" w:cs="Times New Roman"/>
          <w:bCs/>
          <w:noProof/>
          <w:sz w:val="24"/>
          <w:szCs w:val="24"/>
        </w:rPr>
        <w:t>(Walton et al., 2011)</w:t>
      </w:r>
      <w:r w:rsidR="00E755C2">
        <w:rPr>
          <w:rFonts w:ascii="Times New Roman" w:hAnsi="Times New Roman" w:cs="Times New Roman"/>
          <w:bCs/>
          <w:sz w:val="24"/>
          <w:szCs w:val="24"/>
        </w:rPr>
        <w:fldChar w:fldCharType="end"/>
      </w:r>
      <w:r w:rsidRPr="009E6850">
        <w:rPr>
          <w:rFonts w:ascii="Times New Roman" w:hAnsi="Times New Roman" w:cs="Times New Roman"/>
          <w:bCs/>
          <w:sz w:val="24"/>
          <w:szCs w:val="24"/>
        </w:rPr>
        <w:t xml:space="preserve">), but not in putatively “simple” single </w:t>
      </w:r>
      <w:r>
        <w:rPr>
          <w:rFonts w:ascii="Times New Roman" w:hAnsi="Times New Roman" w:cs="Times New Roman"/>
          <w:bCs/>
          <w:sz w:val="24"/>
          <w:szCs w:val="24"/>
        </w:rPr>
        <w:t>CS-US</w:t>
      </w:r>
      <w:r w:rsidRPr="009E6850">
        <w:rPr>
          <w:rFonts w:ascii="Times New Roman" w:hAnsi="Times New Roman" w:cs="Times New Roman"/>
          <w:bCs/>
          <w:sz w:val="24"/>
          <w:szCs w:val="24"/>
        </w:rPr>
        <w:t xml:space="preserve"> learning tasks </w:t>
      </w:r>
      <w:r w:rsidR="00E755C2">
        <w:rPr>
          <w:rFonts w:ascii="Times New Roman" w:hAnsi="Times New Roman" w:cs="Times New Roman"/>
          <w:bCs/>
          <w:sz w:val="24"/>
          <w:szCs w:val="24"/>
        </w:rPr>
        <w:fldChar w:fldCharType="begin" w:fldLock="1"/>
      </w:r>
      <w:r w:rsidR="0043074E">
        <w:rPr>
          <w:rFonts w:ascii="Times New Roman" w:hAnsi="Times New Roman" w:cs="Times New Roman"/>
          <w:bCs/>
          <w:sz w:val="24"/>
          <w:szCs w:val="24"/>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learning","type":"article-journal","volume":"19"},"uris":["http://www.mendeley.com/documents/?uuid=67ba92ca-b679-407e-9f2a-7aac71c3f739"]}],"mendeley":{"formattedCitation":"(Gallagher et al., 1999)","plainTextFormattedCitation":"(Gallagher et al., 1999)","previouslyFormattedCitation":"(Gallagher et al., 1999)"},"properties":{"noteIndex":0},"schema":"https://github.com/citation-style-language/schema/raw/master/csl-citation.json"}</w:instrText>
      </w:r>
      <w:r w:rsidR="00E755C2">
        <w:rPr>
          <w:rFonts w:ascii="Times New Roman" w:hAnsi="Times New Roman" w:cs="Times New Roman"/>
          <w:bCs/>
          <w:sz w:val="24"/>
          <w:szCs w:val="24"/>
        </w:rPr>
        <w:fldChar w:fldCharType="separate"/>
      </w:r>
      <w:r w:rsidR="00E755C2" w:rsidRPr="00E755C2">
        <w:rPr>
          <w:rFonts w:ascii="Times New Roman" w:hAnsi="Times New Roman" w:cs="Times New Roman"/>
          <w:bCs/>
          <w:noProof/>
          <w:sz w:val="24"/>
          <w:szCs w:val="24"/>
        </w:rPr>
        <w:t>(Gallagher et al., 1999)</w:t>
      </w:r>
      <w:r w:rsidR="00E755C2">
        <w:rPr>
          <w:rFonts w:ascii="Times New Roman" w:hAnsi="Times New Roman" w:cs="Times New Roman"/>
          <w:bCs/>
          <w:sz w:val="24"/>
          <w:szCs w:val="24"/>
        </w:rPr>
        <w:fldChar w:fldCharType="end"/>
      </w:r>
      <w:r>
        <w:rPr>
          <w:rFonts w:ascii="Times New Roman" w:hAnsi="Times New Roman" w:cs="Times New Roman"/>
          <w:bCs/>
          <w:sz w:val="24"/>
          <w:szCs w:val="24"/>
        </w:rPr>
        <w:t xml:space="preserve"> where the outcome identity and value stays constant and is reliably predicted by the CS. While this null effect is often reported in procedures </w:t>
      </w:r>
      <w:r>
        <w:rPr>
          <w:rFonts w:ascii="Times New Roman" w:hAnsi="Times New Roman" w:cs="Times New Roman"/>
          <w:bCs/>
          <w:sz w:val="24"/>
          <w:szCs w:val="24"/>
        </w:rPr>
        <w:lastRenderedPageBreak/>
        <w:t xml:space="preserve">involving learning about multiple CSs and/or USs </w:t>
      </w:r>
      <w:r w:rsidR="0043074E">
        <w:rPr>
          <w:rFonts w:ascii="Times New Roman" w:hAnsi="Times New Roman" w:cs="Times New Roman"/>
          <w:bCs/>
          <w:sz w:val="24"/>
          <w:szCs w:val="24"/>
        </w:rPr>
        <w:fldChar w:fldCharType="begin" w:fldLock="1"/>
      </w:r>
      <w:r w:rsidR="006159CE">
        <w:rPr>
          <w:rFonts w:ascii="Times New Roman" w:hAnsi="Times New Roman" w:cs="Times New Roman"/>
          <w:bCs/>
          <w:sz w:val="24"/>
          <w:szCs w:val="24"/>
        </w:rPr>
        <w:instrText>ADDIN CSL_CITATION {"citationItems":[{"id":"ITEM-1","itemData":{"DOI":"Doi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-1","issue":"7202","issued":{"date-parts":[["2008"]]},"language":"English","page":"340-U45","title":"The role of the orbitofrontal cortex in the pursuit of happiness and more specific rewards","type":"article-journal","volume":"454"},"uris":["http://www.mendeley.com/documents/?uuid=c3367cf0-c4f1-419c-80b8-0bb9c2afd479"]},{"id":"ITEM-2","itemData":{"DOI":"Doi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deficits","type":"article-journal","volume":"7"},"uris":["http://www.mendeley.com/documents/?uuid=830dcb69-80d3-3948-bcf4-b67f5d01f017"]}],"mendeley":{"formattedCitation":"(Burke et al., 2008; Panayi &amp; Killcross, 2018; Schoenbaum et al., 2009)","plainTextFormattedCitation":"(Burke et al., 2008; Panayi &amp; Killcross, 2018; Schoenbaum et al., 2009)","previouslyFormattedCitation":"(Burke et al., 2008; Panayi &amp; Killcross, 2018; Schoenbaum et al., 2009)"},"properties":{"noteIndex":0},"schema":"https://github.com/citation-style-language/schema/raw/master/csl-citation.json"}</w:instrText>
      </w:r>
      <w:r w:rsidR="0043074E">
        <w:rPr>
          <w:rFonts w:ascii="Times New Roman" w:hAnsi="Times New Roman" w:cs="Times New Roman"/>
          <w:bCs/>
          <w:sz w:val="24"/>
          <w:szCs w:val="24"/>
        </w:rPr>
        <w:fldChar w:fldCharType="separate"/>
      </w:r>
      <w:r w:rsidR="00CA2485" w:rsidRPr="00CA2485">
        <w:rPr>
          <w:rFonts w:ascii="Times New Roman" w:hAnsi="Times New Roman" w:cs="Times New Roman"/>
          <w:bCs/>
          <w:noProof/>
          <w:sz w:val="24"/>
          <w:szCs w:val="24"/>
        </w:rPr>
        <w:t>(Burke et al., 2008; Panayi &amp; Killcross, 2018; Schoenbaum et al., 2009)</w:t>
      </w:r>
      <w:r w:rsidR="0043074E">
        <w:rPr>
          <w:rFonts w:ascii="Times New Roman" w:hAnsi="Times New Roman" w:cs="Times New Roman"/>
          <w:bCs/>
          <w:sz w:val="24"/>
          <w:szCs w:val="24"/>
        </w:rPr>
        <w:fldChar w:fldCharType="end"/>
      </w:r>
      <w:r>
        <w:rPr>
          <w:rFonts w:ascii="Times New Roman" w:hAnsi="Times New Roman" w:cs="Times New Roman"/>
          <w:bCs/>
          <w:sz w:val="24"/>
          <w:szCs w:val="24"/>
        </w:rPr>
        <w:t>, there is little evidence from tasks involving only a single CS-US relationship</w:t>
      </w:r>
      <w:r w:rsidR="00EC4EC6">
        <w:rPr>
          <w:rFonts w:ascii="Times New Roman" w:hAnsi="Times New Roman" w:cs="Times New Roman"/>
          <w:bCs/>
          <w:sz w:val="24"/>
          <w:szCs w:val="24"/>
        </w:rPr>
        <w:t xml:space="preserve"> where a </w:t>
      </w:r>
      <w:r w:rsidR="00107393">
        <w:rPr>
          <w:rFonts w:ascii="Times New Roman" w:hAnsi="Times New Roman" w:cs="Times New Roman"/>
          <w:bCs/>
          <w:sz w:val="24"/>
          <w:szCs w:val="24"/>
        </w:rPr>
        <w:t xml:space="preserve">null result is </w:t>
      </w:r>
      <w:r w:rsidR="009B4AE1">
        <w:rPr>
          <w:rFonts w:ascii="Times New Roman" w:hAnsi="Times New Roman" w:cs="Times New Roman"/>
          <w:bCs/>
          <w:sz w:val="24"/>
          <w:szCs w:val="24"/>
        </w:rPr>
        <w:t xml:space="preserve">clearly </w:t>
      </w:r>
      <w:r w:rsidR="00107393">
        <w:rPr>
          <w:rFonts w:ascii="Times New Roman" w:hAnsi="Times New Roman" w:cs="Times New Roman"/>
          <w:bCs/>
          <w:sz w:val="24"/>
          <w:szCs w:val="24"/>
        </w:rPr>
        <w:t>predicted</w:t>
      </w:r>
      <w:r>
        <w:rPr>
          <w:rFonts w:ascii="Times New Roman" w:hAnsi="Times New Roman" w:cs="Times New Roman"/>
          <w:bCs/>
          <w:sz w:val="24"/>
          <w:szCs w:val="24"/>
        </w:rPr>
        <w:t xml:space="preserve">. For example, Gallagher et al </w:t>
      </w:r>
      <w:r w:rsidR="0085347E">
        <w:rPr>
          <w:rFonts w:ascii="Times New Roman" w:hAnsi="Times New Roman" w:cs="Times New Roman"/>
          <w:bCs/>
          <w:sz w:val="24"/>
          <w:szCs w:val="24"/>
        </w:rPr>
        <w:fldChar w:fldCharType="begin" w:fldLock="1"/>
      </w:r>
      <w:r w:rsidR="0085347E">
        <w:rPr>
          <w:rFonts w:ascii="Times New Roman" w:hAnsi="Times New Roman" w:cs="Times New Roman"/>
          <w:bCs/>
          <w:sz w:val="24"/>
          <w:szCs w:val="24"/>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suppress-author":1,"uris":["http://www.mendeley.com/documents/?uuid=67ba92ca-b679-407e-9f2a-7aac71c3f739"]}],"mendeley":{"formattedCitation":"(1999)","plainTextFormattedCitation":"(1999)","previouslyFormattedCitation":"(1999)"},"properties":{"noteIndex":0},"schema":"https://github.com/citation-style-language/schema/raw/master/csl-citation.json"}</w:instrText>
      </w:r>
      <w:r w:rsidR="0085347E">
        <w:rPr>
          <w:rFonts w:ascii="Times New Roman" w:hAnsi="Times New Roman" w:cs="Times New Roman"/>
          <w:bCs/>
          <w:sz w:val="24"/>
          <w:szCs w:val="24"/>
        </w:rPr>
        <w:fldChar w:fldCharType="separate"/>
      </w:r>
      <w:r w:rsidR="0085347E" w:rsidRPr="0085347E">
        <w:rPr>
          <w:rFonts w:ascii="Times New Roman" w:hAnsi="Times New Roman" w:cs="Times New Roman"/>
          <w:bCs/>
          <w:noProof/>
          <w:sz w:val="24"/>
          <w:szCs w:val="24"/>
        </w:rPr>
        <w:t>(1999)</w:t>
      </w:r>
      <w:r w:rsidR="0085347E">
        <w:rPr>
          <w:rFonts w:ascii="Times New Roman" w:hAnsi="Times New Roman" w:cs="Times New Roman"/>
          <w:bCs/>
          <w:sz w:val="24"/>
          <w:szCs w:val="24"/>
        </w:rPr>
        <w:fldChar w:fldCharType="end"/>
      </w:r>
      <w:r w:rsidR="0085347E">
        <w:rPr>
          <w:rFonts w:ascii="Times New Roman" w:hAnsi="Times New Roman" w:cs="Times New Roman"/>
          <w:bCs/>
          <w:sz w:val="24"/>
          <w:szCs w:val="24"/>
        </w:rPr>
        <w:t xml:space="preserve"> </w:t>
      </w:r>
      <w:r>
        <w:rPr>
          <w:rFonts w:ascii="Times New Roman" w:hAnsi="Times New Roman" w:cs="Times New Roman"/>
          <w:bCs/>
          <w:sz w:val="24"/>
          <w:szCs w:val="24"/>
        </w:rPr>
        <w:t xml:space="preserve">found no effect of complete OFC lesions on single CS-US acquisition but stopped training before behaviour reached asymptote </w:t>
      </w:r>
      <w:r w:rsidR="007D45F1">
        <w:rPr>
          <w:rFonts w:ascii="Times New Roman" w:hAnsi="Times New Roman" w:cs="Times New Roman"/>
          <w:bCs/>
          <w:sz w:val="24"/>
          <w:szCs w:val="24"/>
        </w:rPr>
        <w:fldChar w:fldCharType="begin" w:fldLock="1"/>
      </w:r>
      <w:r w:rsidR="00D45447">
        <w:rPr>
          <w:rFonts w:ascii="Times New Roman" w:hAnsi="Times New Roman" w:cs="Times New Roman"/>
          <w:bCs/>
          <w:sz w:val="24"/>
          <w:szCs w:val="24"/>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reversals","type":"article-journal","volume":"10"},"uris":["http://www.mendeley.com/documents/?uuid=5ebfb22c-1f18-498d-8cd4-28e2d758f013"]}],"mendeley":{"formattedCitation":"(Schoenbaum et al., 2003)","plainTextFormattedCitation":"(Schoenbaum et al., 2003)","previouslyFormattedCitation":"(Schoenbaum et al., 2003)"},"properties":{"noteIndex":0},"schema":"https://github.com/citation-style-language/schema/raw/master/csl-citation.json"}</w:instrText>
      </w:r>
      <w:r w:rsidR="007D45F1">
        <w:rPr>
          <w:rFonts w:ascii="Times New Roman" w:hAnsi="Times New Roman" w:cs="Times New Roman"/>
          <w:bCs/>
          <w:sz w:val="24"/>
          <w:szCs w:val="24"/>
        </w:rPr>
        <w:fldChar w:fldCharType="separate"/>
      </w:r>
      <w:r w:rsidR="00944175" w:rsidRPr="00944175">
        <w:rPr>
          <w:rFonts w:ascii="Times New Roman" w:hAnsi="Times New Roman" w:cs="Times New Roman"/>
          <w:bCs/>
          <w:noProof/>
          <w:sz w:val="24"/>
          <w:szCs w:val="24"/>
        </w:rPr>
        <w:t>(Schoenbaum et al., 2003)</w:t>
      </w:r>
      <w:r w:rsidR="007D45F1">
        <w:rPr>
          <w:rFonts w:ascii="Times New Roman" w:hAnsi="Times New Roman" w:cs="Times New Roman"/>
          <w:bCs/>
          <w:sz w:val="24"/>
          <w:szCs w:val="24"/>
        </w:rPr>
        <w:fldChar w:fldCharType="end"/>
      </w:r>
      <w:r>
        <w:rPr>
          <w:rFonts w:ascii="Times New Roman" w:hAnsi="Times New Roman" w:cs="Times New Roman"/>
          <w:bCs/>
          <w:sz w:val="24"/>
          <w:szCs w:val="24"/>
        </w:rPr>
        <w:t xml:space="preserve">. </w:t>
      </w:r>
    </w:p>
    <w:p w14:paraId="30B315DC" w14:textId="22D68503" w:rsidR="00395A24" w:rsidRPr="006F160D" w:rsidRDefault="00395A24" w:rsidP="00335A9C">
      <w:pPr>
        <w:ind w:firstLine="720"/>
        <w:rPr>
          <w:rFonts w:ascii="Times New Roman" w:hAnsi="Times New Roman" w:cs="Times New Roman"/>
          <w:bCs/>
          <w:sz w:val="24"/>
          <w:szCs w:val="24"/>
        </w:rPr>
      </w:pPr>
      <w:r>
        <w:rPr>
          <w:rFonts w:ascii="Times New Roman" w:hAnsi="Times New Roman" w:cs="Times New Roman"/>
          <w:bCs/>
          <w:sz w:val="24"/>
          <w:szCs w:val="24"/>
        </w:rPr>
        <w:t xml:space="preserve">Both </w:t>
      </w:r>
      <w:r w:rsidRPr="009E6850">
        <w:rPr>
          <w:rFonts w:ascii="Times New Roman" w:hAnsi="Times New Roman" w:cs="Times New Roman"/>
          <w:bCs/>
          <w:sz w:val="24"/>
          <w:szCs w:val="24"/>
        </w:rPr>
        <w:t>latent state and sensory-specific outcome expectancy theories of OFC function</w:t>
      </w:r>
      <w:r>
        <w:rPr>
          <w:rFonts w:ascii="Times New Roman" w:hAnsi="Times New Roman" w:cs="Times New Roman"/>
          <w:bCs/>
          <w:sz w:val="24"/>
          <w:szCs w:val="24"/>
        </w:rPr>
        <w:t xml:space="preserve"> predict a null effect of OFC lesions on initial acquisition learning, particularly in situations involving only a single CS-US relationship. Indeed, this null effect is often reported as an important feature of OFC dysfunction </w:t>
      </w:r>
      <w:r w:rsidR="00FB6A39">
        <w:rPr>
          <w:rFonts w:ascii="Times New Roman" w:hAnsi="Times New Roman" w:cs="Times New Roman"/>
          <w:bCs/>
          <w:sz w:val="24"/>
          <w:szCs w:val="24"/>
        </w:rPr>
        <w:fldChar w:fldCharType="begin" w:fldLock="1"/>
      </w:r>
      <w:r w:rsidR="00E92079">
        <w:rPr>
          <w:rFonts w:ascii="Times New Roman" w:hAnsi="Times New Roman" w:cs="Times New Roman"/>
          <w:bCs/>
          <w:sz w:val="24"/>
          <w:szCs w:val="24"/>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space","type":"article-journal","volume":"81"},"uris":["http://www.mendeley.com/documents/?uuid=e799499b-0391-4c93-9152-fe51e93aca9f"]},{"id":"ITEM-3","itemData":{"DOI":"Doi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Neuroscience","id":"ITEM-3","issue":"12","issued":{"date-parts":[["2009"]]},"language":"English","page":"885-892","title":"A new perspective on the role of the orbitofrontal cortex in adaptive behaviour","type":"article-journal","volume":"10"},"uris":["http://www.mendeley.com/documents/?uuid=9124fd3f-a73f-4663-9302-6f70d776e02c"]},{"id":"ITEM-4","itemData":{"DOI":"10.1038/nn.3982","ISSN":"15461726","abstract":"The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Neuroscience","id":"ITEM-4","issued":{"date-parts":[["2015"]]},"title":"What the orbitofrontal cortex does not do","type":"article"},"uris":["http://www.mendeley.com/documents/?uuid=27e76bc7-609d-486b-a56b-b8b4e15e5051"]}],"mendeley":{"formattedCitation":"(Murray et al., 2007; Schoenbaum et al., 2009; Stalnaker et al., 2015; Wilson et al., 2014)","plainTextFormattedCitation":"(Murray et al., 2007; Schoenbaum et al., 2009; Stalnaker et al., 2015; Wilson et al., 2014)","previouslyFormattedCitation":"(Murray et al., 2007; Schoenbaum et al., 2009; Stalnaker et al., 2015; Wilson et al., 2014)"},"properties":{"noteIndex":0},"schema":"https://github.com/citation-style-language/schema/raw/master/csl-citation.json"}</w:instrText>
      </w:r>
      <w:r w:rsidR="00FB6A39">
        <w:rPr>
          <w:rFonts w:ascii="Times New Roman" w:hAnsi="Times New Roman" w:cs="Times New Roman"/>
          <w:bCs/>
          <w:sz w:val="24"/>
          <w:szCs w:val="24"/>
        </w:rPr>
        <w:fldChar w:fldCharType="separate"/>
      </w:r>
      <w:r w:rsidR="00E92079" w:rsidRPr="00E92079">
        <w:rPr>
          <w:rFonts w:ascii="Times New Roman" w:hAnsi="Times New Roman" w:cs="Times New Roman"/>
          <w:bCs/>
          <w:noProof/>
          <w:sz w:val="24"/>
          <w:szCs w:val="24"/>
        </w:rPr>
        <w:t>(Murray et al., 2007; Schoenbaum et al., 2009; Stalnaker et al., 2015; Wilson et al., 2014)</w:t>
      </w:r>
      <w:r w:rsidR="00FB6A39">
        <w:rPr>
          <w:rFonts w:ascii="Times New Roman" w:hAnsi="Times New Roman" w:cs="Times New Roman"/>
          <w:bCs/>
          <w:sz w:val="24"/>
          <w:szCs w:val="24"/>
        </w:rPr>
        <w:fldChar w:fldCharType="end"/>
      </w:r>
      <w:r>
        <w:rPr>
          <w:rFonts w:ascii="Times New Roman" w:hAnsi="Times New Roman" w:cs="Times New Roman"/>
          <w:bCs/>
          <w:sz w:val="24"/>
          <w:szCs w:val="24"/>
        </w:rPr>
        <w:t>. Here we</w:t>
      </w:r>
      <w:r w:rsidR="008A7197">
        <w:rPr>
          <w:rFonts w:ascii="Times New Roman" w:hAnsi="Times New Roman" w:cs="Times New Roman"/>
          <w:bCs/>
          <w:sz w:val="24"/>
          <w:szCs w:val="24"/>
        </w:rPr>
        <w:t xml:space="preserve"> directly</w:t>
      </w:r>
      <w:r>
        <w:rPr>
          <w:rFonts w:ascii="Times New Roman" w:hAnsi="Times New Roman" w:cs="Times New Roman"/>
          <w:bCs/>
          <w:sz w:val="24"/>
          <w:szCs w:val="24"/>
        </w:rPr>
        <w:t xml:space="preserve"> tested this prediction in rats</w:t>
      </w:r>
      <w:r w:rsidR="002F5298">
        <w:rPr>
          <w:rFonts w:ascii="Times New Roman" w:hAnsi="Times New Roman" w:cs="Times New Roman"/>
          <w:bCs/>
          <w:sz w:val="24"/>
          <w:szCs w:val="24"/>
        </w:rPr>
        <w:t xml:space="preserve"> </w:t>
      </w:r>
      <w:r w:rsidR="00225B25">
        <w:rPr>
          <w:rFonts w:ascii="Times New Roman" w:hAnsi="Times New Roman" w:cs="Times New Roman"/>
          <w:bCs/>
          <w:sz w:val="24"/>
          <w:szCs w:val="24"/>
        </w:rPr>
        <w:t>trained on a single CS-US Pavlovian task</w:t>
      </w:r>
      <w:r>
        <w:rPr>
          <w:rFonts w:ascii="Times New Roman" w:hAnsi="Times New Roman" w:cs="Times New Roman"/>
          <w:bCs/>
          <w:sz w:val="24"/>
          <w:szCs w:val="24"/>
        </w:rPr>
        <w:t xml:space="preserve"> following lesions targeting the lateral OFC. Surprisingly, OFC lesions significantly increased Pavlovian acquisition behaviour after extended training. In contrast, post-training lesions and intra-OFC infusions of muscimol impaired Pavlovian acquisition behaviour. Using an associative blocking </w:t>
      </w:r>
      <w:r w:rsidR="006D0368">
        <w:rPr>
          <w:rFonts w:ascii="Times New Roman" w:hAnsi="Times New Roman" w:cs="Times New Roman"/>
          <w:bCs/>
          <w:sz w:val="24"/>
          <w:szCs w:val="24"/>
        </w:rPr>
        <w:t>design,</w:t>
      </w:r>
      <w:r>
        <w:rPr>
          <w:rFonts w:ascii="Times New Roman" w:hAnsi="Times New Roman" w:cs="Times New Roman"/>
          <w:bCs/>
          <w:sz w:val="24"/>
          <w:szCs w:val="24"/>
        </w:rPr>
        <w:t xml:space="preserve"> we confirmed that even though behaviour was impaired, the underlying learning about the CS-US contingency was left intact. Finally, we confirmed that impaired Pavlovian acquisition behaviour following post-training OFC inactivation might reflect an inability to modulate Pavlovian behaviours relative to the value of alternative behavioural options. </w:t>
      </w:r>
    </w:p>
    <w:p w14:paraId="2AFCC271" w14:textId="10967745" w:rsidR="001510CE" w:rsidRDefault="001510CE" w:rsidP="009E6850">
      <w:pPr>
        <w:rPr>
          <w:rFonts w:ascii="Times New Roman" w:hAnsi="Times New Roman" w:cs="Times New Roman"/>
          <w:b/>
          <w:sz w:val="24"/>
          <w:szCs w:val="24"/>
        </w:rPr>
      </w:pPr>
      <w:r>
        <w:rPr>
          <w:rFonts w:ascii="Times New Roman" w:hAnsi="Times New Roman" w:cs="Times New Roman"/>
          <w:b/>
          <w:sz w:val="24"/>
          <w:szCs w:val="24"/>
        </w:rPr>
        <w:br w:type="page"/>
      </w:r>
    </w:p>
    <w:p w14:paraId="17DF71D0" w14:textId="152441CB" w:rsidR="00A426B6" w:rsidRPr="00CB3771" w:rsidRDefault="00A426B6" w:rsidP="00A426B6">
      <w:pPr>
        <w:spacing w:line="360" w:lineRule="auto"/>
        <w:rPr>
          <w:rFonts w:ascii="Times New Roman" w:hAnsi="Times New Roman" w:cs="Times New Roman"/>
          <w:b/>
          <w:sz w:val="24"/>
          <w:szCs w:val="24"/>
        </w:rPr>
      </w:pPr>
      <w:r w:rsidRPr="00CB3771">
        <w:rPr>
          <w:rFonts w:ascii="Times New Roman" w:hAnsi="Times New Roman" w:cs="Times New Roman"/>
          <w:b/>
          <w:sz w:val="24"/>
          <w:szCs w:val="24"/>
        </w:rPr>
        <w:lastRenderedPageBreak/>
        <w:t>Results</w:t>
      </w:r>
    </w:p>
    <w:p w14:paraId="721E08BC" w14:textId="306DB81F" w:rsidR="00A426B6" w:rsidRPr="00CB3771" w:rsidRDefault="007F67D5" w:rsidP="00A426B6">
      <w:pPr>
        <w:spacing w:line="360" w:lineRule="auto"/>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 xml:space="preserve">Experiment 1: </w:t>
      </w:r>
      <w:r w:rsidR="00A426B6" w:rsidRPr="00CB3771">
        <w:rPr>
          <w:rFonts w:ascii="Times New Roman" w:eastAsia="Times New Roman" w:hAnsi="Times New Roman" w:cs="Times New Roman"/>
          <w:b/>
          <w:color w:val="000000"/>
          <w:sz w:val="24"/>
          <w:szCs w:val="24"/>
          <w:lang w:eastAsia="en-AU"/>
        </w:rPr>
        <w:t>Pre-training</w:t>
      </w:r>
      <w:r w:rsidR="00CD1176">
        <w:rPr>
          <w:rFonts w:ascii="Times New Roman" w:eastAsia="Times New Roman" w:hAnsi="Times New Roman" w:cs="Times New Roman"/>
          <w:b/>
          <w:color w:val="000000"/>
          <w:sz w:val="24"/>
          <w:szCs w:val="24"/>
          <w:lang w:eastAsia="en-AU"/>
        </w:rPr>
        <w:t xml:space="preserve"> OFC</w:t>
      </w:r>
      <w:r w:rsidR="00A426B6" w:rsidRPr="00CB3771">
        <w:rPr>
          <w:rFonts w:ascii="Times New Roman" w:eastAsia="Times New Roman" w:hAnsi="Times New Roman" w:cs="Times New Roman"/>
          <w:b/>
          <w:color w:val="000000"/>
          <w:sz w:val="24"/>
          <w:szCs w:val="24"/>
          <w:lang w:eastAsia="en-AU"/>
        </w:rPr>
        <w:t xml:space="preserve"> lesions </w:t>
      </w:r>
    </w:p>
    <w:p w14:paraId="0541FBC7" w14:textId="77777777" w:rsidR="00A426B6" w:rsidRPr="007F67D5" w:rsidRDefault="00A426B6" w:rsidP="00A426B6">
      <w:pPr>
        <w:spacing w:line="360" w:lineRule="auto"/>
        <w:rPr>
          <w:rFonts w:ascii="Times New Roman" w:eastAsia="Times New Roman" w:hAnsi="Times New Roman" w:cs="Times New Roman"/>
          <w:b/>
          <w:i/>
          <w:iCs/>
          <w:color w:val="000000"/>
          <w:sz w:val="24"/>
          <w:szCs w:val="24"/>
          <w:lang w:eastAsia="en-AU"/>
        </w:rPr>
      </w:pPr>
      <w:r w:rsidRPr="007F67D5">
        <w:rPr>
          <w:rFonts w:ascii="Times New Roman" w:eastAsia="Times New Roman" w:hAnsi="Times New Roman" w:cs="Times New Roman"/>
          <w:b/>
          <w:i/>
          <w:iCs/>
          <w:color w:val="000000"/>
          <w:sz w:val="24"/>
          <w:szCs w:val="24"/>
          <w:lang w:eastAsia="en-AU"/>
        </w:rPr>
        <w:t>Acquisition</w:t>
      </w:r>
    </w:p>
    <w:p w14:paraId="428A8C67" w14:textId="1EBA79A5" w:rsidR="00642615" w:rsidRDefault="005D7B41" w:rsidP="00642615">
      <w:pPr>
        <w:pStyle w:val="BodyText"/>
      </w:pPr>
      <w:r>
        <w:t>Pre</w:t>
      </w:r>
      <w:r w:rsidR="00535B6F">
        <w:t>-training</w:t>
      </w:r>
      <w:r w:rsidR="00642615">
        <w:t xml:space="preserve"> OFC lesions significantly increased responding to the </w:t>
      </w:r>
      <w:r w:rsidR="00B133D5">
        <w:t>Pavlovian</w:t>
      </w:r>
      <w:r w:rsidR="00642615">
        <w:t xml:space="preserve"> cue relative to sham control animals (</w:t>
      </w:r>
      <w:r w:rsidR="00642615" w:rsidRPr="00136F82">
        <w:rPr>
          <w:highlight w:val="yellow"/>
        </w:rPr>
        <w:t>Figure 1A; lesions depicted in Figure 1-</w:t>
      </w:r>
      <w:r w:rsidR="00AC7684">
        <w:rPr>
          <w:highlight w:val="yellow"/>
        </w:rPr>
        <w:t>figure supplement</w:t>
      </w:r>
      <w:r w:rsidR="00642615" w:rsidRPr="00136F82">
        <w:rPr>
          <w:highlight w:val="yellow"/>
        </w:rPr>
        <w:t xml:space="preserve"> 1</w:t>
      </w:r>
      <w:r w:rsidR="00642615">
        <w:t>). Analysis of conditioned responding was conducted as a CS-PreCS difference score such that levels of responding reflected discriminative</w:t>
      </w:r>
      <w:r w:rsidR="00BD55FF">
        <w:t xml:space="preserve"> performance to the</w:t>
      </w:r>
      <w:r w:rsidR="00642615">
        <w:t xml:space="preserve"> cue (CS) above baseline (PreCS). Acquisition of responding to the CS was significantly greater in the lesion group than the sham group (main effect of Group </w:t>
      </w:r>
      <m:oMath>
        <m:r>
          <w:rPr>
            <w:rFonts w:ascii="Cambria Math" w:hAnsi="Cambria Math"/>
          </w:rPr>
          <m:t>F(1,40)=10.83</m:t>
        </m:r>
      </m:oMath>
      <w:r w:rsidR="00642615">
        <w:t xml:space="preserve">, </w:t>
      </w:r>
      <m:oMath>
        <m:r>
          <w:rPr>
            <w:rFonts w:ascii="Cambria Math" w:hAnsi="Cambria Math"/>
          </w:rPr>
          <m:t>p=.002</m:t>
        </m:r>
      </m:oMath>
      <w:r w:rsidR="00642615">
        <w:t xml:space="preserve">, Block </w:t>
      </w:r>
      <m:oMath>
        <m:r>
          <w:rPr>
            <w:rFonts w:ascii="Cambria Math" w:hAnsi="Cambria Math"/>
          </w:rPr>
          <m:t>F(6,240)=34.07</m:t>
        </m:r>
      </m:oMath>
      <w:r w:rsidR="00642615">
        <w:t xml:space="preserve">, </w:t>
      </w:r>
      <m:oMath>
        <m:r>
          <w:rPr>
            <w:rFonts w:ascii="Cambria Math" w:hAnsi="Cambria Math"/>
          </w:rPr>
          <m:t>p&lt;.001</m:t>
        </m:r>
      </m:oMath>
      <w:r w:rsidR="00642615">
        <w:t xml:space="preserve">, and Group x Block interaction </w:t>
      </w:r>
      <m:oMath>
        <m:r>
          <w:rPr>
            <w:rFonts w:ascii="Cambria Math" w:hAnsi="Cambria Math"/>
          </w:rPr>
          <m:t>F(6,240)=7.33</m:t>
        </m:r>
      </m:oMath>
      <w:r w:rsidR="00642615">
        <w:t xml:space="preserve">, </w:t>
      </w:r>
      <m:oMath>
        <m:r>
          <w:rPr>
            <w:rFonts w:ascii="Cambria Math" w:hAnsi="Cambria Math"/>
          </w:rPr>
          <m:t>p&lt;.001</m:t>
        </m:r>
      </m:oMath>
      <w:r w:rsidR="00642615">
        <w:t>). Follow up comparisons on each block revealed that responding in the lesion group was significantly higher than the sham group during the last 4 blocks (</w:t>
      </w:r>
      <w:r w:rsidR="00315052">
        <w:t>B</w:t>
      </w:r>
      <w:r w:rsidR="00642615">
        <w:t xml:space="preserve">lock 1 </w:t>
      </w:r>
      <m:oMath>
        <m:r>
          <w:rPr>
            <w:rFonts w:ascii="Cambria Math" w:hAnsi="Cambria Math"/>
          </w:rPr>
          <m:t>t(40)=-1.67</m:t>
        </m:r>
      </m:oMath>
      <w:r w:rsidR="00642615">
        <w:t xml:space="preserve">, </w:t>
      </w:r>
      <m:oMath>
        <m:r>
          <w:rPr>
            <w:rFonts w:ascii="Cambria Math" w:hAnsi="Cambria Math"/>
          </w:rPr>
          <m:t>p=.103</m:t>
        </m:r>
      </m:oMath>
      <w:r w:rsidR="00642615">
        <w:t xml:space="preserve">, </w:t>
      </w:r>
      <w:r w:rsidR="00315052">
        <w:t>B</w:t>
      </w:r>
      <w:r w:rsidR="00642615">
        <w:t xml:space="preserve">lock 2 </w:t>
      </w:r>
      <m:oMath>
        <m:r>
          <w:rPr>
            <w:rFonts w:ascii="Cambria Math" w:hAnsi="Cambria Math"/>
          </w:rPr>
          <m:t>t(40)=0.14</m:t>
        </m:r>
      </m:oMath>
      <w:r w:rsidR="00642615">
        <w:t xml:space="preserve">, </w:t>
      </w:r>
      <m:oMath>
        <m:r>
          <w:rPr>
            <w:rFonts w:ascii="Cambria Math" w:hAnsi="Cambria Math"/>
          </w:rPr>
          <m:t>p=.893</m:t>
        </m:r>
      </m:oMath>
      <w:r w:rsidR="00642615">
        <w:t xml:space="preserve">, </w:t>
      </w:r>
      <w:r w:rsidR="00315052">
        <w:t>B</w:t>
      </w:r>
      <w:r w:rsidR="00642615">
        <w:t xml:space="preserve">lock 3 </w:t>
      </w:r>
      <m:oMath>
        <m:r>
          <w:rPr>
            <w:rFonts w:ascii="Cambria Math" w:hAnsi="Cambria Math"/>
          </w:rPr>
          <m:t>t(40)=1.79</m:t>
        </m:r>
      </m:oMath>
      <w:r w:rsidR="00642615">
        <w:t xml:space="preserve">, </w:t>
      </w:r>
      <m:oMath>
        <m:r>
          <w:rPr>
            <w:rFonts w:ascii="Cambria Math" w:hAnsi="Cambria Math"/>
          </w:rPr>
          <m:t>p=.082</m:t>
        </m:r>
      </m:oMath>
      <w:r w:rsidR="00642615">
        <w:t xml:space="preserve">, </w:t>
      </w:r>
      <w:r w:rsidR="00315052">
        <w:t>B</w:t>
      </w:r>
      <w:r w:rsidR="00642615">
        <w:t xml:space="preserve">lock 4 </w:t>
      </w:r>
      <m:oMath>
        <m:r>
          <w:rPr>
            <w:rFonts w:ascii="Cambria Math" w:hAnsi="Cambria Math"/>
          </w:rPr>
          <m:t>t(40)=2.39</m:t>
        </m:r>
      </m:oMath>
      <w:r w:rsidR="00642615">
        <w:t xml:space="preserve">, </w:t>
      </w:r>
      <m:oMath>
        <m:r>
          <w:rPr>
            <w:rFonts w:ascii="Cambria Math" w:hAnsi="Cambria Math"/>
          </w:rPr>
          <m:t>p=.022</m:t>
        </m:r>
      </m:oMath>
      <w:r w:rsidR="00642615">
        <w:t xml:space="preserve">, </w:t>
      </w:r>
      <w:r w:rsidR="00315052">
        <w:t>B</w:t>
      </w:r>
      <w:r w:rsidR="00642615">
        <w:t xml:space="preserve">lock 5 </w:t>
      </w:r>
      <m:oMath>
        <m:r>
          <w:rPr>
            <w:rFonts w:ascii="Cambria Math" w:hAnsi="Cambria Math"/>
          </w:rPr>
          <m:t>t(40)=4.59</m:t>
        </m:r>
      </m:oMath>
      <w:r w:rsidR="00642615">
        <w:t xml:space="preserve">, </w:t>
      </w:r>
      <m:oMath>
        <m:r>
          <w:rPr>
            <w:rFonts w:ascii="Cambria Math" w:hAnsi="Cambria Math"/>
          </w:rPr>
          <m:t>p&lt;.001</m:t>
        </m:r>
      </m:oMath>
      <w:r w:rsidR="00642615">
        <w:t xml:space="preserve">, </w:t>
      </w:r>
      <w:r w:rsidR="00315052">
        <w:t>B</w:t>
      </w:r>
      <w:r w:rsidR="00642615">
        <w:t xml:space="preserve">lock 6 </w:t>
      </w:r>
      <m:oMath>
        <m:r>
          <w:rPr>
            <w:rFonts w:ascii="Cambria Math" w:hAnsi="Cambria Math"/>
          </w:rPr>
          <m:t>t(40)=3.48</m:t>
        </m:r>
      </m:oMath>
      <w:r w:rsidR="00642615">
        <w:t xml:space="preserve">, </w:t>
      </w:r>
      <m:oMath>
        <m:r>
          <w:rPr>
            <w:rFonts w:ascii="Cambria Math" w:hAnsi="Cambria Math"/>
          </w:rPr>
          <m:t>p=.001</m:t>
        </m:r>
      </m:oMath>
      <w:r w:rsidR="00642615">
        <w:t xml:space="preserve">, </w:t>
      </w:r>
      <w:r w:rsidR="00315052">
        <w:t>B</w:t>
      </w:r>
      <w:r w:rsidR="00642615">
        <w:t xml:space="preserve">lock 7 </w:t>
      </w:r>
      <m:oMath>
        <m:r>
          <w:rPr>
            <w:rFonts w:ascii="Cambria Math" w:hAnsi="Cambria Math"/>
          </w:rPr>
          <m:t>t(40)=2.32</m:t>
        </m:r>
      </m:oMath>
      <w:r w:rsidR="00642615">
        <w:t xml:space="preserve">, </w:t>
      </w:r>
      <m:oMath>
        <m:r>
          <w:rPr>
            <w:rFonts w:ascii="Cambria Math" w:hAnsi="Cambria Math"/>
          </w:rPr>
          <m:t>p=.026</m:t>
        </m:r>
      </m:oMath>
      <w:r w:rsidR="00642615">
        <w:t xml:space="preserve">). Given the ubiquity of non-significant effects of OFC lesions on acquisition learning in the literature, two independent replications of this novel effect were conducted (combined here; same pattern of statistical significance in both independent replications) </w:t>
      </w:r>
      <w:r w:rsidR="00DF5F2A">
        <w:t xml:space="preserve">which </w:t>
      </w:r>
      <w:r w:rsidR="00642615">
        <w:t>confirm</w:t>
      </w:r>
      <w:r w:rsidR="00DF5F2A">
        <w:t>ed</w:t>
      </w:r>
      <w:r w:rsidR="00642615">
        <w:t xml:space="preserve"> the effect was robust.</w:t>
      </w:r>
    </w:p>
    <w:p w14:paraId="3F7E4854" w14:textId="77777777" w:rsidR="00EB7DC6" w:rsidRPr="007F67D5" w:rsidRDefault="00EB7DC6" w:rsidP="00EB7DC6">
      <w:pPr>
        <w:pStyle w:val="BodyText"/>
        <w:rPr>
          <w:i/>
          <w:iCs/>
        </w:rPr>
      </w:pPr>
      <w:r w:rsidRPr="007F67D5">
        <w:rPr>
          <w:b/>
          <w:i/>
          <w:iCs/>
        </w:rPr>
        <w:t>Locomotor activity</w:t>
      </w:r>
    </w:p>
    <w:p w14:paraId="6AA98F83" w14:textId="0D4C5A46" w:rsidR="00EB7DC6" w:rsidRDefault="00EB7DC6" w:rsidP="00EB7DC6">
      <w:pPr>
        <w:pStyle w:val="BodyText"/>
      </w:pPr>
      <w:r>
        <w:t xml:space="preserve">The enhanced responding observed during </w:t>
      </w:r>
      <w:r w:rsidR="00A06271">
        <w:t>acquisition</w:t>
      </w:r>
      <w:r>
        <w:t xml:space="preserve"> in the OFC lesion group could simply reflect an enhancement of general locomotor activity</w:t>
      </w:r>
      <w:r w:rsidR="00883B45">
        <w:t>.</w:t>
      </w:r>
      <w:r>
        <w:t xml:space="preserve"> </w:t>
      </w:r>
      <w:r w:rsidR="00883B45">
        <w:t>H</w:t>
      </w:r>
      <w:r>
        <w:t>owever locomotor activity (</w:t>
      </w:r>
      <w:r w:rsidRPr="00136F82">
        <w:rPr>
          <w:highlight w:val="yellow"/>
        </w:rPr>
        <w:t>Figure 1C</w:t>
      </w:r>
      <w:r>
        <w:t>) did not differ between groups (main effect of Time</w:t>
      </w:r>
      <w:r w:rsidR="0091635A">
        <w:t>Bin</w:t>
      </w:r>
      <w:r>
        <w:t xml:space="preserve"> </w:t>
      </w:r>
      <m:oMath>
        <m:r>
          <w:rPr>
            <w:rFonts w:ascii="Cambria Math" w:hAnsi="Cambria Math"/>
          </w:rPr>
          <m:t>F(1,33)=62.93</m:t>
        </m:r>
      </m:oMath>
      <w:r>
        <w:t xml:space="preserve">, </w:t>
      </w:r>
      <m:oMath>
        <m:r>
          <w:rPr>
            <w:rFonts w:ascii="Cambria Math" w:hAnsi="Cambria Math"/>
          </w:rPr>
          <m:t>p&lt;.001</m:t>
        </m:r>
      </m:oMath>
      <w:r>
        <w:t xml:space="preserve">, but no significant effect of Group </w:t>
      </w:r>
      <m:oMath>
        <m:r>
          <w:rPr>
            <w:rFonts w:ascii="Cambria Math" w:hAnsi="Cambria Math"/>
          </w:rPr>
          <m:t>F(1,33)=2.87</m:t>
        </m:r>
      </m:oMath>
      <w:r>
        <w:t xml:space="preserve">, </w:t>
      </w:r>
      <m:oMath>
        <m:r>
          <w:rPr>
            <w:rFonts w:ascii="Cambria Math" w:hAnsi="Cambria Math"/>
          </w:rPr>
          <m:t>p=.100</m:t>
        </m:r>
      </m:oMath>
      <w:r>
        <w:t xml:space="preserve">, or Group x TimeBin interaction </w:t>
      </w:r>
      <m:oMath>
        <m:r>
          <w:rPr>
            <w:rFonts w:ascii="Cambria Math" w:hAnsi="Cambria Math"/>
          </w:rPr>
          <m:t>F(1,33)=0.36</m:t>
        </m:r>
      </m:oMath>
      <w:r>
        <w:t xml:space="preserve">, </w:t>
      </w:r>
      <m:oMath>
        <m:r>
          <w:rPr>
            <w:rFonts w:ascii="Cambria Math" w:hAnsi="Cambria Math"/>
          </w:rPr>
          <m:t>p=.555</m:t>
        </m:r>
      </m:oMath>
      <w:r>
        <w:t xml:space="preserve">). Therefore, the enhanced responding during acquisition </w:t>
      </w:r>
      <w:r w:rsidR="00955064">
        <w:t>was</w:t>
      </w:r>
      <w:r>
        <w:t xml:space="preserve"> not simply due to OFC lesions inducing hyperactivity.</w:t>
      </w:r>
    </w:p>
    <w:p w14:paraId="59B31D22" w14:textId="77777777" w:rsidR="00136F82" w:rsidRPr="007F67D5" w:rsidRDefault="00136F82" w:rsidP="00136F82">
      <w:pPr>
        <w:pStyle w:val="BodyText"/>
        <w:rPr>
          <w:i/>
          <w:iCs/>
        </w:rPr>
      </w:pPr>
      <w:r w:rsidRPr="007F67D5">
        <w:rPr>
          <w:b/>
          <w:i/>
          <w:iCs/>
        </w:rPr>
        <w:t>Satiety</w:t>
      </w:r>
    </w:p>
    <w:p w14:paraId="477194D1" w14:textId="38F94CBB" w:rsidR="00136F82" w:rsidRDefault="00136F82" w:rsidP="00136F82">
      <w:pPr>
        <w:pStyle w:val="BodyText"/>
      </w:pPr>
      <w:r>
        <w:t xml:space="preserve">To test whether the enhanced responding following OFC lesions was sensitive to levels of hunger or shifts in </w:t>
      </w:r>
      <w:r w:rsidR="00661EF8">
        <w:t xml:space="preserve">general </w:t>
      </w:r>
      <w:r>
        <w:t>motivation, a subgroup of animals (subgroup 1) was tested when sated</w:t>
      </w:r>
      <w:r w:rsidR="00D75138">
        <w:t>,</w:t>
      </w:r>
      <w:r>
        <w:t xml:space="preserve"> </w:t>
      </w:r>
      <w:r w:rsidR="00D75138">
        <w:t xml:space="preserve">i.e. following 24 hours </w:t>
      </w:r>
      <w:r w:rsidR="00D75138" w:rsidRPr="00201EFD">
        <w:rPr>
          <w:i/>
          <w:iCs/>
        </w:rPr>
        <w:t>ad libitum</w:t>
      </w:r>
      <w:r w:rsidR="00D75138">
        <w:t xml:space="preserve"> access to home-cage food </w:t>
      </w:r>
      <w:r>
        <w:t>(</w:t>
      </w:r>
      <w:r w:rsidRPr="00136F82">
        <w:rPr>
          <w:highlight w:val="yellow"/>
        </w:rPr>
        <w:t>Figure 1B</w:t>
      </w:r>
      <w:r>
        <w:t>). General satiety,</w:t>
      </w:r>
      <w:r w:rsidR="00883B45">
        <w:t xml:space="preserve"> </w:t>
      </w:r>
      <w:r>
        <w:t xml:space="preserve">did not affect the rate of responding in the sham group (Sham: Satiety vs Hungry </w:t>
      </w:r>
      <m:oMath>
        <m:r>
          <w:rPr>
            <w:rFonts w:ascii="Cambria Math" w:hAnsi="Cambria Math"/>
          </w:rPr>
          <m:t>t(13)=-1.38</m:t>
        </m:r>
      </m:oMath>
      <w:r>
        <w:t xml:space="preserve">, </w:t>
      </w:r>
      <m:oMath>
        <m:r>
          <w:rPr>
            <w:rFonts w:ascii="Cambria Math" w:hAnsi="Cambria Math"/>
          </w:rPr>
          <m:t>p=.191</m:t>
        </m:r>
      </m:oMath>
      <w:r>
        <w:t xml:space="preserve">) but significantly suppressed responding in the lesion group (Lesion: Satiety vs Hungry </w:t>
      </w:r>
      <m:oMath>
        <m:r>
          <w:rPr>
            <w:rFonts w:ascii="Cambria Math" w:hAnsi="Cambria Math"/>
          </w:rPr>
          <m:t>t(13)=-4.24</m:t>
        </m:r>
      </m:oMath>
      <w:r>
        <w:t xml:space="preserve">, </w:t>
      </w:r>
      <m:oMath>
        <m:r>
          <w:rPr>
            <w:rFonts w:ascii="Cambria Math" w:hAnsi="Cambria Math"/>
          </w:rPr>
          <m:t>p=.001</m:t>
        </m:r>
      </m:oMath>
      <w:r>
        <w:t>)</w:t>
      </w:r>
      <w:r w:rsidR="00916723">
        <w:t xml:space="preserve"> </w:t>
      </w:r>
      <w:r>
        <w:t xml:space="preserve">compared to subsequent testing 24 hours later when hungry again (no significant main effect of Group </w:t>
      </w:r>
      <m:oMath>
        <m:r>
          <w:rPr>
            <w:rFonts w:ascii="Cambria Math" w:hAnsi="Cambria Math"/>
          </w:rPr>
          <m:t>F(1,13)=1.43</m:t>
        </m:r>
      </m:oMath>
      <w:r>
        <w:t xml:space="preserve">, </w:t>
      </w:r>
      <m:oMath>
        <m:r>
          <w:rPr>
            <w:rFonts w:ascii="Cambria Math" w:hAnsi="Cambria Math"/>
          </w:rPr>
          <m:t>p=.253</m:t>
        </m:r>
      </m:oMath>
      <w:r>
        <w:t xml:space="preserve">, but a significant main effect of Hunger </w:t>
      </w:r>
      <m:oMath>
        <m:r>
          <w:rPr>
            <w:rFonts w:ascii="Cambria Math" w:hAnsi="Cambria Math"/>
          </w:rPr>
          <m:t>F(1,13)=16.30</m:t>
        </m:r>
      </m:oMath>
      <w:r>
        <w:t xml:space="preserve">, </w:t>
      </w:r>
      <m:oMath>
        <m:r>
          <w:rPr>
            <w:rFonts w:ascii="Cambria Math" w:hAnsi="Cambria Math"/>
          </w:rPr>
          <m:t>p=.001</m:t>
        </m:r>
      </m:oMath>
      <w:r>
        <w:t xml:space="preserve">, and Group x Hunger interaction </w:t>
      </w:r>
      <m:oMath>
        <m:r>
          <w:rPr>
            <w:rFonts w:ascii="Cambria Math" w:hAnsi="Cambria Math"/>
          </w:rPr>
          <m:t>F(1,13)=4.63</m:t>
        </m:r>
      </m:oMath>
      <w:r>
        <w:t xml:space="preserve">, </w:t>
      </w:r>
      <m:oMath>
        <m:r>
          <w:rPr>
            <w:rFonts w:ascii="Cambria Math" w:hAnsi="Cambria Math"/>
          </w:rPr>
          <m:t>p=.051</m:t>
        </m:r>
      </m:oMath>
      <w:r>
        <w:t xml:space="preserve">). Since the satiety test session was rewarded, it is possible that OFC lesioned animals could learn that the reward was less valuable by direct experience with the reward, similar to incentive learning effects normally observed in instrumental conditioning </w:t>
      </w:r>
      <w:r w:rsidR="00D929BD">
        <w:fldChar w:fldCharType="begin" w:fldLock="1"/>
      </w:r>
      <w:r w:rsidR="00316B19">
        <w:instrText>ADDIN CSL_CITATION {"citationItems":[{"id":"ITEM-1","itemData":{"DOI":"10.1002/0471214426.pas0312","ISBN":"9780471214427","abstract":"Acquired behavior is motivated by two forms of incentive learning. Pavlovian incentive learning reflects the acquisition of motivational properties by conditioned stimuli (CSs) through their association with appetitive and aversive reinforcers. Although the influence of appetitive CSs is modulated by primary motivational states, they exert a general motivation influence on appetitive behavior. By contrast, aversive CSs inhibit appetitive behavior. The second process, instrumental incentive learning, determines the incentive value assigned to outcomes of goal-directed, instrumental action. This incentive value, and its control by primary motivational states, has to be learned through experience of the hedonic reactions elicited by the outcome. The two incentive learning processes function in parallel to motivate instrumental behavior.","author":[{"dropping-particle":"","family":"Dickinson","given":"A","non-dropping-particle":"","parse-names":false,"suffix":""},{"dropping-particle":"","family":"Balleine","given":"B W","non-dropping-particle":"","parse-names":false,"suffix":""}],"container-title":"Stevens' Handbook of Experimental Psychology","id":"ITEM-1","issued":{"date-parts":[["2002"]]},"publisher":"John Wiley &amp; Sons, Inc.","title":"The Role of Learning in the Operation of Motivational Systems","type":"chapter"},"uris":["http://www.mendeley.com/documents/?uuid=5f2cd0e0-4657-4a4e-91d1-4362764fa19b"]}],"mendeley":{"formattedCitation":"(Dickinson &amp; Balleine, 2002)","plainTextFormattedCitation":"(Dickinson &amp; Balleine, 2002)","previouslyFormattedCitation":"(Dickinson &amp; Balleine, 2002)"},"properties":{"noteIndex":0},"schema":"https://github.com/citation-style-language/schema/raw/master/csl-citation.json"}</w:instrText>
      </w:r>
      <w:r w:rsidR="00D929BD">
        <w:fldChar w:fldCharType="separate"/>
      </w:r>
      <w:r w:rsidR="00D929BD" w:rsidRPr="00D929BD">
        <w:rPr>
          <w:noProof/>
        </w:rPr>
        <w:t>(Dickinson &amp; Balleine, 2002)</w:t>
      </w:r>
      <w:r w:rsidR="00D929BD">
        <w:fldChar w:fldCharType="end"/>
      </w:r>
      <w:r>
        <w:t>. However, this possibility is unlikely as responding was comparable between groups on the first trial of the satiety test (</w:t>
      </w:r>
      <m:oMath>
        <m:r>
          <w:rPr>
            <w:rFonts w:ascii="Cambria Math" w:hAnsi="Cambria Math"/>
          </w:rPr>
          <m:t>t(13)=1.04</m:t>
        </m:r>
      </m:oMath>
      <w:r>
        <w:t xml:space="preserve">, </w:t>
      </w:r>
      <m:oMath>
        <m:r>
          <w:rPr>
            <w:rFonts w:ascii="Cambria Math" w:hAnsi="Cambria Math"/>
          </w:rPr>
          <m:t>p=.317</m:t>
        </m:r>
      </m:oMath>
      <w:r>
        <w:t xml:space="preserve">, </w:t>
      </w:r>
      <w:r w:rsidRPr="00916723">
        <w:rPr>
          <w:highlight w:val="yellow"/>
        </w:rPr>
        <w:t>Figure 1-figure supplement 2</w:t>
      </w:r>
      <w:r>
        <w:t xml:space="preserve">), before </w:t>
      </w:r>
      <w:r>
        <w:lastRenderedPageBreak/>
        <w:t xml:space="preserve">the </w:t>
      </w:r>
      <w:r w:rsidR="00E22100">
        <w:t xml:space="preserve">first </w:t>
      </w:r>
      <w:r>
        <w:t>reward was delivered. This suggests that animals with OFC lesions are sensitive to shifts in hunger</w:t>
      </w:r>
      <w:r w:rsidR="0013327E">
        <w:t xml:space="preserve"> and </w:t>
      </w:r>
      <w:r w:rsidR="00C376E5">
        <w:t>general</w:t>
      </w:r>
      <w:r>
        <w:t xml:space="preserve"> motivation.</w:t>
      </w:r>
    </w:p>
    <w:p w14:paraId="4DB4A9AC" w14:textId="77777777" w:rsidR="00F51193" w:rsidRPr="007F67D5" w:rsidRDefault="00F51193" w:rsidP="00F51193">
      <w:pPr>
        <w:pStyle w:val="BodyText"/>
        <w:rPr>
          <w:i/>
          <w:iCs/>
        </w:rPr>
      </w:pPr>
      <w:r w:rsidRPr="007F67D5">
        <w:rPr>
          <w:b/>
          <w:i/>
          <w:iCs/>
        </w:rPr>
        <w:t>Devaluation Test</w:t>
      </w:r>
    </w:p>
    <w:p w14:paraId="26DE1D61" w14:textId="5ACE73AF" w:rsidR="00F51193" w:rsidRDefault="00F51193" w:rsidP="00F51193">
      <w:pPr>
        <w:pStyle w:val="BodyText"/>
      </w:pPr>
      <w:r>
        <w:t xml:space="preserve">OFC lesions have been shown to cause </w:t>
      </w:r>
      <w:r w:rsidR="00042974">
        <w:t xml:space="preserve">characteristic </w:t>
      </w:r>
      <w:r>
        <w:t xml:space="preserve">deficits in </w:t>
      </w:r>
      <w:r w:rsidR="00351423">
        <w:t xml:space="preserve">Pavlovian </w:t>
      </w:r>
      <w:r>
        <w:t xml:space="preserve">outcome devaluation </w:t>
      </w:r>
      <w:r w:rsidR="00316B19">
        <w:fldChar w:fldCharType="begin" w:fldLock="1"/>
      </w:r>
      <w:r w:rsidR="00DF718E">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deficits","type":"article-journal","volume":"7"},"uris":["http://www.mendeley.com/documents/?uuid=830dcb69-80d3-3948-bcf4-b67f5d01f017"]},{"id":"ITEM-2","itemData":{"ISBN":"0270-6474","author":[{"dropping-particle":"","family":"Pickens","given":"C L","non-dropping-particle":"","parse-names":false,"suffix":""},{"dropping-particle":"","family":"Saddoris","given":"M P","non-dropping-particle":"","parse-names":false,"suffix":""},{"dropping-particle":"","family":"Setlow","given":"B","non-dropping-particle":"","parse-names":false,"suffix":""},{"dropping-particle":"","family":"Gallagher","given":"M","non-dropping-particle":"","parse-names":false,"suffix":""},{"dropping-particle":"","family":"Holland","given":"P C","non-dropping-particle":"","parse-names":false,"suffix":""},{"dropping-particle":"","family":"Schoenbaum","given":"G","non-dropping-particle":"","parse-names":false,"suffix":""}],"container-title":"Journal of Neuroscience","id":"ITEM-2","issue":"35","issued":{"date-parts":[["2003"]]},"language":"English","page":"11078-11084","title":"Different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Panayi &amp; Killcross, 2018; Pickens et al., 2003, 2005)","plainTextFormattedCitation":"(Gallagher et al., 1999; Panayi &amp; Killcross, 2018; Pickens et al., 2003, 2005)","previouslyFormattedCitation":"(Gallagher et al., 1999; Panayi &amp; Killcross, 2018; Pickens et al., 2003, 2005)"},"properties":{"noteIndex":0},"schema":"https://github.com/citation-style-language/schema/raw/master/csl-citation.json"}</w:instrText>
      </w:r>
      <w:r w:rsidR="00316B19">
        <w:fldChar w:fldCharType="separate"/>
      </w:r>
      <w:r w:rsidR="00242371" w:rsidRPr="00242371">
        <w:rPr>
          <w:noProof/>
        </w:rPr>
        <w:t>(Gallagher et al., 1999; Panayi &amp; Killcross, 2018; Pickens et al., 2003, 2005)</w:t>
      </w:r>
      <w:r w:rsidR="00316B19">
        <w:fldChar w:fldCharType="end"/>
      </w:r>
      <w:r>
        <w:t>. Therefore, to test whether the present lesion manipulation was comparable to other reports we tested a subgroup of animals (subgroup 2) on Pavlovian outcome devaluation. First the sham and lesion animals were given novel acquisition training of two novel and unique cue-outcome relationship (</w:t>
      </w:r>
      <w:r w:rsidRPr="00F820F2">
        <w:rPr>
          <w:highlight w:val="yellow"/>
        </w:rPr>
        <w:t>Figure 1-figure supplement 3A</w:t>
      </w:r>
      <w:r>
        <w:t>). A specific taste aversion was then established by pairing consumption of one of the outcomes with illness (i.p. injection of lithium chloride; Devalued), and the value of the other outcome was left intact (</w:t>
      </w:r>
      <w:r w:rsidR="00042974">
        <w:t xml:space="preserve">i.p. injection of saline; </w:t>
      </w:r>
      <w:r>
        <w:t>Non-Devalued). Both groups learned the novel cue-outcome associations and acquired the specific taste aversion (</w:t>
      </w:r>
      <w:r w:rsidRPr="00F820F2">
        <w:rPr>
          <w:highlight w:val="yellow"/>
        </w:rPr>
        <w:t>Figure 1-figure supplement 3B</w:t>
      </w:r>
      <w:r>
        <w:t>).</w:t>
      </w:r>
    </w:p>
    <w:p w14:paraId="3219C950" w14:textId="4AD8C803" w:rsidR="00F51193" w:rsidRDefault="00F51193" w:rsidP="00F51193">
      <w:pPr>
        <w:pStyle w:val="BodyText"/>
      </w:pPr>
      <w:r>
        <w:t>Finally, during a devaluation test (</w:t>
      </w:r>
      <w:r w:rsidRPr="006B6F29">
        <w:rPr>
          <w:highlight w:val="yellow"/>
        </w:rPr>
        <w:t>Figure 1D</w:t>
      </w:r>
      <w:r>
        <w:t>), the two cues were presented in extinction. The sham group showed a significant devaluation effect, i.e. responding was lower to the devalued than non-devalued cue (</w:t>
      </w:r>
      <m:oMath>
        <m:r>
          <w:rPr>
            <w:rFonts w:ascii="Cambria Math" w:hAnsi="Cambria Math"/>
          </w:rPr>
          <m:t>t(11)=-3.06</m:t>
        </m:r>
      </m:oMath>
      <w:r>
        <w:t xml:space="preserve">, </w:t>
      </w:r>
      <m:oMath>
        <m:r>
          <w:rPr>
            <w:rFonts w:ascii="Cambria Math" w:hAnsi="Cambria Math"/>
          </w:rPr>
          <m:t>p=.011</m:t>
        </m:r>
      </m:oMath>
      <w:r>
        <w:t>). In contrast, the devaluation effect was abolished in the lesion group, and responding remained high to both the devalued and non-devalued cue (</w:t>
      </w:r>
      <m:oMath>
        <m:r>
          <w:rPr>
            <w:rFonts w:ascii="Cambria Math" w:hAnsi="Cambria Math"/>
          </w:rPr>
          <m:t>t(11)=1.09</m:t>
        </m:r>
      </m:oMath>
      <w:r>
        <w:t xml:space="preserve">, </w:t>
      </w:r>
      <m:oMath>
        <m:r>
          <w:rPr>
            <w:rFonts w:ascii="Cambria Math" w:hAnsi="Cambria Math"/>
          </w:rPr>
          <m:t>p=.300</m:t>
        </m:r>
      </m:oMath>
      <w:r>
        <w:t xml:space="preserve">; Significant Group x Cue interaction </w:t>
      </w:r>
      <m:oMath>
        <m:r>
          <w:rPr>
            <w:rFonts w:ascii="Cambria Math" w:hAnsi="Cambria Math"/>
          </w:rPr>
          <m:t>F(1,11)=7.55</m:t>
        </m:r>
      </m:oMath>
      <w:r>
        <w:t xml:space="preserve">, </w:t>
      </w:r>
      <m:oMath>
        <m:r>
          <w:rPr>
            <w:rFonts w:ascii="Cambria Math" w:hAnsi="Cambria Math"/>
          </w:rPr>
          <m:t>p=.019</m:t>
        </m:r>
      </m:oMath>
      <w:r>
        <w:t xml:space="preserve">, but no main effect of Group </w:t>
      </w:r>
      <m:oMath>
        <m:r>
          <w:rPr>
            <w:rFonts w:ascii="Cambria Math" w:hAnsi="Cambria Math"/>
          </w:rPr>
          <m:t>F(1,11)=0.54</m:t>
        </m:r>
      </m:oMath>
      <w:r>
        <w:t xml:space="preserve">, </w:t>
      </w:r>
      <m:oMath>
        <m:r>
          <w:rPr>
            <w:rFonts w:ascii="Cambria Math" w:hAnsi="Cambria Math"/>
          </w:rPr>
          <m:t>p=.479</m:t>
        </m:r>
      </m:oMath>
      <w:r>
        <w:t xml:space="preserve">, or Cue </w:t>
      </w:r>
      <m:oMath>
        <m:r>
          <w:rPr>
            <w:rFonts w:ascii="Cambria Math" w:hAnsi="Cambria Math"/>
          </w:rPr>
          <m:t>F(1,11)=1.09</m:t>
        </m:r>
      </m:oMath>
      <w:r>
        <w:t xml:space="preserve">, </w:t>
      </w:r>
      <m:oMath>
        <m:r>
          <w:rPr>
            <w:rFonts w:ascii="Cambria Math" w:hAnsi="Cambria Math"/>
          </w:rPr>
          <m:t>p=.320</m:t>
        </m:r>
      </m:oMath>
      <w:r>
        <w:t xml:space="preserve">). This finding successfully replicates the finding that both </w:t>
      </w:r>
      <w:r w:rsidR="002F04D4">
        <w:t>complete</w:t>
      </w:r>
      <w:r>
        <w:t xml:space="preserve"> </w:t>
      </w:r>
      <w:r w:rsidR="006F543E">
        <w:t xml:space="preserve">OFC </w:t>
      </w:r>
      <w:r>
        <w:t xml:space="preserve">and focal </w:t>
      </w:r>
      <w:r w:rsidR="006F543E">
        <w:t xml:space="preserve">lateral </w:t>
      </w:r>
      <w:r>
        <w:t>OFC lesions abolish the outcome devaluation effect in rodents</w:t>
      </w:r>
      <w:r w:rsidR="00993C2A">
        <w:t xml:space="preserve"> </w:t>
      </w:r>
      <w:r w:rsidR="00993C2A">
        <w:fldChar w:fldCharType="begin" w:fldLock="1"/>
      </w:r>
      <w:r w:rsidR="00DF718E">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deficits","type":"article-journal","volume":"7"},"uris":["http://www.mendeley.com/documents/?uuid=830dcb69-80d3-3948-bcf4-b67f5d01f017"]},{"id":"ITEM-2","itemData":{"ISBN":"0270-6474","author":[{"dropping-particle":"","family":"Pickens","given":"C L","non-dropping-particle":"","parse-names":false,"suffix":""},{"dropping-particle":"","family":"Saddoris","given":"M P","non-dropping-particle":"","parse-names":false,"suffix":""},{"dropping-particle":"","family":"Setlow","given":"B","non-dropping-particle":"","parse-names":false,"suffix":""},{"dropping-particle":"","family":"Gallagher","given":"M","non-dropping-particle":"","parse-names":false,"suffix":""},{"dropping-particle":"","family":"Holland","given":"P C","non-dropping-particle":"","parse-names":false,"suffix":""},{"dropping-particle":"","family":"Schoenbaum","given":"G","non-dropping-particle":"","parse-names":false,"suffix":""}],"container-title":"Journal of Neuroscience","id":"ITEM-2","issue":"35","issued":{"date-parts":[["2003"]]},"language":"English","page":"11078-11084","title":"Different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Panayi &amp; Killcross, 2018; Pickens et al., 2003, 2005)","plainTextFormattedCitation":"(Gallagher et al., 1999; Panayi &amp; Killcross, 2018; Pickens et al., 2003, 2005)","previouslyFormattedCitation":"(Gallagher et al., 1999; Panayi &amp; Killcross, 2018; Pickens et al., 2003, 2005)"},"properties":{"noteIndex":0},"schema":"https://github.com/citation-style-language/schema/raw/master/csl-citation.json"}</w:instrText>
      </w:r>
      <w:r w:rsidR="00993C2A">
        <w:fldChar w:fldCharType="separate"/>
      </w:r>
      <w:r w:rsidR="00242371" w:rsidRPr="00242371">
        <w:rPr>
          <w:noProof/>
        </w:rPr>
        <w:t>(Gallagher et al., 1999; Panayi &amp; Killcross, 2018; Pickens et al., 2003, 2005)</w:t>
      </w:r>
      <w:r w:rsidR="00993C2A">
        <w:fldChar w:fldCharType="end"/>
      </w:r>
      <w:r>
        <w:t>.</w:t>
      </w:r>
    </w:p>
    <w:p w14:paraId="0687067C" w14:textId="5C93E688" w:rsidR="00887885" w:rsidRDefault="007F67D5" w:rsidP="00887885">
      <w:pPr>
        <w:pStyle w:val="BodyText"/>
      </w:pPr>
      <w:r>
        <w:rPr>
          <w:b/>
        </w:rPr>
        <w:t xml:space="preserve">Experiment 2: </w:t>
      </w:r>
      <w:r w:rsidR="00887885">
        <w:rPr>
          <w:b/>
        </w:rPr>
        <w:t>Post-training muscimol inactivation</w:t>
      </w:r>
    </w:p>
    <w:p w14:paraId="05107674" w14:textId="6055C467" w:rsidR="00887885" w:rsidRDefault="00887885" w:rsidP="00887885">
      <w:pPr>
        <w:pStyle w:val="BodyText"/>
      </w:pPr>
      <w:r>
        <w:t>The enhanced Pavlovian responding observed following OFC lesions (</w:t>
      </w:r>
      <w:r w:rsidRPr="00887885">
        <w:rPr>
          <w:highlight w:val="yellow"/>
        </w:rPr>
        <w:t>Figure 1A</w:t>
      </w:r>
      <w:r>
        <w:t>) may be due to enhanced learning of the cue-outcome relationship in the OFC lesion group (</w:t>
      </w:r>
      <w:r w:rsidRPr="00506B43">
        <w:rPr>
          <w:highlight w:val="yellow"/>
        </w:rPr>
        <w:t>Figure 2-figure supplement 1</w:t>
      </w:r>
      <w:r>
        <w:t xml:space="preserve">). This is consistent with a role for the OFC in representing outcome expectancy information. For example, incremental learning about a cue-outcome relationship is thought to depend upon prediction errors </w:t>
      </w:r>
      <w:r w:rsidR="00C433F2">
        <w:fldChar w:fldCharType="begin" w:fldLock="1"/>
      </w:r>
      <w:r w:rsidR="00F125AC">
        <w:instrText>ADDIN CSL_CITATION {"citationItems":[{"id":"ITEM-1","itemData":{"author":[{"dropping-particle":"","family":"Rescorla","given":"R A","non-dropping-particle":"","parse-names":false,"suffix":""},{"dropping-particle":"","family":"Wagner","given":"A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stimuli","type":"article-journal","volume":"87"},"uris":["http://www.mendeley.com/documents/?uuid=630e1394-4cb5-41e3-b44d-48cd97c253e9"]},{"id":"ITEM-3","itemData":{"DOI":"10.3389/fpsyg.2017.00244","ISSN":"1664-1078","abstract":"Phasic activity of midbrain dopamine neurons is currently thought to encapsulate the prediction-error signal described in Sutton and Barto’s (1981) model-free reinforcement learning algorithm. This phasic signal is thought to contain information about the quantitative value of reward, which transfers to the reward-predictive cue after learning. This is argued to endow the reward-predictive cue with the value inherent in the reward, motivating behavior towards cues signaling the presence of reward. Yet theoretical and empirical research has implicated prediction-error signaling in learning that extends far beyond a transfer of quantitative value to a reward-predictive cue. Here, we review the research which demonstrates the complexity of how dopaminergic prediction errors facilitate learning. After briefly discussing the literature demonstrating that phasic dopaminergic signals can act in the manner described by Sutton and Barto (1981), we consider how these signals may also influence attentional processing across multiple attentional systems in distinct brain circuits. Then, we discuss how prediction errors encode and promote the development of context-specific associations between cues and rewards. Finally, we consider recent evidence that shows dopaminergic activity contains information about causal relationships between cues and rewards that reflect information garnered from rich associative models of the world that can be adapted in the absence of direct experience. In discussing this research we hope to support the expansion of how dopaminergic prediction errors are thought to contribute to the learning process beyond the traditional concept of transferring quantitative value.","author":[{"dropping-particle":"","family":"Nasser","given":"Helen M.","non-dropping-particle":"","parse-names":false,"suffix":""},{"dropping-particle":"","family":"Calu","given":"Donna J.","non-dropping-particle":"","parse-names":false,"suffix":""},{"dropping-particle":"","family":"Schoenbaum","given":"Geoffrey","non-dropping-particle":"","parse-names":false,"suffix":""},{"dropping-particle":"","family":"Sharpe","given":"Melissa J.","non-dropping-particle":"","parse-names":false,"suffix":""}],"container-title":"Frontiers in Psychology","id":"ITEM-3","issued":{"date-parts":[["2017","2","22"]]},"page":"244","publisher":"Frontiers","title":"The Dopamine Prediction Error: Contributions to Associative Models of Reward Learning","type":"article-journal","volume":"8"},"uris":["http://www.mendeley.com/documents/?uuid=fbb6448d-68d3-3897-bbc9-bdc9c99fbab4"]},{"id":"ITEM-4","itemData":{"author":[{"dropping-particle":"","family":"LePelley","given":"M E","non-dropping-particle":"","parse-names":false,"suffix":""}],"container-title":"Quarterly Journal of Experimental Psychology","id":"ITEM-4","issued":{"date-parts":[["2004"]]},"page":"192-243","title":"The role of associative history in models of associative learning: A selective review and a hybrid model","type":"article-journal","volume":"57B"},"uris":["http://www.mendeley.com/documents/?uuid=96e1516b-7733-4f10-90a9-99cfcc035e7e"]},{"id":"ITEM-5","itemData":{"DOI":"DOI 10.1098/rspb.2011.0836","ISBN":"0962-8452","abstract":"Theories of selective attention in associative learning posit that the salience of a cue will be high if the cue is the best available predictor of reinforcement (high predictiveness). In contrast, a different class of attentional theory stipulates that the salience of a cue will be high if the cue is an inaccurate predictor of reinforcement (high uncertainty). Evidence in support of these seemingly contradictory propositions has led to: (i) the development of hybrid attentional models that assume the coexistence of separate, predictiveness-driven and uncertainty-driven mechanisms of changes in cue salience; and (ii) a surge of interest in identifying the neural circuits underpinning these mechanisms. Here, we put forward a formal attentional model of learning that reconciles the roles of predictiveness and uncertainty in salience modification. The issues discussed are relevant to psychologists, behavioural neuroscientists and neuroeconomists investigating the roles of predictiveness and uncertainty in behaviour.","author":[{"dropping-particle":"","family":"Esber","given":"G R","non-dropping-particle":"","parse-names":false,"suffix":""},{"dropping-particle":"","family":"Haselgrove","given":"M","non-dropping-particle":"","parse-names":false,"suffix":""}],"container-title":"Proceedings of the Royal Society B-Biological Sciences","id":"ITEM-5","issue":"1718","issued":{"date-parts":[["2011"]]},"language":"English","note":"797QK\nTimes Cited:28\nCited References Count:57","page":"2553-2561","title":"Reconciling the influence of predictiveness and uncertainty on stimulus salience: a model of attention in associative learning","type":"article-journal","volume":"278"},"uris":["http://www.mendeley.com/documents/?uuid=6146cb66-c2ab-493f-b4f4-f79579d5fc02"]},{"id":"ITEM-6","itemData":{"DOI":"10.1037/h0076778","author":[{"dropping-particle":"","family":"Mackintosh","given":"N J","non-dropping-particle":"","parse-names":false,"suffix":""}],"container-title":"Psychol Rev","id":"ITEM-6","issue":"4","issued":{"date-parts":[["1975"]]},"page":"279-298","title":"A theory of attention: Variations in the associability of stimuli with reinforcement","type":"article-journal","volume":"82"},"uris":["http://www.mendeley.com/documents/?uuid=ad2071d9-ff93-481e-8cbb-9d2eadc2806e"]},{"id":"ITEM-7","itemData":{"author":[{"dropping-particle":"","family":"Sutton","given":"R S","non-dropping-particle":"","parse-names":false,"suffix":""},{"dropping-particle":"","family":"Barto","given":"A G","non-dropping-particle":"","parse-names":false,"suffix":""}],"id":"ITEM-7","issued":{"date-parts":[["1998"]]},"publisher":"The MIT Press","publisher-place":"Cambridge, Massachusetts","title":"Reinforccement Learning: An introduction","type":"book"},"uris":["http://www.mendeley.com/documents/?uuid=1956114d-255e-443a-88aa-46006f3584cb"]}],"mendeley":{"formattedCitation":"(Esber &amp; Haselgrove, 2011; LePelley, 2004; Mackintosh, 1975; Nasser et al., 2017; Pearce &amp; Hall, 1980; Rescorla &amp; Wagner, 1972; Sutton &amp; Barto, 1998)","plainTextFormattedCitation":"(Esber &amp; Haselgrove, 2011; LePelley, 2004; Mackintosh, 1975; Nasser et al., 2017; Pearce &amp; Hall, 1980; Rescorla &amp; Wagner, 1972; Sutton &amp; Barto, 1998)","previouslyFormattedCitation":"(Esber &amp; Haselgrove, 2011; LePelley, 2004; Mackintosh, 1975; Nasser et al., 2017; Pearce &amp; Hall, 1980; Rescorla &amp; Wagner, 1972; Sutton &amp; Barto, 1998)"},"properties":{"noteIndex":0},"schema":"https://github.com/citation-style-language/schema/raw/master/csl-citation.json"}</w:instrText>
      </w:r>
      <w:r w:rsidR="00C433F2">
        <w:fldChar w:fldCharType="separate"/>
      </w:r>
      <w:r w:rsidR="006159CE" w:rsidRPr="006159CE">
        <w:rPr>
          <w:noProof/>
        </w:rPr>
        <w:t>(Esber &amp; Haselgrove, 2011; LePelley, 2004; Mackintosh, 1975; Nasser et al., 2017; Pearce &amp; Hall, 1980; Rescorla &amp; Wagner, 1972; Sutton &amp; Barto, 1998)</w:t>
      </w:r>
      <w:r w:rsidR="00C433F2">
        <w:fldChar w:fldCharType="end"/>
      </w:r>
      <w:r>
        <w:t xml:space="preserve">, i.e. the difference between the experience outcome value and the expected outcome value. The expected outcome value of a cue is incrementally updated until this prediction error discrepancy is minimised. If the OFC carries some aspect of outcome expectancy information </w:t>
      </w:r>
      <w:r w:rsidR="00113618">
        <w:fldChar w:fldCharType="begin" w:fldLock="1"/>
      </w:r>
      <w:r w:rsidR="00DF718E">
        <w:instrText>ADDIN CSL_CITATION {"citationItems":[{"id":"ITEM-1","itemData":{"ISBN":"0270-6474","PMID":"10818166","abstract":"Goal-directed actions are guided by expected outcomes of those actions. Humans with bilateral damage to ventromedial prefrontal cortex, or the amygdala, are deficient in their ability to use information about positive and negative outcomes to guide their choice behavior. Similarly, rats and monkeys with orbital prefrontal or amygdala damage have been found to be impaired in their responses to changing values of outcomes. In the present study, we tested whether direct, functional interaction between the amygdala and the orbital prefrontal cortex is necessary for guiding behavior based on expected outcomes. Unlike control monkeys, rhesus monkeys with surgical disconnection of these two structures, achieved by crossed unilateral lesions of the amygdala in one hemisphere and orbital prefrontal cortex in the other, combined with forebrain commissurotomy, were unable to adjust their choice behavior after a change in the outcome (here, a reduction in the value of a particular reinforcer). The lesions did not affect motivation to work for a food reinforcer, or food preferences, per se. Hence, the amygdala and orbital prefrontal cortex act as part of an integrated neural system guiding decision-making and adaptive response selection.","author":[{"dropping-particle":"","family":"Baxter","given":"M G","non-dropping-particle":"","parse-names":false,"suffix":""},{"dropping-particle":"","family":"Parker","given":"A","non-dropping-particle":"","parse-names":false,"suffix":""},{"dropping-particle":"","family":"Lindner","given":"C C","non-dropping-particle":"","parse-names":false,"suffix":""},{"dropping-particle":"","family":"Izquierdo","given":"A D","non-dropping-particle":"","parse-names":false,"suffix":""},{"dropping-particle":"","family":"Murray","given":"Elisabeth A.","non-dropping-particle":"","parse-names":false,"suffix":""}],"container-title":"Journal of Neuroscience","edition":"2000/05/20","id":"ITEM-1","issue":"11","issued":{"date-parts":[["2000"]]},"language":"eng","note":"1529-2401\nBaxter, M G\nParker, A\nLindner, C C\nIzquierdo, A D\nMurray, E A\nJournal Article\nResearch Support, U.S. Gov't, P.H.S.\nUnited states\nJ Neurosci. 2000 Jun 1;20(11):4311-9.","page":"4311-4319","title":"Control of response selection by reinforcer value requires interaction of amygdala and orbital prefrontal cortex","type":"article-journal","volume":"20"},"uris":["http://www.mendeley.com/documents/?uuid=e624be6f-08fe-4981-8aec-2451bcf9d593"]},{"id":"ITEM-2","itemData":{"DOI":"23/35/11189 [pii]","ISBN":"1529-2401 (Electronic)\r0270-6474 (Linking)","PMID":"14657178","author":[{"dropping-particle":"","family":"Pears","given":"A","non-dropping-particle":"","parse-names":false,"suffix":""},{"dropping-particle":"","family":"Parkinson","given":"J A","non-dropping-particle":"","parse-names":false,"suffix":""},{"dropping-particle":"","family":"Hopewell","given":"L","non-dropping-particle":"","parse-names":false,"suffix":""},{"dropping-particle":"","family":"Everitt","given":"B J","non-dropping-particle":"","parse-names":false,"suffix":""},{"dropping-particle":"","family":"Roberts","given":"A C","non-dropping-particle":"","parse-names":false,"suffix":""}],"container-title":"Journal of Neuroscience","edition":"2003/12/06","id":"ITEM-2","issue":"35","issued":{"date-parts":[["2003"]]},"language":"eng","page":"11189-11201","title":"Lesions of the orbitofrontal but not medial prefrontal cortex disrupt conditioned reinforcement in primates","type":"article-journal","volume":"23"},"uris":["http://www.mendeley.com/documents/?uuid=e6d7569d-b7ce-4d1d-8844-2dbc8a6e75b3"]},{"id":"ITEM-3","itemData":{"DOI":"DOI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J","non-dropping-particle":"","parse-names":false,"suffix":""},{"dropping-particle":"","family":"Taylor","given":"A R","non-dropping-particle":"","parse-names":false,"suffix":""},{"dropping-particle":"","family":"Burke","given":"K A","non-dropping-particle":"","parse-names":false,"suffix":""},{"dropping-particle":"","family":"Schoenbaum","given":"G","non-dropping-particle":"","parse-names":false,"suffix":""}],"container-title":"Neuron","id":"ITEM-3","issue":"2","issued":{"date-parts":[["2009"]]},"language":"English","page":"269-280","title":"The Orbitofrontal Cortex and Ventral Tegmental Area Are Necessary for Learning from Unexpected Outcomes","type":"article-journal","volume":"62"},"uris":["http://www.mendeley.com/documents/?uuid=630ecaa0-8f06-4897-802f-f08a30b8c04d"]},{"id":"ITEM-4","itemData":{"DOI":"10.1038/nn.2957","ISBN":"1546-1726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eoffrey","non-dropping-particle":"","parse-names":false,"suffix":""}],"container-title":"Nature Neuroscience","id":"ITEM-4","issue":"12","issued":{"date-parts":[["2011","10","30"]]},"page":"1590-1597","title":"Expectancy-related changes in firing of dopamine neurons depend on orbitofrontal cortex","type":"article-journal","volume":"14"},"uris":["http://www.mendeley.com/documents/?uuid=ef0e30e7-0413-4094-a294-c1ebacc27b60"]},{"id":"ITEM-5","itemData":{"DOI":"Doi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Neuroscience","id":"ITEM-5","issue":"12","issued":{"date-parts":[["2009"]]},"language":"English","page":"885-892","title":"A new perspective on the role of the orbitofrontal cortex in adaptive behaviour","type":"article-journal","volume":"10"},"uris":["http://www.mendeley.com/documents/?uuid=9124fd3f-a73f-4663-9302-6f70d776e02c"]}],"mendeley":{"formattedCitation":"(Baxter et al., 2000; Pears et al., 2003; Schoenbaum et al., 2009; Takahashi et al., 2009, 2011)","plainTextFormattedCitation":"(Baxter et al., 2000; Pears et al., 2003; Schoenbaum et al., 2009; Takahashi et al., 2009, 2011)","previouslyFormattedCitation":"(Baxter et al., 2000; Pears et al., 2003; Schoenbaum et al., 2009; Takahashi et al., 2009, 2011)"},"properties":{"noteIndex":0},"schema":"https://github.com/citation-style-language/schema/raw/master/csl-citation.json"}</w:instrText>
      </w:r>
      <w:r w:rsidR="00113618">
        <w:fldChar w:fldCharType="separate"/>
      </w:r>
      <w:r w:rsidR="00242371" w:rsidRPr="00242371">
        <w:rPr>
          <w:noProof/>
        </w:rPr>
        <w:t>(Baxter et al., 2000; Pears et al., 2003; Schoenbaum et al., 2009; Takahashi et al., 2009, 2011)</w:t>
      </w:r>
      <w:r w:rsidR="00113618">
        <w:fldChar w:fldCharType="end"/>
      </w:r>
      <w:r>
        <w:t xml:space="preserve">, then OFC lesions might </w:t>
      </w:r>
      <w:r w:rsidR="00F833D4">
        <w:t xml:space="preserve">consistently </w:t>
      </w:r>
      <w:r>
        <w:t>reduce</w:t>
      </w:r>
      <w:r w:rsidR="00F833D4">
        <w:t>/underestimate</w:t>
      </w:r>
      <w:r>
        <w:t xml:space="preserve"> the expected value of a cue which in turn would result in abnormally persistent prediction errors and enhanced learning. Therefore, disruption of OFC function should temporarily lower expected value, and enhance prediction errors and learning</w:t>
      </w:r>
      <w:r w:rsidR="00830B75">
        <w:t xml:space="preserve"> (for modelling of this prediction see </w:t>
      </w:r>
      <w:r w:rsidR="00830B75" w:rsidRPr="00506B43">
        <w:rPr>
          <w:highlight w:val="yellow"/>
        </w:rPr>
        <w:t>Figure 2-figure supplement 1</w:t>
      </w:r>
      <w:r w:rsidR="00830B75">
        <w:t>)</w:t>
      </w:r>
      <w:r>
        <w:t xml:space="preserve">. We tested this hypothesis by inactivating the OFC after first successfully acquiring cue-outcome learning i.e. when expected value is high and prediction errors are low. If the OFC carries some aspect of the learned expected value, then inactivation of the OFC should enhance prediction errors, and responding should increase to reflect new learning. Following this, returning </w:t>
      </w:r>
      <w:r>
        <w:lastRenderedPageBreak/>
        <w:t>function to the OFC should result in an over-expectation of the value of the outcome, and performance should decrease to reflect the extinction of this over-expectation. Importantly, while this account is couched in terms prediction-error learning mechanisms, the prediction remains true for any account of OFC lesions enhancing learning (</w:t>
      </w:r>
      <w:r w:rsidR="003C3F7A" w:rsidRPr="00506B43">
        <w:rPr>
          <w:highlight w:val="yellow"/>
        </w:rPr>
        <w:t>Figure 2-figure supplement 1</w:t>
      </w:r>
      <w:r>
        <w:t>).</w:t>
      </w:r>
    </w:p>
    <w:p w14:paraId="749710DE" w14:textId="77777777" w:rsidR="001F2701" w:rsidRDefault="001F2701" w:rsidP="001F2701">
      <w:pPr>
        <w:pStyle w:val="BodyText"/>
      </w:pPr>
      <w:r>
        <w:t>We tested this hypothesis by first training a new group of animals on the same simple Pavlovian task for 9 days, before implantation of bilateral cannulae targeting the OFC (</w:t>
      </w:r>
      <w:r w:rsidRPr="001F2701">
        <w:rPr>
          <w:highlight w:val="yellow"/>
        </w:rPr>
        <w:t>Figure 2A, Days 1-9</w:t>
      </w:r>
      <w:r>
        <w:t xml:space="preserve">; significant main effect of Day </w:t>
      </w:r>
      <m:oMath>
        <m:r>
          <w:rPr>
            <w:rFonts w:ascii="Cambria Math" w:hAnsi="Cambria Math"/>
          </w:rPr>
          <m:t>F(8,176)=25.42</m:t>
        </m:r>
      </m:oMath>
      <w:r>
        <w:t xml:space="preserve">, </w:t>
      </w:r>
      <m:oMath>
        <m:r>
          <w:rPr>
            <w:rFonts w:ascii="Cambria Math" w:hAnsi="Cambria Math"/>
          </w:rPr>
          <m:t>p&lt;.001</m:t>
        </m:r>
      </m:oMath>
      <w:r>
        <w:t xml:space="preserve">, but no main effect of Group </w:t>
      </w:r>
      <m:oMath>
        <m:r>
          <w:rPr>
            <w:rFonts w:ascii="Cambria Math" w:hAnsi="Cambria Math"/>
          </w:rPr>
          <m:t>F(1,22)=1.08</m:t>
        </m:r>
      </m:oMath>
      <w:r>
        <w:t xml:space="preserve">, </w:t>
      </w:r>
      <m:oMath>
        <m:r>
          <w:rPr>
            <w:rFonts w:ascii="Cambria Math" w:hAnsi="Cambria Math"/>
          </w:rPr>
          <m:t>p=.310</m:t>
        </m:r>
      </m:oMath>
      <w:r>
        <w:t xml:space="preserve">, or Group x Day interaction </w:t>
      </w:r>
      <m:oMath>
        <m:r>
          <w:rPr>
            <w:rFonts w:ascii="Cambria Math" w:hAnsi="Cambria Math"/>
          </w:rPr>
          <m:t>F(8,176)=0.54</m:t>
        </m:r>
      </m:oMath>
      <w:r>
        <w:t xml:space="preserve">, </w:t>
      </w:r>
      <m:oMath>
        <m:r>
          <w:rPr>
            <w:rFonts w:ascii="Cambria Math" w:hAnsi="Cambria Math"/>
          </w:rPr>
          <m:t>p=.825</m:t>
        </m:r>
      </m:oMath>
      <w:r>
        <w:t xml:space="preserve">). Following post-operative recovery (histology depicted in </w:t>
      </w:r>
      <w:r w:rsidRPr="001F2701">
        <w:rPr>
          <w:iCs/>
          <w:highlight w:val="yellow"/>
        </w:rPr>
        <w:t>Figure 2-figure supplement 2</w:t>
      </w:r>
      <w:r>
        <w:t>), and prior to infusion, response levels were similar in both groups (</w:t>
      </w:r>
      <w:r w:rsidRPr="00375DDA">
        <w:rPr>
          <w:highlight w:val="yellow"/>
        </w:rPr>
        <w:t>Figure 2A, Post;</w:t>
      </w:r>
      <w:r>
        <w:t xml:space="preserve"> no significant differences between Groups </w:t>
      </w:r>
      <m:oMath>
        <m:r>
          <w:rPr>
            <w:rFonts w:ascii="Cambria Math" w:hAnsi="Cambria Math"/>
          </w:rPr>
          <m:t>t(22)=-0.68</m:t>
        </m:r>
      </m:oMath>
      <w:r>
        <w:t xml:space="preserve">, </w:t>
      </w:r>
      <m:oMath>
        <m:r>
          <w:rPr>
            <w:rFonts w:ascii="Cambria Math" w:hAnsi="Cambria Math"/>
          </w:rPr>
          <m:t>p=.501</m:t>
        </m:r>
      </m:oMath>
      <w:r>
        <w:t>).</w:t>
      </w:r>
    </w:p>
    <w:p w14:paraId="626F075D" w14:textId="2A8444FB" w:rsidR="001F2701" w:rsidRDefault="001F2701" w:rsidP="001F2701">
      <w:pPr>
        <w:pStyle w:val="BodyText"/>
      </w:pPr>
      <w:r>
        <w:t>Contrary to our prediction, intra-OFC muscimol infusions disrupted</w:t>
      </w:r>
      <w:r w:rsidR="00A326C0">
        <w:t xml:space="preserve"> rather than enhanced</w:t>
      </w:r>
      <w:r>
        <w:t xml:space="preserve"> further acquisition of responding relative to the saline group (</w:t>
      </w:r>
      <w:r w:rsidRPr="001F2701">
        <w:rPr>
          <w:highlight w:val="yellow"/>
        </w:rPr>
        <w:t>Figure 2A, Infusion - Days 12-15</w:t>
      </w:r>
      <w:r>
        <w:t xml:space="preserve">; Significant Group x Day interaction </w:t>
      </w:r>
      <m:oMath>
        <m:r>
          <w:rPr>
            <w:rFonts w:ascii="Cambria Math" w:hAnsi="Cambria Math"/>
          </w:rPr>
          <m:t>F(3,66)=5.03</m:t>
        </m:r>
      </m:oMath>
      <w:r>
        <w:t xml:space="preserve">, </w:t>
      </w:r>
      <m:oMath>
        <m:r>
          <w:rPr>
            <w:rFonts w:ascii="Cambria Math" w:hAnsi="Cambria Math"/>
          </w:rPr>
          <m:t>p=.003</m:t>
        </m:r>
      </m:oMath>
      <w:r>
        <w:t xml:space="preserve">, but no main effect of Group </w:t>
      </w:r>
      <m:oMath>
        <m:r>
          <w:rPr>
            <w:rFonts w:ascii="Cambria Math" w:hAnsi="Cambria Math"/>
          </w:rPr>
          <m:t>F(1,22)=1.90</m:t>
        </m:r>
      </m:oMath>
      <w:r>
        <w:t xml:space="preserve">, </w:t>
      </w:r>
      <m:oMath>
        <m:r>
          <w:rPr>
            <w:rFonts w:ascii="Cambria Math" w:hAnsi="Cambria Math"/>
          </w:rPr>
          <m:t>p=.182</m:t>
        </m:r>
      </m:oMath>
      <w:r>
        <w:t xml:space="preserve">, or Day </w:t>
      </w:r>
      <m:oMath>
        <m:r>
          <w:rPr>
            <w:rFonts w:ascii="Cambria Math" w:hAnsi="Cambria Math"/>
          </w:rPr>
          <m:t>F(3,66)=0.32</m:t>
        </m:r>
      </m:oMath>
      <w:r>
        <w:t xml:space="preserve">, </w:t>
      </w:r>
      <m:oMath>
        <m:r>
          <w:rPr>
            <w:rFonts w:ascii="Cambria Math" w:hAnsi="Cambria Math"/>
          </w:rPr>
          <m:t>p=.809</m:t>
        </m:r>
      </m:oMath>
      <w:r>
        <w:t xml:space="preserve">). Simple effects revealed significantly greater responding in the saline group on the last 2 days of infusions (Muscimol vs Saline: Day 12 </w:t>
      </w:r>
      <m:oMath>
        <m:r>
          <w:rPr>
            <w:rFonts w:ascii="Cambria Math" w:hAnsi="Cambria Math"/>
          </w:rPr>
          <m:t>t(22)=0.67</m:t>
        </m:r>
      </m:oMath>
      <w:r>
        <w:t xml:space="preserve">, </w:t>
      </w:r>
      <m:oMath>
        <m:r>
          <w:rPr>
            <w:rFonts w:ascii="Cambria Math" w:hAnsi="Cambria Math"/>
          </w:rPr>
          <m:t>p=.508</m:t>
        </m:r>
      </m:oMath>
      <w:r>
        <w:t xml:space="preserve">, Day 13 </w:t>
      </w:r>
      <m:oMath>
        <m:r>
          <w:rPr>
            <w:rFonts w:ascii="Cambria Math" w:hAnsi="Cambria Math"/>
          </w:rPr>
          <m:t>t(22)=-1.03</m:t>
        </m:r>
      </m:oMath>
      <w:r>
        <w:t xml:space="preserve">, </w:t>
      </w:r>
      <m:oMath>
        <m:r>
          <w:rPr>
            <w:rFonts w:ascii="Cambria Math" w:hAnsi="Cambria Math"/>
          </w:rPr>
          <m:t>p=.315</m:t>
        </m:r>
      </m:oMath>
      <w:r>
        <w:t xml:space="preserve">, Day 14 </w:t>
      </w:r>
      <m:oMath>
        <m:r>
          <w:rPr>
            <w:rFonts w:ascii="Cambria Math" w:hAnsi="Cambria Math"/>
          </w:rPr>
          <m:t>t(22)=-2.79</m:t>
        </m:r>
      </m:oMath>
      <w:r>
        <w:t xml:space="preserve">, </w:t>
      </w:r>
      <m:oMath>
        <m:r>
          <w:rPr>
            <w:rFonts w:ascii="Cambria Math" w:hAnsi="Cambria Math"/>
          </w:rPr>
          <m:t>p=.011</m:t>
        </m:r>
      </m:oMath>
      <w:r>
        <w:t xml:space="preserve">, Day 15 </w:t>
      </w:r>
      <m:oMath>
        <m:r>
          <w:rPr>
            <w:rFonts w:ascii="Cambria Math" w:hAnsi="Cambria Math"/>
          </w:rPr>
          <m:t>t(22)=-2.08</m:t>
        </m:r>
      </m:oMath>
      <w:r>
        <w:t xml:space="preserve">, </w:t>
      </w:r>
      <m:oMath>
        <m:r>
          <w:rPr>
            <w:rFonts w:ascii="Cambria Math" w:hAnsi="Cambria Math"/>
          </w:rPr>
          <m:t>p=.049</m:t>
        </m:r>
      </m:oMath>
      <w:r>
        <w:t xml:space="preserve">). Furthermore, </w:t>
      </w:r>
      <w:r w:rsidR="00CA33E4">
        <w:t xml:space="preserve">the </w:t>
      </w:r>
      <w:r>
        <w:t xml:space="preserve">saline group increased responding across infusion days 12-15 (Saline: </w:t>
      </w:r>
      <w:r w:rsidR="00B20B27">
        <w:t xml:space="preserve">significant </w:t>
      </w:r>
      <w:r>
        <w:t xml:space="preserve">positive linear trend </w:t>
      </w:r>
      <m:oMath>
        <m:r>
          <w:rPr>
            <w:rFonts w:ascii="Cambria Math" w:hAnsi="Cambria Math"/>
          </w:rPr>
          <m:t>t(22)=2.79</m:t>
        </m:r>
      </m:oMath>
      <w:r>
        <w:t xml:space="preserve">, </w:t>
      </w:r>
      <m:oMath>
        <m:r>
          <w:rPr>
            <w:rFonts w:ascii="Cambria Math" w:hAnsi="Cambria Math"/>
          </w:rPr>
          <m:t>p=.011</m:t>
        </m:r>
      </m:oMath>
      <w:r>
        <w:t xml:space="preserve">), whereas the muscimol group did not (Muscimol: no significant linear trend </w:t>
      </w:r>
      <m:oMath>
        <m:r>
          <w:rPr>
            <w:rFonts w:ascii="Cambria Math" w:hAnsi="Cambria Math"/>
          </w:rPr>
          <m:t>t(22)=-1.57</m:t>
        </m:r>
      </m:oMath>
      <w:r>
        <w:t xml:space="preserve">, </w:t>
      </w:r>
      <m:oMath>
        <m:r>
          <w:rPr>
            <w:rFonts w:ascii="Cambria Math" w:hAnsi="Cambria Math"/>
          </w:rPr>
          <m:t>p=.131</m:t>
        </m:r>
      </m:oMath>
      <w:r>
        <w:t>). Therefore, post-training inactivation of the OFC impaired acquisition.</w:t>
      </w:r>
    </w:p>
    <w:p w14:paraId="587A5838" w14:textId="6CDD2934" w:rsidR="001F2701" w:rsidRDefault="001F2701" w:rsidP="001F2701">
      <w:pPr>
        <w:pStyle w:val="BodyText"/>
      </w:pPr>
      <w:r>
        <w:t>Post-infusion, with function returned to the OFC, the group differences observed under drug infusion were no longer apparent, and both groups continued to acquire responding at similar levels (</w:t>
      </w:r>
      <w:r w:rsidRPr="009A0B5F">
        <w:rPr>
          <w:highlight w:val="yellow"/>
        </w:rPr>
        <w:t>Figure 2A, Days 16-17;</w:t>
      </w:r>
      <w:r>
        <w:t xml:space="preserve"> significant main effect of Day </w:t>
      </w:r>
      <m:oMath>
        <m:r>
          <w:rPr>
            <w:rFonts w:ascii="Cambria Math" w:hAnsi="Cambria Math"/>
          </w:rPr>
          <m:t>F(1,22)=16.05</m:t>
        </m:r>
      </m:oMath>
      <w:r>
        <w:t xml:space="preserve">, </w:t>
      </w:r>
      <m:oMath>
        <m:r>
          <w:rPr>
            <w:rFonts w:ascii="Cambria Math" w:hAnsi="Cambria Math"/>
          </w:rPr>
          <m:t>p=.001</m:t>
        </m:r>
      </m:oMath>
      <w:r>
        <w:t xml:space="preserve">, but no main effect of Group </w:t>
      </w:r>
      <m:oMath>
        <m:r>
          <w:rPr>
            <w:rFonts w:ascii="Cambria Math" w:hAnsi="Cambria Math"/>
          </w:rPr>
          <m:t>F(1,22)=0.11</m:t>
        </m:r>
      </m:oMath>
      <w:r>
        <w:t xml:space="preserve">, </w:t>
      </w:r>
      <m:oMath>
        <m:r>
          <w:rPr>
            <w:rFonts w:ascii="Cambria Math" w:hAnsi="Cambria Math"/>
          </w:rPr>
          <m:t>p=.740</m:t>
        </m:r>
      </m:oMath>
      <w:r>
        <w:t xml:space="preserve">, or Group x Day interaction </w:t>
      </w:r>
      <m:oMath>
        <m:r>
          <w:rPr>
            <w:rFonts w:ascii="Cambria Math" w:hAnsi="Cambria Math"/>
          </w:rPr>
          <m:t>F(1,22)=0.21</m:t>
        </m:r>
      </m:oMath>
      <w:r>
        <w:t xml:space="preserve">, </w:t>
      </w:r>
      <m:oMath>
        <m:r>
          <w:rPr>
            <w:rFonts w:ascii="Cambria Math" w:hAnsi="Cambria Math"/>
          </w:rPr>
          <m:t>p=.649</m:t>
        </m:r>
      </m:oMath>
      <w:r>
        <w:t>). Therefore, the effect of OFC inactivation did not persist, which suggests that the</w:t>
      </w:r>
      <w:r w:rsidR="003E1FF2">
        <w:t xml:space="preserve"> disruption in acquisition</w:t>
      </w:r>
      <w:r w:rsidR="00852326">
        <w:t xml:space="preserve"> following OFC inactivation </w:t>
      </w:r>
      <w:r w:rsidR="00EA5CCE">
        <w:t>might not have</w:t>
      </w:r>
      <w:r w:rsidR="00852326">
        <w:t xml:space="preserve"> impair</w:t>
      </w:r>
      <w:r w:rsidR="00EA5CCE">
        <w:t>ed</w:t>
      </w:r>
      <w:r>
        <w:t xml:space="preserve"> learning </w:t>
      </w:r>
      <w:r>
        <w:rPr>
          <w:i/>
        </w:rPr>
        <w:t>per se</w:t>
      </w:r>
      <w:r>
        <w:t>.</w:t>
      </w:r>
    </w:p>
    <w:p w14:paraId="6750D01A" w14:textId="6C3E9440" w:rsidR="00543681" w:rsidRDefault="00CD1176" w:rsidP="00543681">
      <w:pPr>
        <w:pStyle w:val="BodyText"/>
      </w:pPr>
      <w:r>
        <w:rPr>
          <w:b/>
        </w:rPr>
        <w:t xml:space="preserve">Experiment 3: </w:t>
      </w:r>
      <w:r w:rsidR="00543681">
        <w:rPr>
          <w:b/>
        </w:rPr>
        <w:t>Post-Training OFC lesions</w:t>
      </w:r>
    </w:p>
    <w:p w14:paraId="224C60F8" w14:textId="043B4DC1" w:rsidR="00543681" w:rsidRDefault="00543681" w:rsidP="00543681">
      <w:pPr>
        <w:pStyle w:val="BodyText"/>
      </w:pPr>
      <w:r>
        <w:t xml:space="preserve">Next, we </w:t>
      </w:r>
      <w:r w:rsidR="007F10DB">
        <w:t>tested</w:t>
      </w:r>
      <w:r w:rsidR="00C065AD">
        <w:t xml:space="preserve"> post-training lesions to </w:t>
      </w:r>
      <w:r>
        <w:t xml:space="preserve">rule out the possibility that the differences between pre- and post-training OFC manipulations </w:t>
      </w:r>
      <w:r w:rsidR="00C22CE3">
        <w:t>were</w:t>
      </w:r>
      <w:r>
        <w:t xml:space="preserve"> simply due to differences in the method of manipulation i.e. excitotoxic lesions vs inactivation using a GABA-A agonist.</w:t>
      </w:r>
      <w:r w:rsidR="00C065AD">
        <w:t xml:space="preserve"> W</w:t>
      </w:r>
      <w:r>
        <w:t xml:space="preserve">e trained </w:t>
      </w:r>
      <w:r w:rsidR="00D14778">
        <w:t>a new</w:t>
      </w:r>
      <w:r>
        <w:t xml:space="preserve"> </w:t>
      </w:r>
      <w:r w:rsidR="00EB72EC">
        <w:t>cohort</w:t>
      </w:r>
      <w:r>
        <w:t xml:space="preserve"> of animals on this simple Pavlovian cue-outcome task for 9 days, and then performed post-training excitotoxic or sham OFC lesions before continuing with acquisition</w:t>
      </w:r>
      <w:r w:rsidR="001E271F">
        <w:t xml:space="preserve"> (lesion extent depicted in </w:t>
      </w:r>
      <w:r w:rsidR="001E271F" w:rsidRPr="00FF31DB">
        <w:rPr>
          <w:highlight w:val="yellow"/>
        </w:rPr>
        <w:t>Figure 2-figure supplement 3</w:t>
      </w:r>
      <w:r w:rsidR="001E271F">
        <w:t>)</w:t>
      </w:r>
      <w:r>
        <w:t>. Prior to surgery, animals acquired responding to the cue (</w:t>
      </w:r>
      <w:r w:rsidRPr="005F0261">
        <w:rPr>
          <w:highlight w:val="yellow"/>
        </w:rPr>
        <w:t>Figure 2B, Pre-Surgery</w:t>
      </w:r>
      <w:r>
        <w:t xml:space="preserve">; significant main effect of Block </w:t>
      </w:r>
      <m:oMath>
        <m:r>
          <w:rPr>
            <w:rFonts w:ascii="Cambria Math" w:hAnsi="Cambria Math"/>
          </w:rPr>
          <m:t>F(2,38)=61.98</m:t>
        </m:r>
      </m:oMath>
      <w:r>
        <w:t xml:space="preserve">, </w:t>
      </w:r>
      <m:oMath>
        <m:r>
          <w:rPr>
            <w:rFonts w:ascii="Cambria Math" w:hAnsi="Cambria Math"/>
          </w:rPr>
          <m:t>p&lt;.001</m:t>
        </m:r>
      </m:oMath>
      <w:r>
        <w:t xml:space="preserve">, but no main effect of Group </w:t>
      </w:r>
      <m:oMath>
        <m:r>
          <w:rPr>
            <w:rFonts w:ascii="Cambria Math" w:hAnsi="Cambria Math"/>
          </w:rPr>
          <m:t>F(1,19)=0.49</m:t>
        </m:r>
      </m:oMath>
      <w:r>
        <w:t xml:space="preserve">, </w:t>
      </w:r>
      <m:oMath>
        <m:r>
          <w:rPr>
            <w:rFonts w:ascii="Cambria Math" w:hAnsi="Cambria Math"/>
          </w:rPr>
          <m:t>p=.492</m:t>
        </m:r>
      </m:oMath>
      <w:r>
        <w:t xml:space="preserve">, or Group x Block interaction </w:t>
      </w:r>
      <m:oMath>
        <m:r>
          <w:rPr>
            <w:rFonts w:ascii="Cambria Math" w:hAnsi="Cambria Math"/>
          </w:rPr>
          <m:t>F(2,38)=0.31</m:t>
        </m:r>
      </m:oMath>
      <w:r>
        <w:t xml:space="preserve">, </w:t>
      </w:r>
      <m:oMath>
        <m:r>
          <w:rPr>
            <w:rFonts w:ascii="Cambria Math" w:hAnsi="Cambria Math"/>
          </w:rPr>
          <m:t>p=.738</m:t>
        </m:r>
      </m:oMath>
      <w:r>
        <w:t>). After surgery, the sham group continued to acquire responding, but the lesion group did not (</w:t>
      </w:r>
      <w:r w:rsidRPr="005F0261">
        <w:rPr>
          <w:highlight w:val="yellow"/>
        </w:rPr>
        <w:t>Figure 2B, Post-Surgery;</w:t>
      </w:r>
      <w:r>
        <w:t xml:space="preserve"> significant Group x Block interaction </w:t>
      </w:r>
      <m:oMath>
        <m:r>
          <w:rPr>
            <w:rFonts w:ascii="Cambria Math" w:hAnsi="Cambria Math"/>
          </w:rPr>
          <m:t>F(2,38)=6.25</m:t>
        </m:r>
      </m:oMath>
      <w:r>
        <w:t xml:space="preserve">, </w:t>
      </w:r>
      <m:oMath>
        <m:r>
          <w:rPr>
            <w:rFonts w:ascii="Cambria Math" w:hAnsi="Cambria Math"/>
          </w:rPr>
          <m:t>p=.005</m:t>
        </m:r>
      </m:oMath>
      <w:r>
        <w:t xml:space="preserve"> , but no main effect of Group </w:t>
      </w:r>
      <m:oMath>
        <m:r>
          <w:rPr>
            <w:rFonts w:ascii="Cambria Math" w:hAnsi="Cambria Math"/>
          </w:rPr>
          <m:t>F(1,19)=2.21</m:t>
        </m:r>
      </m:oMath>
      <w:r>
        <w:t xml:space="preserve">, </w:t>
      </w:r>
      <m:oMath>
        <m:r>
          <w:rPr>
            <w:rFonts w:ascii="Cambria Math" w:hAnsi="Cambria Math"/>
          </w:rPr>
          <m:t>p=.154</m:t>
        </m:r>
      </m:oMath>
      <w:r>
        <w:t xml:space="preserve">, or Day </w:t>
      </w:r>
      <m:oMath>
        <m:r>
          <w:rPr>
            <w:rFonts w:ascii="Cambria Math" w:hAnsi="Cambria Math"/>
          </w:rPr>
          <m:t>F(2,38)=0.66</m:t>
        </m:r>
      </m:oMath>
      <w:r>
        <w:t xml:space="preserve">, </w:t>
      </w:r>
      <m:oMath>
        <m:r>
          <w:rPr>
            <w:rFonts w:ascii="Cambria Math" w:hAnsi="Cambria Math"/>
          </w:rPr>
          <m:t>p=.525</m:t>
        </m:r>
      </m:oMath>
      <w:r>
        <w:t xml:space="preserve">). Responding in the sham control group was significantly higher than the lesion group in the final block of 3 days (Block 4 </w:t>
      </w:r>
      <m:oMath>
        <m:r>
          <w:rPr>
            <w:rFonts w:ascii="Cambria Math" w:hAnsi="Cambria Math"/>
          </w:rPr>
          <m:t>t(19)=-0.25</m:t>
        </m:r>
      </m:oMath>
      <w:r>
        <w:t xml:space="preserve">, </w:t>
      </w:r>
      <m:oMath>
        <m:r>
          <w:rPr>
            <w:rFonts w:ascii="Cambria Math" w:hAnsi="Cambria Math"/>
          </w:rPr>
          <m:t>p=.806</m:t>
        </m:r>
      </m:oMath>
      <w:r>
        <w:t xml:space="preserve">, Block 5 </w:t>
      </w:r>
      <m:oMath>
        <m:r>
          <w:rPr>
            <w:rFonts w:ascii="Cambria Math" w:hAnsi="Cambria Math"/>
          </w:rPr>
          <m:t>t(19)=-0.80</m:t>
        </m:r>
      </m:oMath>
      <w:r>
        <w:t xml:space="preserve">, </w:t>
      </w:r>
      <m:oMath>
        <m:r>
          <w:rPr>
            <w:rFonts w:ascii="Cambria Math" w:hAnsi="Cambria Math"/>
          </w:rPr>
          <m:t>p=.434</m:t>
        </m:r>
      </m:oMath>
      <w:r>
        <w:t xml:space="preserve">, </w:t>
      </w:r>
      <w:r>
        <w:lastRenderedPageBreak/>
        <w:t xml:space="preserve">Block 6 </w:t>
      </w:r>
      <m:oMath>
        <m:r>
          <w:rPr>
            <w:rFonts w:ascii="Cambria Math" w:hAnsi="Cambria Math"/>
          </w:rPr>
          <m:t>t(19)=-2.65</m:t>
        </m:r>
      </m:oMath>
      <w:r>
        <w:t xml:space="preserve">, </w:t>
      </w:r>
      <m:oMath>
        <m:r>
          <w:rPr>
            <w:rFonts w:ascii="Cambria Math" w:hAnsi="Cambria Math"/>
          </w:rPr>
          <m:t>p=.016</m:t>
        </m:r>
      </m:oMath>
      <w:r>
        <w:t xml:space="preserve">). Furthermore, further acquisition post-surgery was completely abolished in the lesion group (Lesion: no linear trend over Blocks 4-6 </w:t>
      </w:r>
      <m:oMath>
        <m:r>
          <w:rPr>
            <w:rFonts w:ascii="Cambria Math" w:hAnsi="Cambria Math"/>
          </w:rPr>
          <m:t>t(19)=-1.42</m:t>
        </m:r>
      </m:oMath>
      <w:r>
        <w:t xml:space="preserve">, </w:t>
      </w:r>
      <m:oMath>
        <m:r>
          <w:rPr>
            <w:rFonts w:ascii="Cambria Math" w:hAnsi="Cambria Math"/>
          </w:rPr>
          <m:t>p=.172</m:t>
        </m:r>
      </m:oMath>
      <w:r>
        <w:t xml:space="preserve">), but continued in the sham control group (Sham: significant positive linear trend over Blocks 4-6 </w:t>
      </w:r>
      <m:oMath>
        <m:r>
          <w:rPr>
            <w:rFonts w:ascii="Cambria Math" w:hAnsi="Cambria Math"/>
          </w:rPr>
          <m:t>t(19)=2.93</m:t>
        </m:r>
      </m:oMath>
      <w:r>
        <w:t xml:space="preserve">, </w:t>
      </w:r>
      <m:oMath>
        <m:r>
          <w:rPr>
            <w:rFonts w:ascii="Cambria Math" w:hAnsi="Cambria Math"/>
          </w:rPr>
          <m:t>p=.009</m:t>
        </m:r>
      </m:oMath>
      <w:r>
        <w:t xml:space="preserve">. Therefore, both post-training lesions and inactivation of OFC function </w:t>
      </w:r>
      <w:r w:rsidR="00D4686A">
        <w:t>disrupted</w:t>
      </w:r>
      <w:r>
        <w:t xml:space="preserve"> Pavlovian acquisition.</w:t>
      </w:r>
    </w:p>
    <w:p w14:paraId="6730D6AB" w14:textId="3ACA4647" w:rsidR="00543681" w:rsidRDefault="00543681" w:rsidP="00543681">
      <w:pPr>
        <w:pStyle w:val="BodyText"/>
      </w:pPr>
      <w:r>
        <w:t>To facilitate comparisons between experiments, CS-PreCS response rates on Block 6</w:t>
      </w:r>
      <w:r w:rsidR="003253A6">
        <w:t xml:space="preserve"> in the present experiment</w:t>
      </w:r>
      <w:r>
        <w:t xml:space="preserve"> were </w:t>
      </w:r>
      <w:r w:rsidR="00FA6FF0">
        <w:t>S</w:t>
      </w:r>
      <w:r>
        <w:t>ham</w:t>
      </w:r>
      <w:r w:rsidR="00FA6FF0">
        <w:t>:</w:t>
      </w:r>
      <w:r>
        <w:t xml:space="preserve"> M = 9.61, SD = 3.88,</w:t>
      </w:r>
      <w:r w:rsidR="00FA6FF0">
        <w:t xml:space="preserve"> L</w:t>
      </w:r>
      <w:r>
        <w:t>esion</w:t>
      </w:r>
      <w:r w:rsidR="00FA6FF0">
        <w:t>:</w:t>
      </w:r>
      <w:r>
        <w:t xml:space="preserve"> M = 7.18, SD = 1.74 (</w:t>
      </w:r>
      <w:r w:rsidRPr="00FA6FF0">
        <w:rPr>
          <w:highlight w:val="yellow"/>
        </w:rPr>
        <w:t>Figure 2B)</w:t>
      </w:r>
      <w:r>
        <w:t xml:space="preserve">. The terminal levels of responding in the sham group are similar to those of the saline group in </w:t>
      </w:r>
      <w:r w:rsidRPr="00FF1F3F">
        <w:rPr>
          <w:highlight w:val="yellow"/>
        </w:rPr>
        <w:t>Figure 2A</w:t>
      </w:r>
      <w:r>
        <w:t xml:space="preserve">, and the sham group in </w:t>
      </w:r>
      <w:r w:rsidRPr="00FF1F3F">
        <w:rPr>
          <w:highlight w:val="yellow"/>
        </w:rPr>
        <w:t>Figure 1A</w:t>
      </w:r>
      <w:r>
        <w:t xml:space="preserve"> which used identical session parameters. This suggests that the present findings are</w:t>
      </w:r>
      <w:r w:rsidR="00185761">
        <w:t xml:space="preserve"> also</w:t>
      </w:r>
      <w:r>
        <w:t xml:space="preserve"> unlikely to be due to abnormally elevated levels of responding in the </w:t>
      </w:r>
      <w:r w:rsidR="00F62EA8">
        <w:t xml:space="preserve">control </w:t>
      </w:r>
      <w:r>
        <w:t>group</w:t>
      </w:r>
      <w:r w:rsidR="00F62EA8">
        <w:t>s</w:t>
      </w:r>
      <w:r>
        <w:t xml:space="preserve"> in </w:t>
      </w:r>
      <w:r w:rsidR="00F62EA8">
        <w:t xml:space="preserve">any one of </w:t>
      </w:r>
      <w:r w:rsidR="00C150B3">
        <w:t>these experiments</w:t>
      </w:r>
      <w:r>
        <w:t>.</w:t>
      </w:r>
    </w:p>
    <w:p w14:paraId="0524BEC2" w14:textId="36C92E6A" w:rsidR="00F52D07" w:rsidRDefault="004779A5" w:rsidP="00F52D07">
      <w:pPr>
        <w:pStyle w:val="BodyText"/>
      </w:pPr>
      <w:r>
        <w:rPr>
          <w:b/>
        </w:rPr>
        <w:t xml:space="preserve">Experiment 4: </w:t>
      </w:r>
      <w:r w:rsidR="00F52D07">
        <w:rPr>
          <w:b/>
        </w:rPr>
        <w:t>OFC inactivation early in acquisition</w:t>
      </w:r>
    </w:p>
    <w:p w14:paraId="6DB6CD99" w14:textId="655D6150" w:rsidR="00F52D07" w:rsidRDefault="00F52D07" w:rsidP="00F52D07">
      <w:pPr>
        <w:pStyle w:val="BodyText"/>
      </w:pPr>
      <w:r>
        <w:t xml:space="preserve">The </w:t>
      </w:r>
      <w:r w:rsidR="0078157E">
        <w:t>findings</w:t>
      </w:r>
      <w:r w:rsidR="009D1CF6">
        <w:t xml:space="preserve"> presented</w:t>
      </w:r>
      <w:r>
        <w:t xml:space="preserve"> </w:t>
      </w:r>
      <w:r w:rsidR="00185761">
        <w:t>thus</w:t>
      </w:r>
      <w:r>
        <w:t xml:space="preserve"> far suggest that OFC inactivation temporarily suppressed </w:t>
      </w:r>
      <w:r w:rsidR="0078157E">
        <w:t xml:space="preserve">acquisition </w:t>
      </w:r>
      <w:r>
        <w:t>performance, but not learning</w:t>
      </w:r>
      <w:r w:rsidR="00C15920">
        <w:t>. However,</w:t>
      </w:r>
      <w:r>
        <w:t xml:space="preserve"> it is also possible that the </w:t>
      </w:r>
      <w:r w:rsidR="00C15920">
        <w:t>protocol</w:t>
      </w:r>
      <w:r>
        <w:t xml:space="preserve"> </w:t>
      </w:r>
      <w:r w:rsidR="00C15920">
        <w:t>is</w:t>
      </w:r>
      <w:r>
        <w:t xml:space="preserve"> not sensitive enough to observe a learning deficit. For example, rates of responding were still quite high during muscimol inactivation (</w:t>
      </w:r>
      <w:r w:rsidRPr="00F7235B">
        <w:rPr>
          <w:highlight w:val="yellow"/>
        </w:rPr>
        <w:t>Figure 2A, days 12-15</w:t>
      </w:r>
      <w:r>
        <w:t>) and the subsequent recovery of responding (</w:t>
      </w:r>
      <w:r w:rsidRPr="00F7235B">
        <w:rPr>
          <w:highlight w:val="yellow"/>
        </w:rPr>
        <w:t>Figure 2A, days 16-17</w:t>
      </w:r>
      <w:r>
        <w:t>) could reflect rapid within-session learning in the muscimol group. Therefore, we tested the effect of OFC inactivation much earlier in the learning process, after only 4 days of acquisition (</w:t>
      </w:r>
      <w:r w:rsidRPr="00F7235B">
        <w:rPr>
          <w:highlight w:val="yellow"/>
        </w:rPr>
        <w:t>Figure 2C</w:t>
      </w:r>
      <w:r>
        <w:t>)</w:t>
      </w:r>
      <w:r w:rsidR="00875ED3">
        <w:t xml:space="preserve"> when differences in learning </w:t>
      </w:r>
      <w:r w:rsidR="00A9040B">
        <w:t>should have greater impact</w:t>
      </w:r>
      <w:r>
        <w:t>. A new set of animals was implanted with bilateral cannulae (</w:t>
      </w:r>
      <w:r w:rsidRPr="00A9040B">
        <w:rPr>
          <w:highlight w:val="yellow"/>
        </w:rPr>
        <w:t>Figure 2-figure supplement 4</w:t>
      </w:r>
      <w:r>
        <w:t>) and then trained on a simple Pavlovian cue-outcome task (CS was a 10s house light).</w:t>
      </w:r>
    </w:p>
    <w:p w14:paraId="18FA5E78" w14:textId="18FFD676" w:rsidR="00F52D07" w:rsidRDefault="00F52D07" w:rsidP="00F52D07">
      <w:pPr>
        <w:pStyle w:val="BodyText"/>
      </w:pPr>
      <w:r>
        <w:t xml:space="preserve">Prior to drug infusions, all animals acquired responding to the cue </w:t>
      </w:r>
      <w:r w:rsidR="00504A92">
        <w:t>(</w:t>
      </w:r>
      <w:r>
        <w:t xml:space="preserve">Figure 2C, Days 1-4; Significant main effect of Day </w:t>
      </w:r>
      <m:oMath>
        <m:r>
          <w:rPr>
            <w:rFonts w:ascii="Cambria Math" w:hAnsi="Cambria Math"/>
          </w:rPr>
          <m:t>F(3,39)=9.42</m:t>
        </m:r>
      </m:oMath>
      <w:r>
        <w:t xml:space="preserve">, </w:t>
      </w:r>
      <m:oMath>
        <m:r>
          <w:rPr>
            <w:rFonts w:ascii="Cambria Math" w:hAnsi="Cambria Math"/>
          </w:rPr>
          <m:t>p&lt;.001</m:t>
        </m:r>
      </m:oMath>
      <w:r>
        <w:t xml:space="preserve">, but no main effect of Group , or Group x Day interaction </w:t>
      </w:r>
      <m:oMath>
        <m:r>
          <w:rPr>
            <w:rFonts w:ascii="Cambria Math" w:hAnsi="Cambria Math"/>
          </w:rPr>
          <m:t>F(3,39)=0.30</m:t>
        </m:r>
      </m:oMath>
      <w:r>
        <w:t xml:space="preserve">, </w:t>
      </w:r>
      <m:oMath>
        <m:r>
          <w:rPr>
            <w:rFonts w:ascii="Cambria Math" w:hAnsi="Cambria Math"/>
          </w:rPr>
          <m:t>p=.826</m:t>
        </m:r>
      </m:oMath>
      <w:r>
        <w:t xml:space="preserve">). However, </w:t>
      </w:r>
      <w:r w:rsidR="00504A92">
        <w:t>OFC inactivation</w:t>
      </w:r>
      <w:r>
        <w:t xml:space="preserve"> during the next 5 days of conditioning significantly impaired acquisition in the muscimol group (</w:t>
      </w:r>
      <w:r w:rsidRPr="00504A92">
        <w:rPr>
          <w:highlight w:val="yellow"/>
        </w:rPr>
        <w:t>Figure 2C, Days 5-9</w:t>
      </w:r>
      <w:r>
        <w:t xml:space="preserve">; Significant main effect of Group </w:t>
      </w:r>
      <m:oMath>
        <m:r>
          <w:rPr>
            <w:rFonts w:ascii="Cambria Math" w:hAnsi="Cambria Math"/>
          </w:rPr>
          <m:t>F(1,13)=12.57</m:t>
        </m:r>
      </m:oMath>
      <w:r>
        <w:t xml:space="preserve">, </w:t>
      </w:r>
      <m:oMath>
        <m:r>
          <w:rPr>
            <w:rFonts w:ascii="Cambria Math" w:hAnsi="Cambria Math"/>
          </w:rPr>
          <m:t>p=.004</m:t>
        </m:r>
      </m:oMath>
      <w:r>
        <w:t xml:space="preserve">, Day </w:t>
      </w:r>
      <m:oMath>
        <m:r>
          <w:rPr>
            <w:rFonts w:ascii="Cambria Math" w:hAnsi="Cambria Math"/>
          </w:rPr>
          <m:t>F(4,52)=7.72</m:t>
        </m:r>
      </m:oMath>
      <w:r>
        <w:t xml:space="preserve">, </w:t>
      </w:r>
      <m:oMath>
        <m:r>
          <w:rPr>
            <w:rFonts w:ascii="Cambria Math" w:hAnsi="Cambria Math"/>
          </w:rPr>
          <m:t>p&lt;.001</m:t>
        </m:r>
      </m:oMath>
      <w:r>
        <w:t xml:space="preserve">, and Group x Day interaction </w:t>
      </w:r>
      <m:oMath>
        <m:r>
          <w:rPr>
            <w:rFonts w:ascii="Cambria Math" w:hAnsi="Cambria Math"/>
          </w:rPr>
          <m:t>F(4,52)=3.05</m:t>
        </m:r>
      </m:oMath>
      <w:r>
        <w:t xml:space="preserve">, </w:t>
      </w:r>
      <m:oMath>
        <m:r>
          <w:rPr>
            <w:rFonts w:ascii="Cambria Math" w:hAnsi="Cambria Math"/>
          </w:rPr>
          <m:t>p=.025</m:t>
        </m:r>
      </m:oMath>
      <w:r>
        <w:t xml:space="preserve">). Responding in the muscimol group was significantly lower than the saline group on days 7-9 (Muscimol vs Saline: Day 5 </w:t>
      </w:r>
      <m:oMath>
        <m:r>
          <w:rPr>
            <w:rFonts w:ascii="Cambria Math" w:hAnsi="Cambria Math"/>
          </w:rPr>
          <m:t>t(13)=-1.85</m:t>
        </m:r>
      </m:oMath>
      <w:r>
        <w:t xml:space="preserve">, </w:t>
      </w:r>
      <m:oMath>
        <m:r>
          <w:rPr>
            <w:rFonts w:ascii="Cambria Math" w:hAnsi="Cambria Math"/>
          </w:rPr>
          <m:t>p=.087</m:t>
        </m:r>
      </m:oMath>
      <w:r>
        <w:t xml:space="preserve">, Day 6 </w:t>
      </w:r>
      <m:oMath>
        <m:r>
          <w:rPr>
            <w:rFonts w:ascii="Cambria Math" w:hAnsi="Cambria Math"/>
          </w:rPr>
          <m:t>t(13)=-2.10</m:t>
        </m:r>
      </m:oMath>
      <w:r>
        <w:t xml:space="preserve">, </w:t>
      </w:r>
      <m:oMath>
        <m:r>
          <w:rPr>
            <w:rFonts w:ascii="Cambria Math" w:hAnsi="Cambria Math"/>
          </w:rPr>
          <m:t>p=.056</m:t>
        </m:r>
      </m:oMath>
      <w:r>
        <w:t xml:space="preserve">, Day 7 </w:t>
      </w:r>
      <m:oMath>
        <m:r>
          <w:rPr>
            <w:rFonts w:ascii="Cambria Math" w:hAnsi="Cambria Math"/>
          </w:rPr>
          <m:t>t(13)=-3.77</m:t>
        </m:r>
      </m:oMath>
      <w:r>
        <w:t xml:space="preserve">, </w:t>
      </w:r>
      <m:oMath>
        <m:r>
          <w:rPr>
            <w:rFonts w:ascii="Cambria Math" w:hAnsi="Cambria Math"/>
          </w:rPr>
          <m:t>p=.002</m:t>
        </m:r>
      </m:oMath>
      <w:r>
        <w:t xml:space="preserve">, Day 8 </w:t>
      </w:r>
      <m:oMath>
        <m:r>
          <w:rPr>
            <w:rFonts w:ascii="Cambria Math" w:hAnsi="Cambria Math"/>
          </w:rPr>
          <m:t>t(13)=-4.17</m:t>
        </m:r>
      </m:oMath>
      <w:r>
        <w:t xml:space="preserve">, </w:t>
      </w:r>
      <m:oMath>
        <m:r>
          <w:rPr>
            <w:rFonts w:ascii="Cambria Math" w:hAnsi="Cambria Math"/>
          </w:rPr>
          <m:t>p=.001</m:t>
        </m:r>
      </m:oMath>
      <w:r>
        <w:t xml:space="preserve">, Day 9 </w:t>
      </w:r>
      <m:oMath>
        <m:r>
          <w:rPr>
            <w:rFonts w:ascii="Cambria Math" w:hAnsi="Cambria Math"/>
          </w:rPr>
          <m:t>t(13)=-3.80</m:t>
        </m:r>
      </m:oMath>
      <w:r>
        <w:t xml:space="preserve">, </w:t>
      </w:r>
      <m:oMath>
        <m:r>
          <w:rPr>
            <w:rFonts w:ascii="Cambria Math" w:hAnsi="Cambria Math"/>
          </w:rPr>
          <m:t>p=.002</m:t>
        </m:r>
      </m:oMath>
      <w:r>
        <w:t xml:space="preserve">). Again, this deficit was characterised by significant acquisition over days in the saline group that was abolished in the muscimol group (positive linear trend over days 5-9; Saline </w:t>
      </w:r>
      <m:oMath>
        <m:r>
          <w:rPr>
            <w:rFonts w:ascii="Cambria Math" w:hAnsi="Cambria Math"/>
          </w:rPr>
          <m:t>t(13)=6.59</m:t>
        </m:r>
      </m:oMath>
      <w:r>
        <w:t xml:space="preserve">, </w:t>
      </w:r>
      <m:oMath>
        <m:r>
          <w:rPr>
            <w:rFonts w:ascii="Cambria Math" w:hAnsi="Cambria Math"/>
          </w:rPr>
          <m:t>p&lt;.001</m:t>
        </m:r>
      </m:oMath>
      <w:r>
        <w:t xml:space="preserve">, Muscimol </w:t>
      </w:r>
      <m:oMath>
        <m:r>
          <w:rPr>
            <w:rFonts w:ascii="Cambria Math" w:hAnsi="Cambria Math"/>
          </w:rPr>
          <m:t>t(13)=1.45</m:t>
        </m:r>
      </m:oMath>
      <w:r>
        <w:t xml:space="preserve">, </w:t>
      </w:r>
      <m:oMath>
        <m:r>
          <w:rPr>
            <w:rFonts w:ascii="Cambria Math" w:hAnsi="Cambria Math"/>
          </w:rPr>
          <m:t>p=.171</m:t>
        </m:r>
      </m:oMath>
      <w:r>
        <w:t>).</w:t>
      </w:r>
      <w:r w:rsidR="00AD1614">
        <w:t xml:space="preserve"> Finally, t</w:t>
      </w:r>
      <w:r>
        <w:t>his reduction in responding persisted on day 10 when all rats were tested without infusion (</w:t>
      </w:r>
      <w:r w:rsidRPr="003E2123">
        <w:rPr>
          <w:highlight w:val="yellow"/>
        </w:rPr>
        <w:t>Figure 2C, Day 10;</w:t>
      </w:r>
      <w:r>
        <w:t xml:space="preserve"> </w:t>
      </w:r>
      <m:oMath>
        <m:r>
          <w:rPr>
            <w:rFonts w:ascii="Cambria Math" w:hAnsi="Cambria Math"/>
          </w:rPr>
          <m:t>t(12.14)=3.88</m:t>
        </m:r>
      </m:oMath>
      <w:r>
        <w:t xml:space="preserve">, </w:t>
      </w:r>
      <m:oMath>
        <m:r>
          <w:rPr>
            <w:rFonts w:ascii="Cambria Math" w:hAnsi="Cambria Math"/>
          </w:rPr>
          <m:t>p=.002</m:t>
        </m:r>
      </m:oMath>
      <w:r>
        <w:t>). In contrast to OFC inactivation later in acquisition (</w:t>
      </w:r>
      <w:r w:rsidRPr="003E2123">
        <w:rPr>
          <w:highlight w:val="yellow"/>
        </w:rPr>
        <w:t>Figure 2A</w:t>
      </w:r>
      <w:r>
        <w:t xml:space="preserve">), disrupting OFC activity early in learning suppressed performance which persisted when the OFC </w:t>
      </w:r>
      <w:r w:rsidR="0016431B">
        <w:t>wa</w:t>
      </w:r>
      <w:r>
        <w:t>s active again. Th</w:t>
      </w:r>
      <w:r w:rsidR="00433884">
        <w:t>ese findings</w:t>
      </w:r>
      <w:r>
        <w:t xml:space="preserve"> suggest that OFC inactivation </w:t>
      </w:r>
      <w:r w:rsidR="001A6C50">
        <w:t xml:space="preserve">early in training </w:t>
      </w:r>
      <w:r>
        <w:t>disrupted acquisition learning rather than just behavioural performance.</w:t>
      </w:r>
    </w:p>
    <w:p w14:paraId="319BC886" w14:textId="4B1B9F48" w:rsidR="00027A91" w:rsidRDefault="004779A5" w:rsidP="00027A91">
      <w:pPr>
        <w:pStyle w:val="BodyText"/>
      </w:pPr>
      <w:r>
        <w:rPr>
          <w:b/>
        </w:rPr>
        <w:t xml:space="preserve">Experiment 5: </w:t>
      </w:r>
      <w:r w:rsidR="00027A91">
        <w:rPr>
          <w:b/>
        </w:rPr>
        <w:t>OFC inactivation prior to associative blocking</w:t>
      </w:r>
    </w:p>
    <w:p w14:paraId="5294AAD3" w14:textId="41838763" w:rsidR="00B95E73" w:rsidRDefault="00B95E73" w:rsidP="00B95E73">
      <w:pPr>
        <w:pStyle w:val="BodyText"/>
      </w:pPr>
      <w:r>
        <w:lastRenderedPageBreak/>
        <w:t>OFC inactivation during acquisition suppresse</w:t>
      </w:r>
      <w:r w:rsidR="00385F55">
        <w:t>d</w:t>
      </w:r>
      <w:r>
        <w:t xml:space="preserve"> cue responding, but it is unclear if this reduction in behaviour is due to suppression of learning (</w:t>
      </w:r>
      <w:r w:rsidRPr="00333D7D">
        <w:rPr>
          <w:highlight w:val="yellow"/>
        </w:rPr>
        <w:t>Figure 2</w:t>
      </w:r>
      <w:r w:rsidR="00126EED">
        <w:t>C</w:t>
      </w:r>
      <w:r>
        <w:t>) or behavioural performance (</w:t>
      </w:r>
      <w:r w:rsidRPr="00333D7D">
        <w:rPr>
          <w:highlight w:val="yellow"/>
        </w:rPr>
        <w:t>Figure 2</w:t>
      </w:r>
      <w:r w:rsidR="00126EED">
        <w:t>A</w:t>
      </w:r>
      <w:r>
        <w:t xml:space="preserve">). This ambiguity is predominantly driven by the assumption that an animal’s response levels </w:t>
      </w:r>
      <w:r w:rsidR="00CE269D">
        <w:t>represent</w:t>
      </w:r>
      <w:r>
        <w:t xml:space="preserve"> some monotonic function of acquired learning </w:t>
      </w:r>
      <w:r>
        <w:fldChar w:fldCharType="begin" w:fldLock="1"/>
      </w:r>
      <w:r w:rsidR="00F125AC">
        <w:instrText>ADDIN CSL_CITATION {"citationItems":[{"id":"ITEM-1","itemData":{"author":[{"dropping-particle":"","family":"Wagner","given":"A R","non-dropping-particle":"","parse-names":false,"suffix":""}],"container-title":"Information processing in animals: Memory mechanisms","editor":[{"dropping-particle":"","family":"Spear","given":"N E","non-dropping-particle":"","parse-names":false,"suffix":""}],"id":"ITEM-1","issued":{"date-parts":[["1981"]]},"page":"5-47","publisher":"Erlbaum","publisher-place":"Hillsdale, NJ","title":"SOP: A model of automatic memory processing in animal behavior","type":"chapter"},"uris":["http://www.mendeley.com/documents/?uuid=3b93c8db-647e-4c44-9a69-f058eda6b653"]},{"id":"ITEM-2","itemData":{"author":[{"dropping-particle":"","family":"Sutton","given":"R S","non-dropping-particle":"","parse-names":false,"suffix":""},{"dropping-particle":"","family":"Barto","given":"A G","non-dropping-particle":"","parse-names":false,"suffix":""}],"id":"ITEM-2","issued":{"date-parts":[["1998"]]},"publisher":"The MIT Press","publisher-place":"Cambridge, Massachusetts","title":"Reinforccement Learning: An introduction","type":"book"},"uris":["http://www.mendeley.com/documents/?uuid=1956114d-255e-443a-88aa-46006f3584cb"]},{"id":"ITEM-3","itemData":{"DOI":"10.1037/h0076778","author":[{"dropping-particle":"","family":"Mackintosh","given":"N J","non-dropping-particle":"","parse-names":false,"suffix":""}],"container-title":"Psychol Rev","id":"ITEM-3","issue":"4","issued":{"date-parts":[["1975"]]},"page":"279-298","title":"A theory of attention: Variations in the associability of stimuli with reinforcement","type":"article-journal","volume":"82"},"uris":["http://www.mendeley.com/documents/?uuid=ad2071d9-ff93-481e-8cbb-9d2eadc2806e"]},{"id":"ITEM-4","itemData":{"ISBN":"0033-295X (Print)\r0033-295X (Linking)","PMID":"7443916","author":[{"dropping-particle":"","family":"Pearce","given":"J M","non-dropping-particle":"","parse-names":false,"suffix":""},{"dropping-particle":"","family":"Hall","given":"G","non-dropping-particle":"","parse-names":false,"suffix":""}],"container-title":"Psychol Rev","id":"ITEM-4","issue":"6","issued":{"date-parts":[["1980"]]},"page":"532-552","title":"A model for Pavlovian learning: variations in the effectiveness of conditioned but not of unconditioned stimuli","type":"article-journal","volume":"87"},"uris":["http://www.mendeley.com/documents/?uuid=630e1394-4cb5-41e3-b44d-48cd97c253e9"]},{"id":"ITEM-5","itemData":{"author":[{"dropping-particle":"","family":"Rescorla","given":"R A","non-dropping-particle":"","parse-names":false,"suffix":""},{"dropping-particle":"","family":"Wagner","given":"A R","non-dropping-particle":"","parse-names":false,"suffix":""}],"container-title":"Classical Conditioning II: Current Research and Theory","editor":[{"dropping-particle":"","family":"Black","given":"A H","non-dropping-particle":"","parse-names":false,"suffix":""},{"dropping-particle":"","family":"Prokesy","given":"W F","non-dropping-particle":"","parse-names":false,"suffix":""}],"id":"ITEM-5","issued":{"date-parts":[["1972"]]},"page":"64-99","publisher":"Appleton Century Crofts","publisher-place":"New York","title":"A theory of Pavlovian conditiong: Variations in the effectiveness of   reinforcement and nonreinforcement","type":"chapter"},"uris":["http://www.mendeley.com/documents/?uuid=419a1eed-79da-44ec-839f-e7e763d110a2"]}],"mendeley":{"formattedCitation":"(Mackintosh, 1975; Pearce &amp; Hall, 1980; Rescorla &amp; Wagner, 1972; Sutton &amp; Barto, 1998; Wagner, 1981)","plainTextFormattedCitation":"(Mackintosh, 1975; Pearce &amp; Hall, 1980; Rescorla &amp; Wagner, 1972; Sutton &amp; Barto, 1998; Wagner, 1981)","previouslyFormattedCitation":"(Mackintosh, 1975; Pearce &amp; Hall, 1980; Rescorla &amp; Wagner, 1972; Sutton &amp; Barto, 1998; Wagner, 1981)"},"properties":{"noteIndex":0},"schema":"https://github.com/citation-style-language/schema/raw/master/csl-citation.json"}</w:instrText>
      </w:r>
      <w:r>
        <w:fldChar w:fldCharType="separate"/>
      </w:r>
      <w:r w:rsidR="006159CE" w:rsidRPr="006159CE">
        <w:rPr>
          <w:noProof/>
        </w:rPr>
        <w:t>(Mackintosh, 1975; Pearce &amp; Hall, 1980; Rescorla &amp; Wagner, 1972; Sutton &amp; Barto, 1998; Wagner, 1981)</w:t>
      </w:r>
      <w:r>
        <w:fldChar w:fldCharType="end"/>
      </w:r>
      <w:r>
        <w:t>. To disambiguate learning from performance effects we employed an associative blocking design (</w:t>
      </w:r>
      <w:r w:rsidRPr="00333D7D">
        <w:rPr>
          <w:highlight w:val="yellow"/>
        </w:rPr>
        <w:t>Figure 3A</w:t>
      </w:r>
      <w:r>
        <w:t xml:space="preserve">). In a blocking experiment, first an animal is trained such that a cue (cue A) predicts an outcome (pellet). Next, A is presented in compound with a novel cue (cue B) which also leads to the same pellet outcome. If the animal has learned that cue A sufficiently predicts the pellet outcome already, then very little is learned about cue B i.e. learning about cue A blocks subsequent learning about cue B </w:t>
      </w:r>
      <w:r>
        <w:fldChar w:fldCharType="begin" w:fldLock="1"/>
      </w:r>
      <w:r>
        <w:instrText>ADDIN CSL_CITATION {"citationItems":[{"id":"ITEM-1","itemData":{"author":[{"dropping-particle":"","family":"Kamin","given":"L J","non-dropping-particle":"","parse-names":false,"suffix":""}],"container-title":"Punishment and aversive behavior","editor":[{"dropping-particle":"","family":"Campbell","given":"B A","non-dropping-particle":"","parse-names":false,"suffix":""},{"dropping-particle":"","family":"Church","given":"R M","non-dropping-particle":"","parse-names":false,"suffix":""}],"id":"ITEM-1","issued":{"date-parts":[["1969"]]},"page":"279–96","publisher":"Appleton-Century-Crofts","publisher-place":"New York","title":"Predictability, surprise, attention and conditioning","type":"chapter"},"uris":["http://www.mendeley.com/documents/?uuid=c9cf7252-10de-4917-88b0-fde5dd962f72"]}],"mendeley":{"formattedCitation":"(Kamin, 1969)","plainTextFormattedCitation":"(Kamin, 1969)","previouslyFormattedCitation":"(Kamin, 1969)"},"properties":{"noteIndex":0},"schema":"https://github.com/citation-style-language/schema/raw/master/csl-citation.json"}</w:instrText>
      </w:r>
      <w:r>
        <w:fldChar w:fldCharType="separate"/>
      </w:r>
      <w:r w:rsidRPr="008032D9">
        <w:rPr>
          <w:noProof/>
        </w:rPr>
        <w:t>(Kamin, 1969)</w:t>
      </w:r>
      <w:r>
        <w:fldChar w:fldCharType="end"/>
      </w:r>
      <w:r>
        <w:t>. However, if learning about cue A is insufficient, then learning about cue B should not be blocked. We predicted that if OFC inactivation is disrupting learning, then OFC inactivation during initial learning about cue A should disrupt the blocking effect.</w:t>
      </w:r>
    </w:p>
    <w:p w14:paraId="2C6A4788" w14:textId="00A923C6" w:rsidR="00B95E73" w:rsidRDefault="00B95E73" w:rsidP="00B95E73">
      <w:pPr>
        <w:pStyle w:val="BodyText"/>
      </w:pPr>
      <w:r>
        <w:t>To test this prediction, a new set of animals was implanted with bilateral cannulae targeting the OFC and tested in a blocking procedure. During stage 1 of blocking (</w:t>
      </w:r>
      <w:r w:rsidRPr="00252843">
        <w:rPr>
          <w:highlight w:val="yellow"/>
        </w:rPr>
        <w:t>Figure 3B</w:t>
      </w:r>
      <w:r>
        <w:t xml:space="preserve">), all animals were given 10 days of acquisition training to cue A. OFC function was intact during the first 4 days of acquisition, and all animals began to acquire the cue A-outcome relationship (Days 1-4: significant main effect of Day </w:t>
      </w:r>
      <m:oMath>
        <m:r>
          <w:rPr>
            <w:rFonts w:ascii="Cambria Math" w:hAnsi="Cambria Math"/>
          </w:rPr>
          <m:t>F(3,72)=5.77</m:t>
        </m:r>
      </m:oMath>
      <w:r>
        <w:t xml:space="preserve">, </w:t>
      </w:r>
      <m:oMath>
        <m:r>
          <w:rPr>
            <w:rFonts w:ascii="Cambria Math" w:hAnsi="Cambria Math"/>
          </w:rPr>
          <m:t>p=.001</m:t>
        </m:r>
      </m:oMath>
      <w:r>
        <w:t xml:space="preserve">, but no effect of Group , or Group x Day interaction </w:t>
      </w:r>
      <m:oMath>
        <m:r>
          <w:rPr>
            <w:rFonts w:ascii="Cambria Math" w:hAnsi="Cambria Math"/>
          </w:rPr>
          <m:t>F(3,72)=0.27</m:t>
        </m:r>
      </m:oMath>
      <w:r>
        <w:t xml:space="preserve">, </w:t>
      </w:r>
      <m:oMath>
        <m:r>
          <w:rPr>
            <w:rFonts w:ascii="Cambria Math" w:hAnsi="Cambria Math"/>
          </w:rPr>
          <m:t>p=.850</m:t>
        </m:r>
      </m:oMath>
      <w:r>
        <w:t>). All animals then received an additional 6 days of acquisition to cue A (</w:t>
      </w:r>
      <w:r w:rsidRPr="00950E01">
        <w:rPr>
          <w:highlight w:val="yellow"/>
        </w:rPr>
        <w:t>Figure 3B, Days 5-10</w:t>
      </w:r>
      <w:r>
        <w:t xml:space="preserve">) following either intra-OFC infusions of muscimol or saline. Infusions of muscimol depressed overall responding relative to saline infusions (significant main effect of Group </w:t>
      </w:r>
      <m:oMath>
        <m:r>
          <w:rPr>
            <w:rFonts w:ascii="Cambria Math" w:hAnsi="Cambria Math"/>
          </w:rPr>
          <m:t>F(1,24)=4.25</m:t>
        </m:r>
      </m:oMath>
      <w:r>
        <w:t xml:space="preserve">, </w:t>
      </w:r>
      <m:oMath>
        <m:r>
          <w:rPr>
            <w:rFonts w:ascii="Cambria Math" w:hAnsi="Cambria Math"/>
          </w:rPr>
          <m:t>p=.050</m:t>
        </m:r>
      </m:oMath>
      <w:r>
        <w:t xml:space="preserve">, and Day </w:t>
      </w:r>
      <m:oMath>
        <m:r>
          <w:rPr>
            <w:rFonts w:ascii="Cambria Math" w:hAnsi="Cambria Math"/>
          </w:rPr>
          <m:t>F(5,120)=17.49</m:t>
        </m:r>
      </m:oMath>
      <w:r>
        <w:t xml:space="preserve">, </w:t>
      </w:r>
      <m:oMath>
        <m:r>
          <w:rPr>
            <w:rFonts w:ascii="Cambria Math" w:hAnsi="Cambria Math"/>
          </w:rPr>
          <m:t>p&lt;.001</m:t>
        </m:r>
      </m:oMath>
      <w:r>
        <w:t xml:space="preserve">, but no Group x Day interaction </w:t>
      </w:r>
      <m:oMath>
        <m:r>
          <w:rPr>
            <w:rFonts w:ascii="Cambria Math" w:hAnsi="Cambria Math"/>
          </w:rPr>
          <m:t>F(5,120)=1.31</m:t>
        </m:r>
      </m:oMath>
      <w:r>
        <w:t xml:space="preserve">, </w:t>
      </w:r>
      <m:oMath>
        <m:r>
          <w:rPr>
            <w:rFonts w:ascii="Cambria Math" w:hAnsi="Cambria Math"/>
          </w:rPr>
          <m:t>p=.263</m:t>
        </m:r>
      </m:oMath>
      <w:r>
        <w:t>). Importantly, on the final day (Day 10), responding in the muscimol group was significantly lower than the saline group (</w:t>
      </w:r>
      <m:oMath>
        <m:r>
          <w:rPr>
            <w:rFonts w:ascii="Cambria Math" w:hAnsi="Cambria Math"/>
          </w:rPr>
          <m:t>t(24)=-2.69</m:t>
        </m:r>
      </m:oMath>
      <w:r>
        <w:t xml:space="preserve">, </w:t>
      </w:r>
      <m:oMath>
        <m:r>
          <w:rPr>
            <w:rFonts w:ascii="Cambria Math" w:hAnsi="Cambria Math"/>
          </w:rPr>
          <m:t>p=.013</m:t>
        </m:r>
      </m:oMath>
      <w:r>
        <w:t>).</w:t>
      </w:r>
    </w:p>
    <w:p w14:paraId="21A20015" w14:textId="7BBD8CA0" w:rsidR="004437AA" w:rsidRDefault="008359E2" w:rsidP="008359E2">
      <w:pPr>
        <w:pStyle w:val="BodyText"/>
      </w:pPr>
      <w:r>
        <w:t>Next, animals were trained such that compounds AB and CD also predicted reward (</w:t>
      </w:r>
      <w:r w:rsidRPr="008359E2">
        <w:rPr>
          <w:highlight w:val="yellow"/>
        </w:rPr>
        <w:t>Figure 3C, Stage 2</w:t>
      </w:r>
      <w:r>
        <w:t xml:space="preserve">), importantly OFC function was intact in all animals i.e. no infusions. Responding in both the saline and muscimol groups was initially lower to the novel compound CD than to AB (Significant Cue x Day interaction </w:t>
      </w:r>
      <m:oMath>
        <m:r>
          <w:rPr>
            <w:rFonts w:ascii="Cambria Math" w:hAnsi="Cambria Math"/>
          </w:rPr>
          <m:t>F(2,48)=12.12</m:t>
        </m:r>
      </m:oMath>
      <w:r>
        <w:t xml:space="preserve">, </w:t>
      </w:r>
      <m:oMath>
        <m:r>
          <w:rPr>
            <w:rFonts w:ascii="Cambria Math" w:hAnsi="Cambria Math"/>
          </w:rPr>
          <m:t>p&lt;.001</m:t>
        </m:r>
      </m:oMath>
      <w:r>
        <w:t xml:space="preserve">, and main effect of Day </w:t>
      </w:r>
      <m:oMath>
        <m:r>
          <w:rPr>
            <w:rFonts w:ascii="Cambria Math" w:hAnsi="Cambria Math"/>
          </w:rPr>
          <m:t>F(2,48)=20.09</m:t>
        </m:r>
      </m:oMath>
      <w:r>
        <w:t xml:space="preserve">, </w:t>
      </w:r>
      <m:oMath>
        <m:r>
          <w:rPr>
            <w:rFonts w:ascii="Cambria Math" w:hAnsi="Cambria Math"/>
          </w:rPr>
          <m:t>p&lt;.001</m:t>
        </m:r>
      </m:oMath>
      <w:r>
        <w:t xml:space="preserve">, but no other main effects or interactions with Group were significant, all remaining effects </w:t>
      </w:r>
      <w:r>
        <w:rPr>
          <w:i/>
        </w:rPr>
        <w:t>F</w:t>
      </w:r>
      <w:r>
        <w:t xml:space="preserve"> &lt; 1.91, </w:t>
      </w:r>
      <w:r>
        <w:rPr>
          <w:i/>
        </w:rPr>
        <w:t>p</w:t>
      </w:r>
      <w:r>
        <w:t xml:space="preserve"> &gt; .160; Cue AB vs CD: Day 12 </w:t>
      </w:r>
      <m:oMath>
        <m:r>
          <w:rPr>
            <w:rFonts w:ascii="Cambria Math" w:hAnsi="Cambria Math"/>
          </w:rPr>
          <m:t>t(24)=3.74</m:t>
        </m:r>
      </m:oMath>
      <w:r>
        <w:t xml:space="preserve">, </w:t>
      </w:r>
      <m:oMath>
        <m:r>
          <w:rPr>
            <w:rFonts w:ascii="Cambria Math" w:hAnsi="Cambria Math"/>
          </w:rPr>
          <m:t>p=.001</m:t>
        </m:r>
      </m:oMath>
      <w:r>
        <w:t xml:space="preserve">, Day 13 </w:t>
      </w:r>
      <m:oMath>
        <m:r>
          <w:rPr>
            <w:rFonts w:ascii="Cambria Math" w:hAnsi="Cambria Math"/>
          </w:rPr>
          <m:t>t(24)=-0.44</m:t>
        </m:r>
      </m:oMath>
      <w:r>
        <w:t xml:space="preserve">, </w:t>
      </w:r>
      <m:oMath>
        <m:r>
          <w:rPr>
            <w:rFonts w:ascii="Cambria Math" w:hAnsi="Cambria Math"/>
          </w:rPr>
          <m:t>p=.663</m:t>
        </m:r>
      </m:oMath>
      <w:r>
        <w:t xml:space="preserve">, Day 14 </w:t>
      </w:r>
      <m:oMath>
        <m:r>
          <w:rPr>
            <w:rFonts w:ascii="Cambria Math" w:hAnsi="Cambria Math"/>
          </w:rPr>
          <m:t>t(24)=-1.80</m:t>
        </m:r>
      </m:oMath>
      <w:r>
        <w:t xml:space="preserve">, </w:t>
      </w:r>
      <m:oMath>
        <m:r>
          <w:rPr>
            <w:rFonts w:ascii="Cambria Math" w:hAnsi="Cambria Math"/>
          </w:rPr>
          <m:t>p=.085</m:t>
        </m:r>
      </m:oMath>
      <w:r>
        <w:t>). However, the pattern of means suggests that responding to compound AB in the muscimol group was similar to the novel compound CD on Day 12 (</w:t>
      </w:r>
      <w:r w:rsidRPr="008359E2">
        <w:rPr>
          <w:highlight w:val="yellow"/>
        </w:rPr>
        <w:t>Figure 3C, Right - Day 12,</w:t>
      </w:r>
      <w:r>
        <w:t xml:space="preserve"> Muscimol: AB vs CD </w:t>
      </w:r>
      <m:oMath>
        <m:r>
          <w:rPr>
            <w:rFonts w:ascii="Cambria Math" w:hAnsi="Cambria Math"/>
          </w:rPr>
          <m:t>t(24)=1.82</m:t>
        </m:r>
      </m:oMath>
      <w:r>
        <w:t xml:space="preserve">, </w:t>
      </w:r>
      <m:oMath>
        <m:r>
          <w:rPr>
            <w:rFonts w:ascii="Cambria Math" w:hAnsi="Cambria Math"/>
          </w:rPr>
          <m:t>p=.081</m:t>
        </m:r>
      </m:oMath>
      <w:r>
        <w:t>), and lower than compound AB in the saline group (</w:t>
      </w:r>
      <w:r w:rsidRPr="008359E2">
        <w:rPr>
          <w:highlight w:val="yellow"/>
        </w:rPr>
        <w:t>Figure 3C, Left - Day 12</w:t>
      </w:r>
      <w:r>
        <w:t xml:space="preserve">; Day 12, Saline: AB vs CD </w:t>
      </w:r>
      <m:oMath>
        <m:r>
          <w:rPr>
            <w:rFonts w:ascii="Cambria Math" w:hAnsi="Cambria Math"/>
          </w:rPr>
          <m:t>t(24)=3.47</m:t>
        </m:r>
      </m:oMath>
      <w:r>
        <w:t xml:space="preserve">, </w:t>
      </w:r>
      <m:oMath>
        <m:r>
          <w:rPr>
            <w:rFonts w:ascii="Cambria Math" w:hAnsi="Cambria Math"/>
          </w:rPr>
          <m:t>p=.002</m:t>
        </m:r>
      </m:oMath>
      <w:r>
        <w:t xml:space="preserve">). </w:t>
      </w:r>
      <w:r w:rsidR="001F2782">
        <w:t xml:space="preserve">Furthermore, </w:t>
      </w:r>
      <w:r>
        <w:t>Within-session changes over trials on Day 12 revealed rapid within-session acquisition to both compounds in both groups, but responding was significantly lower in the muscimol group at the start of the session (</w:t>
      </w:r>
      <w:r w:rsidRPr="001F2782">
        <w:rPr>
          <w:highlight w:val="yellow"/>
        </w:rPr>
        <w:t xml:space="preserve">Figure 3 - </w:t>
      </w:r>
      <w:r w:rsidR="00A4541B">
        <w:rPr>
          <w:highlight w:val="yellow"/>
        </w:rPr>
        <w:t>figure supplement</w:t>
      </w:r>
      <w:r w:rsidR="00A4541B" w:rsidRPr="00136F82">
        <w:rPr>
          <w:highlight w:val="yellow"/>
        </w:rPr>
        <w:t xml:space="preserve"> </w:t>
      </w:r>
      <w:r w:rsidRPr="001F2782">
        <w:rPr>
          <w:highlight w:val="yellow"/>
        </w:rPr>
        <w:t>2</w:t>
      </w:r>
      <w:r>
        <w:t xml:space="preserve">; First 2 trials, significant main effect of Group </w:t>
      </w:r>
      <m:oMath>
        <m:r>
          <w:rPr>
            <w:rFonts w:ascii="Cambria Math" w:hAnsi="Cambria Math"/>
          </w:rPr>
          <m:t>F(1,24)=8.67</m:t>
        </m:r>
      </m:oMath>
      <w:r>
        <w:t xml:space="preserve">, </w:t>
      </w:r>
      <m:oMath>
        <m:r>
          <w:rPr>
            <w:rFonts w:ascii="Cambria Math" w:hAnsi="Cambria Math"/>
          </w:rPr>
          <m:t>p=.007</m:t>
        </m:r>
      </m:oMath>
      <w:r>
        <w:t xml:space="preserve">, and Cue </w:t>
      </w:r>
      <m:oMath>
        <m:r>
          <w:rPr>
            <w:rFonts w:ascii="Cambria Math" w:hAnsi="Cambria Math"/>
          </w:rPr>
          <m:t>F(1,24)=7.61</m:t>
        </m:r>
      </m:oMath>
      <w:r>
        <w:t xml:space="preserve">, </w:t>
      </w:r>
      <m:oMath>
        <m:r>
          <w:rPr>
            <w:rFonts w:ascii="Cambria Math" w:hAnsi="Cambria Math"/>
          </w:rPr>
          <m:t>p=.011</m:t>
        </m:r>
      </m:oMath>
      <w:r>
        <w:t xml:space="preserve">, but no Group x Cue interaction </w:t>
      </w:r>
      <m:oMath>
        <m:r>
          <w:rPr>
            <w:rFonts w:ascii="Cambria Math" w:hAnsi="Cambria Math"/>
          </w:rPr>
          <m:t>F(1,24)=0.19</m:t>
        </m:r>
      </m:oMath>
      <w:r>
        <w:t xml:space="preserve">, </w:t>
      </w:r>
      <m:oMath>
        <m:r>
          <w:rPr>
            <w:rFonts w:ascii="Cambria Math" w:hAnsi="Cambria Math"/>
          </w:rPr>
          <m:t>p=.670</m:t>
        </m:r>
      </m:oMath>
      <w:r>
        <w:t>).</w:t>
      </w:r>
      <w:r w:rsidR="004645AD">
        <w:t xml:space="preserve"> </w:t>
      </w:r>
      <w:r>
        <w:t xml:space="preserve">The lower responding to cue AB in the muscimol group suggests that acquisition to cue A was impaired following infusions in Stage 1 and this impairment persisted (albeit transiently) when </w:t>
      </w:r>
      <w:r>
        <w:lastRenderedPageBreak/>
        <w:t>test drug free in stage 2. Indeed, the levels of responding to compound AB in the muscimol group at the start of Day 12 (</w:t>
      </w:r>
      <w:r w:rsidRPr="00D073A1">
        <w:rPr>
          <w:highlight w:val="yellow"/>
        </w:rPr>
        <w:t xml:space="preserve">Figure 3 - </w:t>
      </w:r>
      <w:r w:rsidR="00A4541B">
        <w:rPr>
          <w:highlight w:val="yellow"/>
        </w:rPr>
        <w:t>figure supplement</w:t>
      </w:r>
      <w:r w:rsidR="00A4541B" w:rsidRPr="00136F82">
        <w:rPr>
          <w:highlight w:val="yellow"/>
        </w:rPr>
        <w:t xml:space="preserve"> </w:t>
      </w:r>
      <w:r w:rsidRPr="00D073A1">
        <w:rPr>
          <w:highlight w:val="yellow"/>
        </w:rPr>
        <w:t>2</w:t>
      </w:r>
      <w:r>
        <w:t xml:space="preserve">) are similar to levels of </w:t>
      </w:r>
      <w:r w:rsidR="00B27FF5">
        <w:t>responding</w:t>
      </w:r>
      <w:r>
        <w:t xml:space="preserve"> to the novel compound CD in the saline group. This would suggest that learning about cue A in the muscimol group was impaired in stage 1, and therefore cue A </w:t>
      </w:r>
      <w:r w:rsidR="002F627D">
        <w:t>should</w:t>
      </w:r>
      <w:r>
        <w:t xml:space="preserve"> not effectively block learning to cue B in stage 2. </w:t>
      </w:r>
    </w:p>
    <w:p w14:paraId="1990FC8D" w14:textId="37D42871" w:rsidR="008359E2" w:rsidRDefault="004437AA" w:rsidP="008359E2">
      <w:pPr>
        <w:pStyle w:val="BodyText"/>
      </w:pPr>
      <w:r>
        <w:t>At</w:t>
      </w:r>
      <w:r w:rsidR="008359E2">
        <w:t xml:space="preserve"> test both groups showed significant blocking of learning to cue B relative to the control cue D (</w:t>
      </w:r>
      <w:r w:rsidR="008359E2" w:rsidRPr="004437AA">
        <w:rPr>
          <w:highlight w:val="yellow"/>
        </w:rPr>
        <w:t>Figure 3D;</w:t>
      </w:r>
      <w:r w:rsidR="008359E2">
        <w:t xml:space="preserve"> Significant main effect of Cue </w:t>
      </w:r>
      <m:oMath>
        <m:r>
          <w:rPr>
            <w:rFonts w:ascii="Cambria Math" w:hAnsi="Cambria Math"/>
          </w:rPr>
          <m:t>F(1,24)=7.29</m:t>
        </m:r>
      </m:oMath>
      <w:r w:rsidR="008359E2">
        <w:t xml:space="preserve">, </w:t>
      </w:r>
      <m:oMath>
        <m:r>
          <w:rPr>
            <w:rFonts w:ascii="Cambria Math" w:hAnsi="Cambria Math"/>
          </w:rPr>
          <m:t>p=.013</m:t>
        </m:r>
      </m:oMath>
      <w:r w:rsidR="008359E2">
        <w:t xml:space="preserve">, but no main effect of Group </w:t>
      </w:r>
      <m:oMath>
        <m:r>
          <w:rPr>
            <w:rFonts w:ascii="Cambria Math" w:hAnsi="Cambria Math"/>
          </w:rPr>
          <m:t>F(1,24)=0.54</m:t>
        </m:r>
      </m:oMath>
      <w:r w:rsidR="008359E2">
        <w:t xml:space="preserve">, </w:t>
      </w:r>
      <m:oMath>
        <m:r>
          <w:rPr>
            <w:rFonts w:ascii="Cambria Math" w:hAnsi="Cambria Math"/>
          </w:rPr>
          <m:t>p=.471</m:t>
        </m:r>
      </m:oMath>
      <w:r w:rsidR="008359E2">
        <w:t xml:space="preserve">, or Group x Cue interaction </w:t>
      </w:r>
      <m:oMath>
        <m:r>
          <w:rPr>
            <w:rFonts w:ascii="Cambria Math" w:hAnsi="Cambria Math"/>
          </w:rPr>
          <m:t>F(1,24)=0.04</m:t>
        </m:r>
      </m:oMath>
      <w:r w:rsidR="008359E2">
        <w:t xml:space="preserve">, </w:t>
      </w:r>
      <m:oMath>
        <m:r>
          <w:rPr>
            <w:rFonts w:ascii="Cambria Math" w:hAnsi="Cambria Math"/>
          </w:rPr>
          <m:t>p=.843</m:t>
        </m:r>
      </m:oMath>
      <w:r w:rsidR="008359E2">
        <w:t>). This suggests that inactivation of the OFC significantly reduced behavioural performance but not learning to cue A in Stage 1, and this impairment transiently affected compound AB on Day 12 in the absence of OFC inactivation. Therefore, the impairments observed in our earlier findings (</w:t>
      </w:r>
      <w:r w:rsidR="008359E2" w:rsidRPr="004437AA">
        <w:rPr>
          <w:highlight w:val="yellow"/>
        </w:rPr>
        <w:t>Figure 2A &amp; C</w:t>
      </w:r>
      <w:r w:rsidR="008359E2">
        <w:t>, post infusion) are unlikely to be due to impairments in learning. In addition to this, we rule out the possibility that the two groups used different attentional solutions to achieve a similar blocking result (</w:t>
      </w:r>
      <w:r w:rsidR="008359E2" w:rsidRPr="00994C11">
        <w:rPr>
          <w:highlight w:val="yellow"/>
        </w:rPr>
        <w:t>Figure 3-</w:t>
      </w:r>
      <w:r w:rsidR="00A4541B" w:rsidRPr="00A4541B">
        <w:rPr>
          <w:highlight w:val="yellow"/>
        </w:rPr>
        <w:t xml:space="preserve"> </w:t>
      </w:r>
      <w:r w:rsidR="00A4541B">
        <w:rPr>
          <w:highlight w:val="yellow"/>
        </w:rPr>
        <w:t>figure supplement</w:t>
      </w:r>
      <w:r w:rsidR="00A4541B" w:rsidRPr="00136F82">
        <w:rPr>
          <w:highlight w:val="yellow"/>
        </w:rPr>
        <w:t xml:space="preserve"> </w:t>
      </w:r>
      <w:r w:rsidR="00EF4474" w:rsidRPr="00EF4474">
        <w:rPr>
          <w:highlight w:val="yellow"/>
        </w:rPr>
        <w:t>3</w:t>
      </w:r>
      <w:r w:rsidR="008359E2">
        <w:t>).</w:t>
      </w:r>
    </w:p>
    <w:p w14:paraId="727A122C" w14:textId="2CB12ADD" w:rsidR="00F56CB9" w:rsidRDefault="004779A5" w:rsidP="00F56CB9">
      <w:pPr>
        <w:pStyle w:val="BodyText"/>
      </w:pPr>
      <w:r>
        <w:rPr>
          <w:b/>
        </w:rPr>
        <w:t xml:space="preserve">Experiment 6: </w:t>
      </w:r>
      <w:r w:rsidR="00F56CB9">
        <w:rPr>
          <w:b/>
        </w:rPr>
        <w:t>Competing response values</w:t>
      </w:r>
    </w:p>
    <w:p w14:paraId="3ED3643D" w14:textId="7ECD2CB0" w:rsidR="008F6327" w:rsidRDefault="0099516D" w:rsidP="00F56CB9">
      <w:pPr>
        <w:pStyle w:val="BodyText"/>
      </w:pPr>
      <w:r w:rsidRPr="0099516D">
        <w:t xml:space="preserve">One possible account of the impaired performance following OFC inactivation in the present study is an inability to potentiate learned behaviour based on the current value of the expected outcome. Specifically, OFC inactivation may disrupt the ability to potentiate performance based on the current motivational value of the </w:t>
      </w:r>
      <w:r w:rsidR="00A75BA9" w:rsidRPr="0099516D">
        <w:t>outcome but</w:t>
      </w:r>
      <w:r w:rsidRPr="0099516D">
        <w:t xml:space="preserve"> leave intact knowledge about the predictive cue-outcome relationship (as suggested by intact associative blocking; </w:t>
      </w:r>
      <w:r w:rsidRPr="00E30695">
        <w:rPr>
          <w:highlight w:val="yellow"/>
        </w:rPr>
        <w:t>Figure 3</w:t>
      </w:r>
      <w:r w:rsidRPr="0099516D">
        <w:t>). While there are no overt alternative rewards in the simple Pavlovian task employed here, there is always an array of potential competing alternative behaviours available to the animal in the chamber e.g. exploration locomotion, grooming, rearing/orienting etc… These behaviours normally compete with the target magazine approach behaviour, and indeed the relative balance of these behaviours has been shown to develop over the course of Pavlovian acquisition</w:t>
      </w:r>
      <w:r w:rsidR="0054320C">
        <w:t xml:space="preserve"> </w:t>
      </w:r>
      <w:r w:rsidR="0054320C">
        <w:fldChar w:fldCharType="begin" w:fldLock="1"/>
      </w:r>
      <w:r w:rsidR="00E92079">
        <w:instrText>ADDIN CSL_CITATION {"citationItems":[{"id":"ITEM-1","itemData":{"ISBN":"0097-7403 (Print)\r0097-7403 (Linking)","PMID":"845545","abstract":"The role of the conditioned stimulus (CS) as a determinant of the form of the Pavlovian conditioned response (CR) was investigated in five experiments. Both stabilimeter measures of general activity and detailed observations of the behavior of the rat subjects in the presence of CSs anticipatory to a food unconditioned stimulus (US) were obtained. In Experiment 1, substantially different behaviors to light and tone CSs were observed; further, these differences were found to be dependent on specific learning experience rather than on the mere presence of different stimulation at the time of response evocation. Experiments 2 and 3 investigated the possibility that there was considerable communality of learning to light and tone CSs despite their evoking different CRs. In Experiment 2, prior conditioning of either the tone or light CS was found to block the acquisition of various behaviors to the added element when a light-tone compound stimulus was reinforced, even though the pretrained stimulus did not itself evoke those behaviors. In Experiment 3, the nature of second-order conditioned responding was found to be similar regardless of which first-order CS was used as the reinforcer. Additionally, the reinforcing powers of the light and tone CSs were found to summate. Experiments 4 and 5 examined behaviors to a variety of visual and auditory stimuli paired with food. Stimulus modality and the localizability and vertical location of visual stimuli were found to influence conditioned responding. These results suggested that in this conditioning situation, similar learning of a CS-US relation may be displayed in different overt CRs, depending on the nature of the CS.","author":[{"dropping-particle":"","family":"Holland","given":"P C","non-dropping-particle":"","parse-names":false,"suffix":""}],"container-title":"J Exp Psychol Anim Behav Process","id":"ITEM-1","issue":"1","issued":{"date-parts":[["1977"]]},"note":"Holland, P C\neng\nResearch Support, U.S. Gov't, Non-P.H.S.\n1977/01/01\nJ Exp Psychol Anim Behav Process. 1977 Jan;3(1):77-104.","page":"77-104","title":"Conditioned stimulus as a determinant of the form of the Pavlovian conditioned response","type":"article-journal","volume":"3"},"uris":["http://www.mendeley.com/documents/?uuid=cb449c22-1fc2-4892-8a17-51c506e67528"]},{"id":"ITEM-2","itemData":{"DOI":"10.3758/BF03210945","ISBN":"1069-9384 (Print)\r1069-9384 (Linking)","PMID":"24203549","abstract":"Associative and behavior systems accounts of Pavlovian conditioning have different emphases. The traditional associative account has focused on the role of the unconditional stimulus (US) in strengthening stimulus associations according to a set of general laws. The behavior systems account has focused on the relation of conditional responding to the preorganized perceptual, motor, and motivational organization engaged by the US. Knowledge of a behavior system enables successful prediction of the form and ease of conditioning as a function of the type of conditional stimulus (CS), US, and the CS-US relation. At the same time, Pavlovian manipulations act as a window on how a behavior system works. Both associative and behavior systems accounts can be criticized as incomplete and idiosyncratic. A comprehensive account of Pavlovian conditioning could profit from their integration.","author":[{"dropping-particle":"","family":"Timberlake","given":"W","non-dropping-particle":"","parse-names":false,"suffix":""}],"container-title":"Psychon Bull Rev","id":"ITEM-2","issue":"4","issued":{"date-parts":[["1994"]]},"note":"Timberlake, W\neng\n1994/12/01 00:00\nPsychon Bull Rev. 1994 Dec;1(4):405-20. doi: 10.3758/BF03210945.","page":"405-420","title":"Behavior systems, associationism, and Pavlovian conditioning","type":"article-journal","volume":"1"},"uris":["http://www.mendeley.com/documents/?uuid=a456e714-9ad6-4b8d-9124-f0e08068b1a0"]},{"id":"ITEM-3","itemData":{"ISBN":"0-12-464650-6","author":[{"dropping-particle":"","family":"Mackintosh","given":"N J","non-dropping-particle":"","parse-names":false,"suffix":""}],"id":"ITEM-3","issued":{"date-parts":[["1974"]]},"number-of-pages":"730","publisher":"Academic Press","publisher-place":"London, UK","title":"The psychology of animal learning","type":"book"},"uris":["http://www.mendeley.com/documents/?uuid=82ad4646-aff0-4582-9419-e187ccc9f2cd"]},{"id":"ITEM-4","itemData":{"ISBN":"0470990260","PMID":"2235758","author":[{"dropping-particle":"","family":"Boakes","given":"R A","non-dropping-particle":"","parse-names":false,"suffix":""}],"container-title":"Operant-Pavlovian interactions","editor":[{"dropping-particle":"","family":"Davis","given":"Hank","non-dropping-particle":"","parse-names":false,"suffix":""},{"dropping-particle":"","family":"Hurwitz","given":"Harry M B","non-dropping-particle":"","parse-names":false,"suffix":""}],"id":"ITEM-4","issued":{"date-parts":[["1977"]]},"note":"76054651\nedited by Hank Davis, Harry M. B. Hurwitz.\nill. ; 24 cm.\nPapers and discussions presented at a conference held at the University of Guelph, Sept. 4-6, 1975.\nIncludes bibliographies and indexes.","page":"67-97","publisher":"L. Erlbaum Associates","publisher-place":"Hillsdale, N.J.\rNew York","title":"Performance on learning to associate a stimulus with positive reinforcement","type":"chapter"},"uris":["http://www.mendeley.com/documents/?uuid=96989b49-657c-461b-9cdc-6ddf0461e066"]},{"id":"ITEM-5","itemData":{"DOI":"10.3758/BF03210949","ISSN":"10699384","abstract":"The contributions of this symposium on behavior systems are summarized and evaluated by considering two questions: (1) What is a behavior system? (2) What use to the learning theorist are behavior systems? Two examples of behavior systems from the classical ethological literature are compared with the behavior systems discussed in the symposium, and some similarities and differences in the type of analyses used are discussed. Analysis of the pre-organized species-typical behavior systems relevant to the unconditioned stimuli or reinforcers in learning experiments can contribute performance rules and better understanding of the conditions and contents of learning. The organization of behavior systems can also provide important clues to the neural circuitry underlying behavior, and a behavior systems approach can raise novel questions concerning learning and behavioral development. Possible future directions for the behavior systems approach are briefly discussed. © 1994 Psychonomic Society, Inc.","author":[{"dropping-particle":"","family":"Shettleworth","given":"Sara J.","non-dropping-particle":"","parse-names":false,"suffix":""}],"container-title":"Psychonomic Bulletin &amp; Review","id":"ITEM-5","issue":"4","issued":{"date-parts":[["1994"]]},"page":"451-456","title":"Commentary: What are behavior systems and what use are they?","type":"article-journal","volume":"1"},"uris":["http://www.mendeley.com/documents/?uuid=6f0f76a3-6385-4a22-9799-632fabf94370"]}],"mendeley":{"formattedCitation":"(Boakes, 1977; Holland, 1977; Mackintosh, 1974; Shettleworth, 1994; Timberlake, 1994)","plainTextFormattedCitation":"(Boakes, 1977; Holland, 1977; Mackintosh, 1974; Shettleworth, 1994; Timberlake, 1994)","previouslyFormattedCitation":"(Boakes, 1977; Holland, 1977; Mackintosh, 1974; Shettleworth, 1994; Timberlake, 1994)"},"properties":{"noteIndex":0},"schema":"https://github.com/citation-style-language/schema/raw/master/csl-citation.json"}</w:instrText>
      </w:r>
      <w:r w:rsidR="0054320C">
        <w:fldChar w:fldCharType="separate"/>
      </w:r>
      <w:r w:rsidR="00B73B3F" w:rsidRPr="00B73B3F">
        <w:rPr>
          <w:noProof/>
        </w:rPr>
        <w:t>(Boakes, 1977; Holland, 1977; Mackintosh, 1974; Shettleworth, 1994; Timberlake, 1994)</w:t>
      </w:r>
      <w:r w:rsidR="0054320C">
        <w:fldChar w:fldCharType="end"/>
      </w:r>
      <w:r w:rsidRPr="0099516D">
        <w:t xml:space="preserve">. Therefore, judgements about the current/relative value of an expected outcome are likely to incorporate the relative value of these competing behavioural options with factors such as the current motivation (e.g. hunger), reward magnitude (e.g. volume, concentration/number), reward probability. </w:t>
      </w:r>
    </w:p>
    <w:p w14:paraId="50331E28" w14:textId="2E1A3797" w:rsidR="0099516D" w:rsidRDefault="0099516D" w:rsidP="00F56CB9">
      <w:pPr>
        <w:pStyle w:val="BodyText"/>
      </w:pPr>
      <w:r w:rsidRPr="0099516D">
        <w:t>Given this possibility, we hypothesized that post-training OFC inactivation impaired acquisition behaviour by disrupting the ability to modulate behaviour based on the relative value of these competing responses. Since the nature and value of these alternative behaviours is hard to quantify (and are likely subject-specific), we designed a task with a clearly defined alternative behaviour whose value could be experimentally manipulated. Specifically, we compared the strength of the standard magazine approach during a Pavlovian CS to the relative value of a competing unsignalled background rate of reward on the opposite side of the experimental chamber.</w:t>
      </w:r>
    </w:p>
    <w:p w14:paraId="1D4DEAAF" w14:textId="1C701965" w:rsidR="0067425B" w:rsidRDefault="00C93E9C" w:rsidP="00F56CB9">
      <w:pPr>
        <w:pStyle w:val="BodyText"/>
      </w:pPr>
      <w:r>
        <w:t>The task involved a Pavlovian cue-outcome procedure similar to those described above i.e. a 15s white-noise auditory stimulus predicted the delivery of a food pellet into a reward magazine</w:t>
      </w:r>
      <w:r w:rsidR="00504ACE">
        <w:t xml:space="preserve"> at the front of the </w:t>
      </w:r>
      <w:r w:rsidR="00504ACE" w:rsidRPr="00A4541B">
        <w:t>chamber</w:t>
      </w:r>
      <w:r w:rsidRPr="00A4541B">
        <w:t xml:space="preserve"> </w:t>
      </w:r>
      <w:r w:rsidRPr="00A4541B">
        <w:rPr>
          <w:highlight w:val="yellow"/>
        </w:rPr>
        <w:t>(Figure 4</w:t>
      </w:r>
      <w:r w:rsidR="00C279B0" w:rsidRPr="00A4541B">
        <w:rPr>
          <w:highlight w:val="yellow"/>
        </w:rPr>
        <w:t>-</w:t>
      </w:r>
      <w:r w:rsidR="00A4541B" w:rsidRPr="00A4541B">
        <w:rPr>
          <w:highlight w:val="yellow"/>
        </w:rPr>
        <w:t xml:space="preserve"> figure supplement </w:t>
      </w:r>
      <w:r w:rsidR="003A01EC" w:rsidRPr="00A4541B">
        <w:rPr>
          <w:highlight w:val="yellow"/>
        </w:rPr>
        <w:t>1</w:t>
      </w:r>
      <w:r w:rsidRPr="00A4541B">
        <w:rPr>
          <w:highlight w:val="yellow"/>
        </w:rPr>
        <w:t>).</w:t>
      </w:r>
      <w:r w:rsidR="00994493" w:rsidRPr="00A4541B">
        <w:rPr>
          <w:u w:val="single"/>
        </w:rPr>
        <w:t xml:space="preserve"> </w:t>
      </w:r>
      <w:r w:rsidR="00400837">
        <w:t xml:space="preserve">Independently of this </w:t>
      </w:r>
      <w:r w:rsidR="0099516D">
        <w:t>CS-</w:t>
      </w:r>
      <w:r w:rsidR="0099516D">
        <w:lastRenderedPageBreak/>
        <w:t xml:space="preserve">US </w:t>
      </w:r>
      <w:r w:rsidR="00400837">
        <w:t xml:space="preserve">contingency, the background rate of reward in the environment was </w:t>
      </w:r>
      <w:r w:rsidR="00A5719C">
        <w:t xml:space="preserve">also </w:t>
      </w:r>
      <w:r w:rsidR="00400837">
        <w:t>manipulated</w:t>
      </w:r>
      <w:r w:rsidR="00A5719C">
        <w:t>.</w:t>
      </w:r>
      <w:r w:rsidR="007740BE">
        <w:t xml:space="preserve"> Liquid sucrose reward was made available </w:t>
      </w:r>
      <w:r w:rsidR="00504ACE">
        <w:t>randomly</w:t>
      </w:r>
      <w:r w:rsidR="00AB613A">
        <w:t xml:space="preserve"> (i.e. unsignalled delivery)</w:t>
      </w:r>
      <w:r w:rsidR="00504ACE">
        <w:t xml:space="preserve"> throughout the session in a second reward magazine located at the back of the chamber.</w:t>
      </w:r>
      <w:r w:rsidR="00AB613A">
        <w:t xml:space="preserve"> </w:t>
      </w:r>
      <w:r w:rsidR="008D35CB">
        <w:t xml:space="preserve">The probability of sucrose availability </w:t>
      </w:r>
      <w:r w:rsidR="00073950">
        <w:t>remained</w:t>
      </w:r>
      <w:r w:rsidR="004D5DFF">
        <w:t xml:space="preserve"> constant for blocks of </w:t>
      </w:r>
      <w:r w:rsidR="00341C66">
        <w:t>8 trials but</w:t>
      </w:r>
      <w:r w:rsidR="004D5DFF">
        <w:t xml:space="preserve"> </w:t>
      </w:r>
      <w:r w:rsidR="00C238C2">
        <w:t xml:space="preserve">changed </w:t>
      </w:r>
      <w:r w:rsidR="008D35CB">
        <w:t xml:space="preserve">within each session </w:t>
      </w:r>
      <w:r w:rsidR="00C238C2">
        <w:t>in a randomized order</w:t>
      </w:r>
      <w:r w:rsidR="008D35CB">
        <w:t>.</w:t>
      </w:r>
      <w:r w:rsidR="000869AD">
        <w:t xml:space="preserve"> </w:t>
      </w:r>
      <w:r w:rsidR="00546588">
        <w:t>S</w:t>
      </w:r>
      <w:r w:rsidR="00DE562A">
        <w:t xml:space="preserve">ucrose was </w:t>
      </w:r>
      <w:r w:rsidR="00861576">
        <w:t>presented</w:t>
      </w:r>
      <w:r w:rsidR="00DE562A">
        <w:t xml:space="preserve"> in a dipper cup for 5s and then retracted </w:t>
      </w:r>
      <w:r w:rsidR="00C96F49">
        <w:t>so that t</w:t>
      </w:r>
      <w:r w:rsidR="000869AD">
        <w:t xml:space="preserve">his background reinforcement rate could only be determined by sampling the magazine </w:t>
      </w:r>
      <w:r w:rsidR="00DE562A">
        <w:t>location</w:t>
      </w:r>
      <w:r w:rsidR="000869AD">
        <w:t>.</w:t>
      </w:r>
      <w:r w:rsidR="003A5BC0">
        <w:t xml:space="preserve"> This task provided a measure of a reward guided exploratory behaviour in the sucrose magazine, and Pavlovian behaviour to the pellet magazine driven by the expected value of the predicted outcome</w:t>
      </w:r>
      <w:r w:rsidR="00BE3EA7">
        <w:t>. Normally, animals will engage in a range of unmeasured and uncontrolled alternative behaviours in a testing chamber (e.g. exploration, orienting, grooming, etc…) that may compete with Pavlovian magazine approach. Here we provide a means to guide and control these alternative behaviours towards the sucrose magazine, and explicitly measure the integration of un-cued and cued expected value.</w:t>
      </w:r>
      <w:r w:rsidR="00DA22B0">
        <w:t xml:space="preserve"> </w:t>
      </w:r>
      <w:r w:rsidR="002E6720">
        <w:t xml:space="preserve">We also </w:t>
      </w:r>
      <w:r w:rsidR="00263DBE">
        <w:t>confirmed that behaviour in this task was sensitive to changes in reward value</w:t>
      </w:r>
      <w:r w:rsidR="00C72862">
        <w:t>/</w:t>
      </w:r>
      <w:r w:rsidR="00B904F5">
        <w:t>size and</w:t>
      </w:r>
      <w:r w:rsidR="00C72862">
        <w:t xml:space="preserve"> ruled out </w:t>
      </w:r>
      <w:r w:rsidR="005A26E5">
        <w:t>the influence of thirst on the valuation of the liquid sucrose reward.</w:t>
      </w:r>
      <w:r w:rsidR="00263DBE">
        <w:t xml:space="preserve"> </w:t>
      </w:r>
    </w:p>
    <w:p w14:paraId="29C726B1" w14:textId="64879C30" w:rsidR="00DC3952" w:rsidRDefault="000F0A98" w:rsidP="00F56CB9">
      <w:pPr>
        <w:pStyle w:val="BodyText"/>
      </w:pPr>
      <w:r>
        <w:t>An analysis of the separate magazine approach data (</w:t>
      </w:r>
      <w:r w:rsidR="002D1D77" w:rsidRPr="00D02140">
        <w:rPr>
          <w:highlight w:val="yellow"/>
        </w:rPr>
        <w:t xml:space="preserve">Figure </w:t>
      </w:r>
      <w:r w:rsidR="00D02140" w:rsidRPr="008136EA">
        <w:rPr>
          <w:highlight w:val="yellow"/>
        </w:rPr>
        <w:t>4</w:t>
      </w:r>
      <w:r w:rsidR="00C82088" w:rsidRPr="008136EA">
        <w:rPr>
          <w:highlight w:val="yellow"/>
        </w:rPr>
        <w:t>A-B, D-E,</w:t>
      </w:r>
      <w:r w:rsidR="008136EA" w:rsidRPr="008136EA">
        <w:rPr>
          <w:highlight w:val="yellow"/>
        </w:rPr>
        <w:t>G-H</w:t>
      </w:r>
      <w:r>
        <w:t xml:space="preserve">) was performed using a Shift (Acquisition, Thirst, 4xSucrose) x Period (PreCS, CS) x Magazine (Sucrose, Pellet) x Probability (Low, Medium, High) repeated measures ANOVA. First, we confirmed </w:t>
      </w:r>
      <w:r w:rsidR="000879A2">
        <w:t xml:space="preserve">that the CS </w:t>
      </w:r>
      <w:r w:rsidR="007F206C">
        <w:t xml:space="preserve">increased behaviour </w:t>
      </w:r>
      <w:r w:rsidR="00E5376B">
        <w:t xml:space="preserve">above PreCS levels </w:t>
      </w:r>
      <w:r w:rsidR="006444FC">
        <w:t xml:space="preserve">at the Pellet but not the Sucrose magazine </w:t>
      </w:r>
      <w:r w:rsidR="007F206C">
        <w:t xml:space="preserve"> </w:t>
      </w:r>
      <w:r w:rsidR="00DC3952">
        <w:t xml:space="preserve">(Pellet magazine: PreCS vs CS </w:t>
      </w:r>
      <m:oMath>
        <m:r>
          <w:rPr>
            <w:rFonts w:ascii="Cambria Math" w:hAnsi="Cambria Math"/>
          </w:rPr>
          <m:t>t(7)=-5.44</m:t>
        </m:r>
      </m:oMath>
      <w:r w:rsidR="00DC3952">
        <w:t xml:space="preserve">, </w:t>
      </w:r>
      <m:oMath>
        <m:r>
          <w:rPr>
            <w:rFonts w:ascii="Cambria Math" w:hAnsi="Cambria Math"/>
          </w:rPr>
          <m:t>p=.001</m:t>
        </m:r>
      </m:oMath>
      <w:r w:rsidR="00DC3952">
        <w:t xml:space="preserve">, Sucrose magazine: PreCS vs CS </w:t>
      </w:r>
      <m:oMath>
        <m:r>
          <w:rPr>
            <w:rFonts w:ascii="Cambria Math" w:hAnsi="Cambria Math"/>
          </w:rPr>
          <m:t>t(7)=-1.07</m:t>
        </m:r>
      </m:oMath>
      <w:r w:rsidR="00DC3952">
        <w:t xml:space="preserve">, </w:t>
      </w:r>
      <m:oMath>
        <m:r>
          <w:rPr>
            <w:rFonts w:ascii="Cambria Math" w:hAnsi="Cambria Math"/>
          </w:rPr>
          <m:t>p=.322</m:t>
        </m:r>
      </m:oMath>
      <w:r w:rsidR="00DC3952">
        <w:t xml:space="preserve">; Significant Period x Magazine interaction </w:t>
      </w:r>
      <m:oMath>
        <m:r>
          <w:rPr>
            <w:rFonts w:ascii="Cambria Math" w:hAnsi="Cambria Math"/>
          </w:rPr>
          <m:t>F(1,7)=13.44</m:t>
        </m:r>
      </m:oMath>
      <w:r w:rsidR="00DC3952">
        <w:t xml:space="preserve">, </w:t>
      </w:r>
      <m:oMath>
        <m:r>
          <w:rPr>
            <w:rFonts w:ascii="Cambria Math" w:hAnsi="Cambria Math"/>
          </w:rPr>
          <m:t>p=.008</m:t>
        </m:r>
      </m:oMath>
      <w:r w:rsidR="00DC3952">
        <w:t xml:space="preserve">, and main effect of Period </w:t>
      </w:r>
      <m:oMath>
        <m:r>
          <w:rPr>
            <w:rFonts w:ascii="Cambria Math" w:hAnsi="Cambria Math"/>
          </w:rPr>
          <m:t>F(1,7)=71.86</m:t>
        </m:r>
      </m:oMath>
      <w:r w:rsidR="00DC3952">
        <w:t xml:space="preserve">, </w:t>
      </w:r>
      <m:oMath>
        <m:r>
          <w:rPr>
            <w:rFonts w:ascii="Cambria Math" w:hAnsi="Cambria Math"/>
          </w:rPr>
          <m:t>p&lt;.001</m:t>
        </m:r>
      </m:oMath>
      <w:r w:rsidR="00DC3952">
        <w:t xml:space="preserve">). </w:t>
      </w:r>
      <w:r w:rsidR="004320CD">
        <w:t>Therefore</w:t>
      </w:r>
      <w:r w:rsidR="004678B0">
        <w:t xml:space="preserve">, </w:t>
      </w:r>
      <w:r w:rsidR="009A3D22">
        <w:t>Pavlovian behaviour directed at the Pellet magazine</w:t>
      </w:r>
      <w:r w:rsidR="004678B0">
        <w:t xml:space="preserve"> could be effectively dissociated </w:t>
      </w:r>
      <w:r w:rsidR="009A3D22">
        <w:t>from exploratory sampling behaviour directed at the Sucrose magazine.</w:t>
      </w:r>
    </w:p>
    <w:p w14:paraId="7B629913" w14:textId="4E376C4E" w:rsidR="004F5644" w:rsidRDefault="009F5D99" w:rsidP="0090665A">
      <w:pPr>
        <w:pStyle w:val="BodyText"/>
      </w:pPr>
      <w:r>
        <w:t>Next, we confirmed that</w:t>
      </w:r>
      <w:r w:rsidR="00844071">
        <w:t xml:space="preserve"> animals </w:t>
      </w:r>
      <w:r w:rsidR="00183C55">
        <w:t>were sensitive to the</w:t>
      </w:r>
      <w:r w:rsidR="001B767A">
        <w:t xml:space="preserve"> background rate of sucrose delivery</w:t>
      </w:r>
      <w:r w:rsidR="00183C55">
        <w:t xml:space="preserve">. The </w:t>
      </w:r>
      <w:r w:rsidR="00135D13">
        <w:t>probability of sucrose modulated activity in the Sucrose and Pellet magazines in opposing directions</w:t>
      </w:r>
      <w:r w:rsidR="0090665A">
        <w:t xml:space="preserve"> (significant Magazine x Probability interaction </w:t>
      </w:r>
      <m:oMath>
        <m:r>
          <w:rPr>
            <w:rFonts w:ascii="Cambria Math" w:hAnsi="Cambria Math"/>
          </w:rPr>
          <m:t>F(2,14)=22.49</m:t>
        </m:r>
      </m:oMath>
      <w:r w:rsidR="0090665A">
        <w:t xml:space="preserve">, </w:t>
      </w:r>
      <m:oMath>
        <m:r>
          <w:rPr>
            <w:rFonts w:ascii="Cambria Math" w:hAnsi="Cambria Math"/>
          </w:rPr>
          <m:t>p&lt;.001</m:t>
        </m:r>
      </m:oMath>
      <w:r w:rsidR="0090665A">
        <w:t xml:space="preserve">). As the probability of sucrose availability increased, activity at the sucrose magazine increased whereas activity at the pellet magazine decreased (Sucrose magazine: Low vs Medium </w:t>
      </w:r>
      <m:oMath>
        <m:r>
          <w:rPr>
            <w:rFonts w:ascii="Cambria Math" w:hAnsi="Cambria Math"/>
          </w:rPr>
          <m:t>t(7)=-8.93</m:t>
        </m:r>
      </m:oMath>
      <w:r w:rsidR="0090665A">
        <w:t xml:space="preserve">, </w:t>
      </w:r>
      <m:oMath>
        <m:r>
          <w:rPr>
            <w:rFonts w:ascii="Cambria Math" w:hAnsi="Cambria Math"/>
          </w:rPr>
          <m:t>p&lt;.001</m:t>
        </m:r>
      </m:oMath>
      <w:r w:rsidR="0090665A">
        <w:t xml:space="preserve">, Low vs High </w:t>
      </w:r>
      <m:oMath>
        <m:r>
          <w:rPr>
            <w:rFonts w:ascii="Cambria Math" w:hAnsi="Cambria Math"/>
          </w:rPr>
          <m:t>t(7)=-6.81</m:t>
        </m:r>
      </m:oMath>
      <w:r w:rsidR="0090665A">
        <w:t xml:space="preserve">, </w:t>
      </w:r>
      <m:oMath>
        <m:r>
          <w:rPr>
            <w:rFonts w:ascii="Cambria Math" w:hAnsi="Cambria Math"/>
          </w:rPr>
          <m:t>p=.001</m:t>
        </m:r>
      </m:oMath>
      <w:r w:rsidR="0090665A">
        <w:t xml:space="preserve">, Medium vs High </w:t>
      </w:r>
      <m:oMath>
        <m:r>
          <w:rPr>
            <w:rFonts w:ascii="Cambria Math" w:hAnsi="Cambria Math"/>
          </w:rPr>
          <m:t>t(7)=-4.86</m:t>
        </m:r>
      </m:oMath>
      <w:r w:rsidR="0090665A">
        <w:t xml:space="preserve">, </w:t>
      </w:r>
      <m:oMath>
        <m:r>
          <w:rPr>
            <w:rFonts w:ascii="Cambria Math" w:hAnsi="Cambria Math"/>
          </w:rPr>
          <m:t>p=.005</m:t>
        </m:r>
      </m:oMath>
      <w:r w:rsidR="0090665A">
        <w:t xml:space="preserve">, Pellet magazine: Low vs Medium </w:t>
      </w:r>
      <m:oMath>
        <m:r>
          <w:rPr>
            <w:rFonts w:ascii="Cambria Math" w:hAnsi="Cambria Math"/>
          </w:rPr>
          <m:t>t(7)=1.68</m:t>
        </m:r>
      </m:oMath>
      <w:r w:rsidR="0090665A">
        <w:t xml:space="preserve">, </w:t>
      </w:r>
      <m:oMath>
        <m:r>
          <w:rPr>
            <w:rFonts w:ascii="Cambria Math" w:hAnsi="Cambria Math"/>
          </w:rPr>
          <m:t>p=.279</m:t>
        </m:r>
      </m:oMath>
      <w:r w:rsidR="0090665A">
        <w:t xml:space="preserve">, Low vs High </w:t>
      </w:r>
      <m:oMath>
        <m:r>
          <w:rPr>
            <w:rFonts w:ascii="Cambria Math" w:hAnsi="Cambria Math"/>
          </w:rPr>
          <m:t>t(7)=2.78</m:t>
        </m:r>
      </m:oMath>
      <w:r w:rsidR="0090665A">
        <w:t xml:space="preserve">, </w:t>
      </w:r>
      <m:oMath>
        <m:r>
          <w:rPr>
            <w:rFonts w:ascii="Cambria Math" w:hAnsi="Cambria Math"/>
          </w:rPr>
          <m:t>p=.062</m:t>
        </m:r>
      </m:oMath>
      <w:r w:rsidR="0090665A">
        <w:t xml:space="preserve">, Medium vs High </w:t>
      </w:r>
      <m:oMath>
        <m:r>
          <w:rPr>
            <w:rFonts w:ascii="Cambria Math" w:hAnsi="Cambria Math"/>
          </w:rPr>
          <m:t>t(7)=4.00</m:t>
        </m:r>
      </m:oMath>
      <w:r w:rsidR="0090665A">
        <w:t xml:space="preserve">, </w:t>
      </w:r>
      <m:oMath>
        <m:r>
          <w:rPr>
            <w:rFonts w:ascii="Cambria Math" w:hAnsi="Cambria Math"/>
          </w:rPr>
          <m:t>p=.013</m:t>
        </m:r>
      </m:oMath>
      <w:r w:rsidR="0090665A">
        <w:t xml:space="preserve">). </w:t>
      </w:r>
      <w:r w:rsidR="004320CD">
        <w:t xml:space="preserve">This shows that (1) </w:t>
      </w:r>
      <w:r w:rsidR="004F5644">
        <w:t xml:space="preserve">Sucrose magazine behaviour </w:t>
      </w:r>
      <w:r w:rsidR="00971589">
        <w:t xml:space="preserve">was sensitive to the </w:t>
      </w:r>
      <w:r w:rsidR="003332C9">
        <w:t xml:space="preserve">unsignalled changes in the </w:t>
      </w:r>
      <w:r w:rsidR="00971589">
        <w:t>background rate of sucrose availability</w:t>
      </w:r>
      <w:r w:rsidR="003332C9">
        <w:t xml:space="preserve">, and (2) </w:t>
      </w:r>
      <w:r w:rsidR="00811F0D">
        <w:t xml:space="preserve">Pellet magazine behaviour </w:t>
      </w:r>
      <w:r w:rsidR="005A027E">
        <w:t xml:space="preserve">reflects </w:t>
      </w:r>
      <w:r w:rsidR="003A1D41">
        <w:t>the trade-off between</w:t>
      </w:r>
      <w:r w:rsidR="005E63EC">
        <w:t>, and integration of,</w:t>
      </w:r>
      <w:r w:rsidR="003A1D41">
        <w:t xml:space="preserve"> the expected Pavlovian pellet reward and the background rate of sucrose availability.</w:t>
      </w:r>
    </w:p>
    <w:p w14:paraId="7AC210CB" w14:textId="72F9AC13" w:rsidR="005E63EC" w:rsidRDefault="005E63EC" w:rsidP="0090665A">
      <w:pPr>
        <w:pStyle w:val="BodyText"/>
      </w:pPr>
      <w:r>
        <w:t xml:space="preserve">Finally, </w:t>
      </w:r>
      <w:r w:rsidR="002602D2">
        <w:t>we confirmed that the motivation for the sucrose reward</w:t>
      </w:r>
      <w:r w:rsidR="00807B41">
        <w:t xml:space="preserve"> (</w:t>
      </w:r>
      <w:r w:rsidR="00807B41" w:rsidRPr="00B97AAB">
        <w:rPr>
          <w:highlight w:val="yellow"/>
        </w:rPr>
        <w:t>Figure 4</w:t>
      </w:r>
      <w:r w:rsidR="00B97AAB" w:rsidRPr="00B97AAB">
        <w:rPr>
          <w:highlight w:val="yellow"/>
        </w:rPr>
        <w:t>A-C</w:t>
      </w:r>
      <w:r w:rsidR="00B97AAB">
        <w:t>)</w:t>
      </w:r>
      <w:r w:rsidR="002602D2">
        <w:t xml:space="preserve"> was not significantly driven by </w:t>
      </w:r>
      <w:r w:rsidR="0090306A">
        <w:t>a motivational state of thirst</w:t>
      </w:r>
      <w:r w:rsidR="00874FCA">
        <w:t xml:space="preserve"> (</w:t>
      </w:r>
      <w:r w:rsidR="00874FCA" w:rsidRPr="00807B41">
        <w:rPr>
          <w:highlight w:val="yellow"/>
        </w:rPr>
        <w:t>Figure</w:t>
      </w:r>
      <w:r w:rsidR="00807B41" w:rsidRPr="00807B41">
        <w:rPr>
          <w:highlight w:val="yellow"/>
        </w:rPr>
        <w:t xml:space="preserve"> 4D-F</w:t>
      </w:r>
      <w:r w:rsidR="00807B41">
        <w:t>)</w:t>
      </w:r>
      <w:r w:rsidR="0090306A">
        <w:t xml:space="preserve">, and that </w:t>
      </w:r>
      <w:r w:rsidR="00882B4C">
        <w:t xml:space="preserve">the behaviours in this task were sensitive to changes in reward </w:t>
      </w:r>
      <w:r w:rsidR="00D64733">
        <w:t>value (i.e. a 4-fold increase in sucrose volume</w:t>
      </w:r>
      <w:r w:rsidR="00807B41">
        <w:t xml:space="preserve">; </w:t>
      </w:r>
      <w:r w:rsidR="00807B41" w:rsidRPr="00807B41">
        <w:rPr>
          <w:highlight w:val="yellow"/>
        </w:rPr>
        <w:t>Figure 4G-I</w:t>
      </w:r>
      <w:r w:rsidR="00AA0A4B">
        <w:t xml:space="preserve">). </w:t>
      </w:r>
      <w:r w:rsidR="001E631D">
        <w:t xml:space="preserve">Increasing sucrose reward size selectively increased behaviour at the Sucrose </w:t>
      </w:r>
      <w:r w:rsidR="008775A0">
        <w:t xml:space="preserve">but not the Pellet magazine, whereas </w:t>
      </w:r>
      <w:r w:rsidR="003B3CCD">
        <w:t>a motivational state of thirst did not significantly affect behaviour at either magazine (</w:t>
      </w:r>
      <w:r w:rsidR="00417F8D">
        <w:t xml:space="preserve">significant Magazine x Shift interaction </w:t>
      </w:r>
      <m:oMath>
        <m:r>
          <w:rPr>
            <w:rFonts w:ascii="Cambria Math" w:hAnsi="Cambria Math"/>
          </w:rPr>
          <m:t>F(2,14)=5.03</m:t>
        </m:r>
      </m:oMath>
      <w:r w:rsidR="00417F8D">
        <w:t xml:space="preserve">, </w:t>
      </w:r>
      <m:oMath>
        <m:r>
          <w:rPr>
            <w:rFonts w:ascii="Cambria Math" w:hAnsi="Cambria Math"/>
          </w:rPr>
          <m:t>p=.023</m:t>
        </m:r>
      </m:oMath>
      <w:r w:rsidR="00417F8D">
        <w:t xml:space="preserve">; Sucrose magazine: Acquisition vs Thirst </w:t>
      </w:r>
      <m:oMath>
        <m:r>
          <w:rPr>
            <w:rFonts w:ascii="Cambria Math" w:hAnsi="Cambria Math"/>
          </w:rPr>
          <m:t>t(7)=-2.50</m:t>
        </m:r>
      </m:oMath>
      <w:r w:rsidR="00417F8D">
        <w:t xml:space="preserve">, </w:t>
      </w:r>
      <m:oMath>
        <m:r>
          <w:rPr>
            <w:rFonts w:ascii="Cambria Math" w:hAnsi="Cambria Math"/>
          </w:rPr>
          <m:t>p=.092</m:t>
        </m:r>
      </m:oMath>
      <w:r w:rsidR="00417F8D">
        <w:t xml:space="preserve"> 4xSucrose vs Acquisition </w:t>
      </w:r>
      <m:oMath>
        <m:r>
          <w:rPr>
            <w:rFonts w:ascii="Cambria Math" w:hAnsi="Cambria Math"/>
          </w:rPr>
          <w:lastRenderedPageBreak/>
          <m:t>t(7)=-3.86</m:t>
        </m:r>
      </m:oMath>
      <w:r w:rsidR="00417F8D">
        <w:t xml:space="preserve">, </w:t>
      </w:r>
      <m:oMath>
        <m:r>
          <w:rPr>
            <w:rFonts w:ascii="Cambria Math" w:hAnsi="Cambria Math"/>
          </w:rPr>
          <m:t>p=.015</m:t>
        </m:r>
      </m:oMath>
      <w:r w:rsidR="00417F8D">
        <w:t xml:space="preserve"> 4xSucrose vs Thirst </w:t>
      </w:r>
      <m:oMath>
        <m:r>
          <w:rPr>
            <w:rFonts w:ascii="Cambria Math" w:hAnsi="Cambria Math"/>
          </w:rPr>
          <m:t>t(7)=-4.19</m:t>
        </m:r>
      </m:oMath>
      <w:r w:rsidR="00417F8D">
        <w:t xml:space="preserve">, </w:t>
      </w:r>
      <m:oMath>
        <m:r>
          <w:rPr>
            <w:rFonts w:ascii="Cambria Math" w:hAnsi="Cambria Math"/>
          </w:rPr>
          <m:t>p=.010</m:t>
        </m:r>
      </m:oMath>
      <w:r w:rsidR="00417F8D">
        <w:t xml:space="preserve">; Pellet magazine: Acquisition vs Thirst </w:t>
      </w:r>
      <m:oMath>
        <m:r>
          <w:rPr>
            <w:rFonts w:ascii="Cambria Math" w:hAnsi="Cambria Math"/>
          </w:rPr>
          <m:t>t(7)=0.65</m:t>
        </m:r>
      </m:oMath>
      <w:r w:rsidR="00417F8D">
        <w:t xml:space="preserve">, </w:t>
      </w:r>
      <m:oMath>
        <m:r>
          <w:rPr>
            <w:rFonts w:ascii="Cambria Math" w:hAnsi="Cambria Math"/>
          </w:rPr>
          <m:t>p=.801</m:t>
        </m:r>
      </m:oMath>
      <w:r w:rsidR="00417F8D">
        <w:t xml:space="preserve"> 4xSucrose vs Acquisition </w:t>
      </w:r>
      <m:oMath>
        <m:r>
          <w:rPr>
            <w:rFonts w:ascii="Cambria Math" w:hAnsi="Cambria Math"/>
          </w:rPr>
          <m:t>t(7)=1.86</m:t>
        </m:r>
      </m:oMath>
      <w:r w:rsidR="00417F8D">
        <w:t xml:space="preserve">, </w:t>
      </w:r>
      <m:oMath>
        <m:r>
          <w:rPr>
            <w:rFonts w:ascii="Cambria Math" w:hAnsi="Cambria Math"/>
          </w:rPr>
          <m:t>p=.221</m:t>
        </m:r>
      </m:oMath>
      <w:r w:rsidR="00417F8D">
        <w:t xml:space="preserve"> 4xSucrose vs Thirst </w:t>
      </w:r>
      <m:oMath>
        <m:r>
          <w:rPr>
            <w:rFonts w:ascii="Cambria Math" w:hAnsi="Cambria Math"/>
          </w:rPr>
          <m:t>t(7)=1.01</m:t>
        </m:r>
      </m:oMath>
      <w:r w:rsidR="00417F8D">
        <w:t xml:space="preserve">, </w:t>
      </w:r>
      <m:oMath>
        <m:r>
          <w:rPr>
            <w:rFonts w:ascii="Cambria Math" w:hAnsi="Cambria Math"/>
          </w:rPr>
          <m:t>p=.596</m:t>
        </m:r>
      </m:oMath>
      <w:r w:rsidR="00417F8D">
        <w:t xml:space="preserve">). No other meaningful effects were significant (significant Period x Probability interaction </w:t>
      </w:r>
      <m:oMath>
        <m:r>
          <w:rPr>
            <w:rFonts w:ascii="Cambria Math" w:hAnsi="Cambria Math"/>
          </w:rPr>
          <m:t>F(2,14)=9.58</m:t>
        </m:r>
      </m:oMath>
      <w:r w:rsidR="00417F8D">
        <w:t xml:space="preserve">, </w:t>
      </w:r>
      <m:oMath>
        <m:r>
          <w:rPr>
            <w:rFonts w:ascii="Cambria Math" w:hAnsi="Cambria Math"/>
          </w:rPr>
          <m:t>p=.002</m:t>
        </m:r>
      </m:oMath>
      <w:r w:rsidR="00417F8D">
        <w:t xml:space="preserve">; all remaining effects </w:t>
      </w:r>
      <w:r w:rsidR="00417F8D">
        <w:rPr>
          <w:i/>
        </w:rPr>
        <w:t>F</w:t>
      </w:r>
      <w:r w:rsidR="00417F8D">
        <w:t xml:space="preserve"> &lt; 3.421, </w:t>
      </w:r>
      <w:r w:rsidR="00417F8D">
        <w:rPr>
          <w:i/>
        </w:rPr>
        <w:t>p</w:t>
      </w:r>
      <w:r w:rsidR="00417F8D">
        <w:t xml:space="preserve"> &gt; .06).</w:t>
      </w:r>
      <w:r w:rsidR="00946107">
        <w:t xml:space="preserve"> </w:t>
      </w:r>
    </w:p>
    <w:p w14:paraId="541ED0AC" w14:textId="77777777" w:rsidR="002D2A1F" w:rsidRPr="004779A5" w:rsidRDefault="002D2A1F" w:rsidP="002D2A1F">
      <w:pPr>
        <w:pStyle w:val="BodyText"/>
        <w:rPr>
          <w:i/>
          <w:iCs/>
        </w:rPr>
      </w:pPr>
      <w:r w:rsidRPr="004779A5">
        <w:rPr>
          <w:b/>
          <w:i/>
          <w:iCs/>
        </w:rPr>
        <w:t>The effect of OFC inactivation on updating relative expected value</w:t>
      </w:r>
    </w:p>
    <w:p w14:paraId="5CAEB0DC" w14:textId="0E053863" w:rsidR="00922170" w:rsidRDefault="002D2A1F" w:rsidP="002D2A1F">
      <w:pPr>
        <w:pStyle w:val="BodyText"/>
      </w:pPr>
      <w:r>
        <w:t xml:space="preserve">Next, these animals were implanted with bilateral cannulae to assess the role of the OFC in updating relative expected value. </w:t>
      </w:r>
      <w:r w:rsidR="00922170">
        <w:t xml:space="preserve">Animals were tested following muscimol </w:t>
      </w:r>
      <w:r w:rsidR="00FB2D5A">
        <w:t>or saline infusions (within-subjects, counterbalanced order) on a modified task that went from low to high probability</w:t>
      </w:r>
      <w:r w:rsidR="00986352">
        <w:t xml:space="preserve"> only. This provided a shorter session to </w:t>
      </w:r>
      <w:r w:rsidR="00B336DF">
        <w:t>ensure the efficacy of</w:t>
      </w:r>
      <w:r w:rsidR="00D57689">
        <w:t xml:space="preserve"> muscimol </w:t>
      </w:r>
      <w:r w:rsidR="00B336DF">
        <w:t>throughout the session</w:t>
      </w:r>
      <w:r w:rsidR="00D57689">
        <w:t xml:space="preserve">, and the fixed probability order minimized any potential </w:t>
      </w:r>
      <w:r w:rsidR="00DB616C">
        <w:t>for satiety to confound behaviour later in the session.</w:t>
      </w:r>
    </w:p>
    <w:p w14:paraId="5A676BE6" w14:textId="4642A5A4" w:rsidR="00096B58" w:rsidRDefault="00096B58" w:rsidP="002D2A1F">
      <w:pPr>
        <w:pStyle w:val="BodyText"/>
      </w:pPr>
      <w:r>
        <w:t xml:space="preserve">We </w:t>
      </w:r>
      <w:r w:rsidR="003A0F63">
        <w:t xml:space="preserve">hypothesized that OFC </w:t>
      </w:r>
      <w:r w:rsidR="00130D72">
        <w:t xml:space="preserve">function </w:t>
      </w:r>
      <w:r w:rsidR="003A0F63">
        <w:t>was necessary for</w:t>
      </w:r>
      <w:r w:rsidR="00310864">
        <w:t xml:space="preserve"> </w:t>
      </w:r>
      <w:r w:rsidR="00246F20">
        <w:t xml:space="preserve">flexibly </w:t>
      </w:r>
      <w:r w:rsidR="00690A1C">
        <w:t>controlling</w:t>
      </w:r>
      <w:r w:rsidR="00310864">
        <w:t xml:space="preserve"> the strength of</w:t>
      </w:r>
      <w:r w:rsidR="00690A1C">
        <w:t xml:space="preserve"> Pavlovian </w:t>
      </w:r>
      <w:r w:rsidR="00AC46D2">
        <w:t xml:space="preserve">anticipatory </w:t>
      </w:r>
      <w:r w:rsidR="00310864">
        <w:t>behaviour</w:t>
      </w:r>
      <w:r w:rsidR="00AC46D2">
        <w:t xml:space="preserve"> </w:t>
      </w:r>
      <w:r w:rsidR="00917E4F">
        <w:t xml:space="preserve">relative to the </w:t>
      </w:r>
      <w:r w:rsidR="00C46E9D">
        <w:t xml:space="preserve">current </w:t>
      </w:r>
      <w:r w:rsidR="00917E4F">
        <w:t>value of</w:t>
      </w:r>
      <w:r w:rsidR="00C46E9D">
        <w:t xml:space="preserve"> the outcome and </w:t>
      </w:r>
      <w:r w:rsidR="00246F20">
        <w:t>alternative behavioural options in the environment.</w:t>
      </w:r>
      <w:r w:rsidR="00917E4F">
        <w:t xml:space="preserve"> </w:t>
      </w:r>
      <w:r w:rsidR="00BD3437">
        <w:t>Specifically, in the present task</w:t>
      </w:r>
      <w:r w:rsidR="003F4E23">
        <w:t>, following muscimol inactivation,</w:t>
      </w:r>
      <w:r w:rsidR="00BD3437">
        <w:t xml:space="preserve"> we predicted that </w:t>
      </w:r>
      <w:r w:rsidR="002C4C6C">
        <w:t xml:space="preserve">behaviour at the Sucrose </w:t>
      </w:r>
      <w:r w:rsidR="003F4E23">
        <w:t xml:space="preserve">magazine  </w:t>
      </w:r>
      <w:r w:rsidR="002C4C6C">
        <w:t xml:space="preserve">would remain sensitive to the </w:t>
      </w:r>
      <w:r w:rsidR="003F4E23">
        <w:t xml:space="preserve">probability of sucrose whereas behaviour at the </w:t>
      </w:r>
      <w:r w:rsidR="00105877">
        <w:t xml:space="preserve">Pellet magazine during the CS would no longer be modulated by probability of sucrose i.e. </w:t>
      </w:r>
      <w:r w:rsidR="003E6D4B">
        <w:t xml:space="preserve">behaviour </w:t>
      </w:r>
      <w:r w:rsidR="004465C9">
        <w:t>controlled by</w:t>
      </w:r>
      <w:r w:rsidR="003E6D4B">
        <w:t xml:space="preserve"> Pavlovian expected value </w:t>
      </w:r>
      <w:r w:rsidR="004C778B">
        <w:t>would become inflexible</w:t>
      </w:r>
      <w:r w:rsidR="00105877">
        <w:t>.</w:t>
      </w:r>
      <w:r w:rsidR="004C778B">
        <w:t xml:space="preserve"> </w:t>
      </w:r>
      <w:r w:rsidR="00105877">
        <w:t xml:space="preserve"> </w:t>
      </w:r>
    </w:p>
    <w:p w14:paraId="7F11D0DC" w14:textId="4F482014" w:rsidR="00A82FD4" w:rsidRDefault="00A82FD4" w:rsidP="00A82FD4">
      <w:pPr>
        <w:pStyle w:val="BodyText"/>
      </w:pPr>
      <w:r>
        <w:t>First, during the PreCS period, all animals were able to detect changes in the probability of the unsignalled sucrose reward, and appropriately update Sucrose magazine approach behaviour (</w:t>
      </w:r>
      <w:r w:rsidRPr="00A82FD4">
        <w:rPr>
          <w:highlight w:val="yellow"/>
        </w:rPr>
        <w:t xml:space="preserve">Figure </w:t>
      </w:r>
      <w:r w:rsidR="003E0410">
        <w:rPr>
          <w:highlight w:val="yellow"/>
        </w:rPr>
        <w:t>5A-B</w:t>
      </w:r>
      <w:r w:rsidRPr="00A82FD4">
        <w:rPr>
          <w:highlight w:val="yellow"/>
        </w:rPr>
        <w:t>;</w:t>
      </w:r>
      <w:r>
        <w:t xml:space="preserve"> PreCS period: Significant Probability x Magazine interaction </w:t>
      </w:r>
      <m:oMath>
        <m:r>
          <w:rPr>
            <w:rFonts w:ascii="Cambria Math" w:hAnsi="Cambria Math"/>
          </w:rPr>
          <m:t>F(1,5)=9.06</m:t>
        </m:r>
      </m:oMath>
      <w:r>
        <w:t xml:space="preserve">, </w:t>
      </w:r>
      <m:oMath>
        <m:r>
          <w:rPr>
            <w:rFonts w:ascii="Cambria Math" w:hAnsi="Cambria Math"/>
          </w:rPr>
          <m:t>p=.030</m:t>
        </m:r>
      </m:oMath>
      <w:r>
        <w:t xml:space="preserve">, and main effects of Probability </w:t>
      </w:r>
      <m:oMath>
        <m:r>
          <w:rPr>
            <w:rFonts w:ascii="Cambria Math" w:hAnsi="Cambria Math"/>
          </w:rPr>
          <m:t>F(1,5)=12.23</m:t>
        </m:r>
      </m:oMath>
      <w:r>
        <w:t xml:space="preserve">, </w:t>
      </w:r>
      <m:oMath>
        <m:r>
          <w:rPr>
            <w:rFonts w:ascii="Cambria Math" w:hAnsi="Cambria Math"/>
          </w:rPr>
          <m:t>p=.017</m:t>
        </m:r>
      </m:oMath>
      <w:r>
        <w:t xml:space="preserve">, and Magazine </w:t>
      </w:r>
      <m:oMath>
        <m:r>
          <w:rPr>
            <w:rFonts w:ascii="Cambria Math" w:hAnsi="Cambria Math"/>
          </w:rPr>
          <m:t>F(1,5)=20.50</m:t>
        </m:r>
      </m:oMath>
      <w:r>
        <w:t xml:space="preserve">, </w:t>
      </w:r>
      <m:oMath>
        <m:r>
          <w:rPr>
            <w:rFonts w:ascii="Cambria Math" w:hAnsi="Cambria Math"/>
          </w:rPr>
          <m:t>p=.006</m:t>
        </m:r>
      </m:oMath>
      <w:r>
        <w:t xml:space="preserve">; No significant main effect or interaction with Drug). Specifically, during the PreCS period, anticipatory approach to the Sucrose magazine in both drug conditions increased with the probability of sucrose (Sucrose magazine: Low vs High probability </w:t>
      </w:r>
      <m:oMath>
        <m:r>
          <w:rPr>
            <w:rFonts w:ascii="Cambria Math" w:hAnsi="Cambria Math"/>
          </w:rPr>
          <m:t>t(5)=-3.28</m:t>
        </m:r>
      </m:oMath>
      <w:r>
        <w:t xml:space="preserve">, </w:t>
      </w:r>
      <m:oMath>
        <m:r>
          <w:rPr>
            <w:rFonts w:ascii="Cambria Math" w:hAnsi="Cambria Math"/>
          </w:rPr>
          <m:t>p=.022</m:t>
        </m:r>
      </m:oMath>
      <w:r>
        <w:t xml:space="preserve">), whereas approach to the </w:t>
      </w:r>
      <w:r w:rsidR="009550DE">
        <w:t>P</w:t>
      </w:r>
      <w:r>
        <w:t xml:space="preserve">ellet magazine did not change (Pellet magazine: Low vs High probability </w:t>
      </w:r>
      <m:oMath>
        <m:r>
          <w:rPr>
            <w:rFonts w:ascii="Cambria Math" w:hAnsi="Cambria Math"/>
          </w:rPr>
          <m:t>t(5)=-1.42</m:t>
        </m:r>
      </m:oMath>
      <w:r>
        <w:t xml:space="preserve">, </w:t>
      </w:r>
      <m:oMath>
        <m:r>
          <w:rPr>
            <w:rFonts w:ascii="Cambria Math" w:hAnsi="Cambria Math"/>
          </w:rPr>
          <m:t>p=.215</m:t>
        </m:r>
      </m:oMath>
      <w:r>
        <w:t>).</w:t>
      </w:r>
      <w:r w:rsidR="00E27E33">
        <w:t xml:space="preserve"> </w:t>
      </w:r>
    </w:p>
    <w:p w14:paraId="77C3B32F" w14:textId="578D3AC4" w:rsidR="009550DE" w:rsidRDefault="00E27E33" w:rsidP="009550DE">
      <w:pPr>
        <w:pStyle w:val="BodyText"/>
      </w:pPr>
      <w:r>
        <w:t xml:space="preserve">Next, </w:t>
      </w:r>
      <w:r w:rsidR="00C17021">
        <w:t xml:space="preserve">during the CS period, </w:t>
      </w:r>
      <w:r w:rsidR="009550DE">
        <w:t>OFC inactivation significantly disrupted activity at the Pellet magazine but left activity at the Sucrose magazine intact (</w:t>
      </w:r>
      <w:r w:rsidR="009550DE" w:rsidRPr="009550DE">
        <w:rPr>
          <w:highlight w:val="yellow"/>
        </w:rPr>
        <w:t xml:space="preserve">Figure </w:t>
      </w:r>
      <w:r w:rsidR="003E0410" w:rsidRPr="00D44645">
        <w:rPr>
          <w:highlight w:val="yellow"/>
        </w:rPr>
        <w:t>5C</w:t>
      </w:r>
      <w:r w:rsidR="00D44645" w:rsidRPr="00D44645">
        <w:rPr>
          <w:highlight w:val="yellow"/>
        </w:rPr>
        <w:t>-</w:t>
      </w:r>
      <w:r w:rsidR="003E0410" w:rsidRPr="00D44645">
        <w:rPr>
          <w:highlight w:val="yellow"/>
        </w:rPr>
        <w:t>D</w:t>
      </w:r>
      <w:r w:rsidR="009550DE">
        <w:t xml:space="preserve">; CS period: significant Drug x Magazine x Probability 3-way interaction </w:t>
      </w:r>
      <m:oMath>
        <m:r>
          <w:rPr>
            <w:rFonts w:ascii="Cambria Math" w:hAnsi="Cambria Math"/>
          </w:rPr>
          <m:t>F(1,5)=8.37</m:t>
        </m:r>
      </m:oMath>
      <w:r w:rsidR="009550DE">
        <w:t xml:space="preserve">, </w:t>
      </w:r>
      <m:oMath>
        <m:r>
          <w:rPr>
            <w:rFonts w:ascii="Cambria Math" w:hAnsi="Cambria Math"/>
          </w:rPr>
          <m:t>p=.034</m:t>
        </m:r>
      </m:oMath>
      <w:r w:rsidR="009550DE">
        <w:t xml:space="preserve">). Activity at the Sucrose magazine was not affected by muscimol infusions (Sucrose magazine: no significant main effect of Drug </w:t>
      </w:r>
      <m:oMath>
        <m:r>
          <w:rPr>
            <w:rFonts w:ascii="Cambria Math" w:hAnsi="Cambria Math"/>
          </w:rPr>
          <m:t>F(1,5)=3.53</m:t>
        </m:r>
      </m:oMath>
      <w:r w:rsidR="009550DE">
        <w:t xml:space="preserve">, </w:t>
      </w:r>
      <m:oMath>
        <m:r>
          <w:rPr>
            <w:rFonts w:ascii="Cambria Math" w:hAnsi="Cambria Math"/>
          </w:rPr>
          <m:t>p=.119</m:t>
        </m:r>
      </m:oMath>
      <w:r w:rsidR="009550DE">
        <w:t xml:space="preserve">, or Drug x Probability interaction </w:t>
      </w:r>
      <m:oMath>
        <m:r>
          <w:rPr>
            <w:rFonts w:ascii="Cambria Math" w:hAnsi="Cambria Math"/>
          </w:rPr>
          <m:t>F(1,5)=4.67</m:t>
        </m:r>
      </m:oMath>
      <w:r w:rsidR="009550DE">
        <w:t xml:space="preserve">, </w:t>
      </w:r>
      <m:oMath>
        <m:r>
          <w:rPr>
            <w:rFonts w:ascii="Cambria Math" w:hAnsi="Cambria Math"/>
          </w:rPr>
          <m:t>p=.083</m:t>
        </m:r>
      </m:oMath>
      <w:r w:rsidR="009550DE">
        <w:t xml:space="preserve">), whereas activity at the Pellet magazine was significantly disrupted by muscimol infusions (Pellet magazine: significant Drug x Probability interaction </w:t>
      </w:r>
      <m:oMath>
        <m:r>
          <w:rPr>
            <w:rFonts w:ascii="Cambria Math" w:hAnsi="Cambria Math"/>
          </w:rPr>
          <m:t>F(1,5)=9.93</m:t>
        </m:r>
      </m:oMath>
      <w:r w:rsidR="009550DE">
        <w:t xml:space="preserve">, </w:t>
      </w:r>
      <m:oMath>
        <m:r>
          <w:rPr>
            <w:rFonts w:ascii="Cambria Math" w:hAnsi="Cambria Math"/>
          </w:rPr>
          <m:t>p=.025</m:t>
        </m:r>
      </m:oMath>
      <w:r w:rsidR="009550DE">
        <w:t xml:space="preserve">). Simple effects revealed that </w:t>
      </w:r>
      <w:r w:rsidR="00EF749A">
        <w:t>P</w:t>
      </w:r>
      <w:r w:rsidR="009550DE">
        <w:t>ellet magazine responding was lower after muscimol than saline infusions for the low probability of dipper reward (</w:t>
      </w:r>
      <m:oMath>
        <m:r>
          <w:rPr>
            <w:rFonts w:ascii="Cambria Math" w:hAnsi="Cambria Math"/>
          </w:rPr>
          <m:t>t(5)=5.07</m:t>
        </m:r>
      </m:oMath>
      <w:r w:rsidR="009550DE">
        <w:t xml:space="preserve">, </w:t>
      </w:r>
      <m:oMath>
        <m:r>
          <w:rPr>
            <w:rFonts w:ascii="Cambria Math" w:hAnsi="Cambria Math"/>
          </w:rPr>
          <m:t>p=.004</m:t>
        </m:r>
      </m:oMath>
      <w:r w:rsidR="009550DE">
        <w:t>) but did not differ between infusions for the high probability of dipper reward (</w:t>
      </w:r>
      <m:oMath>
        <m:r>
          <w:rPr>
            <w:rFonts w:ascii="Cambria Math" w:hAnsi="Cambria Math"/>
          </w:rPr>
          <m:t>t(5)=-0.97</m:t>
        </m:r>
      </m:oMath>
      <w:r w:rsidR="009550DE">
        <w:t xml:space="preserve">, </w:t>
      </w:r>
      <m:oMath>
        <m:r>
          <w:rPr>
            <w:rFonts w:ascii="Cambria Math" w:hAnsi="Cambria Math"/>
          </w:rPr>
          <m:t>p=.378</m:t>
        </m:r>
      </m:oMath>
      <w:r w:rsidR="009550DE">
        <w:t>).</w:t>
      </w:r>
    </w:p>
    <w:p w14:paraId="5527E28C" w14:textId="5F0FC7AF" w:rsidR="00040D80" w:rsidRDefault="00040D80" w:rsidP="00040D80">
      <w:pPr>
        <w:pStyle w:val="BodyText"/>
      </w:pPr>
      <w:r>
        <w:t>Finally, comparing the analysis of the PreCS and CS periods using a full Drug</w:t>
      </w:r>
      <w:r w:rsidR="00933B2C">
        <w:t xml:space="preserve"> </w:t>
      </w:r>
      <w:r>
        <w:t>(Saline, Muscimol) x Period</w:t>
      </w:r>
      <w:r w:rsidR="00933B2C">
        <w:t xml:space="preserve"> </w:t>
      </w:r>
      <w:r>
        <w:t>(PreCS, CS) x Magazine</w:t>
      </w:r>
      <w:r w:rsidR="00933B2C">
        <w:t xml:space="preserve"> </w:t>
      </w:r>
      <w:r>
        <w:t xml:space="preserve">(Sucrose, Pellet) x Probability (Low, High) repeated measures </w:t>
      </w:r>
      <w:r>
        <w:lastRenderedPageBreak/>
        <w:t xml:space="preserve">ANOVA confirmed </w:t>
      </w:r>
      <w:r w:rsidR="009D3AEB">
        <w:t xml:space="preserve">our prediction </w:t>
      </w:r>
      <w:r>
        <w:t>that the muscimol deficit was specific to the Pellet magazine in the CS period (</w:t>
      </w:r>
      <w:r w:rsidRPr="00FD60BB">
        <w:rPr>
          <w:highlight w:val="yellow"/>
        </w:rPr>
        <w:t xml:space="preserve">Figure </w:t>
      </w:r>
      <w:r w:rsidR="0052631C">
        <w:rPr>
          <w:highlight w:val="yellow"/>
        </w:rPr>
        <w:t>5</w:t>
      </w:r>
      <w:r w:rsidRPr="00FD60BB">
        <w:rPr>
          <w:highlight w:val="yellow"/>
        </w:rPr>
        <w:t>;</w:t>
      </w:r>
      <w:r>
        <w:t xml:space="preserve"> Significant Drug x Period x Magazine x Probability 4-way interaction </w:t>
      </w:r>
      <m:oMath>
        <m:r>
          <w:rPr>
            <w:rFonts w:ascii="Cambria Math" w:hAnsi="Cambria Math"/>
          </w:rPr>
          <m:t>F(1,5)=12.08</m:t>
        </m:r>
      </m:oMath>
      <w:r>
        <w:t xml:space="preserve">, </w:t>
      </w:r>
      <m:oMath>
        <m:r>
          <w:rPr>
            <w:rFonts w:ascii="Cambria Math" w:hAnsi="Cambria Math"/>
          </w:rPr>
          <m:t>p=.018</m:t>
        </m:r>
      </m:oMath>
      <w:r>
        <w:t>). OFC inactivation selectively disrupted the ability to modulate behaviour based on integrating Pavlovian expected values with the current rate of alternative rewards i.e. the current subjective value of the predicted reward.</w:t>
      </w:r>
      <w:r w:rsidR="00534EFE">
        <w:t xml:space="preserve"> </w:t>
      </w:r>
    </w:p>
    <w:p w14:paraId="644ADD9B" w14:textId="22F7236D" w:rsidR="006B4DE6" w:rsidRDefault="006B4DE6">
      <w:pPr>
        <w:rPr>
          <w:sz w:val="24"/>
          <w:szCs w:val="24"/>
        </w:rPr>
      </w:pPr>
      <w:r>
        <w:br w:type="page"/>
      </w:r>
    </w:p>
    <w:p w14:paraId="7BBAF2E6" w14:textId="54282569" w:rsidR="00DC3952" w:rsidRPr="00F0708B" w:rsidRDefault="004D6E79" w:rsidP="00F56CB9">
      <w:pPr>
        <w:pStyle w:val="BodyText"/>
        <w:rPr>
          <w:b/>
          <w:bCs/>
        </w:rPr>
      </w:pPr>
      <w:r w:rsidRPr="00F0708B">
        <w:rPr>
          <w:b/>
          <w:bCs/>
        </w:rPr>
        <w:lastRenderedPageBreak/>
        <w:t>Discussion</w:t>
      </w:r>
    </w:p>
    <w:p w14:paraId="3D976B19" w14:textId="0A32723D" w:rsidR="001D0D31" w:rsidRPr="00F0708B" w:rsidRDefault="001D0D31" w:rsidP="001D0D31">
      <w:pPr>
        <w:pStyle w:val="BodyText"/>
      </w:pPr>
      <w:r w:rsidRPr="00F0708B">
        <w:t xml:space="preserve">The present studies tested the hypothesis that the rodent lateral OFC is not necessary for Pavlovian acquisition. Here we show that OFC lesions and inactivation significantly affects Pavlovian acquisition in a simple single CS-US procedure. Furthermore, we found a dissociation between pre- and post-training OFC manipulations on Pavlovian acquisition such that pre-training OFC lesions enhance, whereas post-training lesions and inactivation impairs acquisition behaviour. Next, using an associative blocking design, we tested whether impaired behaviour following post-training OFC inactivation reflects a disruption of learning or behavioural control. OFC inactivation did not disrupt the underlying learning about the predictive CS-US relationship, and instead disrupted the appropriate control of anticipatory behaviour to the CS. Finally, we assessed whether this impaired behavioural control reflects an inability to update the current value of the Pavlovian CS relative to the value of alternative behavioural options. Indeed, </w:t>
      </w:r>
      <w:r w:rsidR="00FE464B" w:rsidRPr="00F0708B">
        <w:t xml:space="preserve">OFC </w:t>
      </w:r>
      <w:r w:rsidRPr="00F0708B">
        <w:t>inactivation selectively disrupted the flexible control of Pavlovian CS approach behaviour when its relative value changed but did not disrupt sensitivity to the value of alternative/non-Pavlovian behaviours in the environment.</w:t>
      </w:r>
    </w:p>
    <w:p w14:paraId="74F47D03" w14:textId="323CC0CD" w:rsidR="001D0D31" w:rsidRPr="00F0708B" w:rsidRDefault="001D0D31" w:rsidP="001D0D31">
      <w:pPr>
        <w:pStyle w:val="BodyText"/>
        <w:rPr>
          <w:b/>
          <w:bCs/>
        </w:rPr>
      </w:pPr>
      <w:r w:rsidRPr="00F0708B">
        <w:rPr>
          <w:b/>
          <w:bCs/>
        </w:rPr>
        <w:t xml:space="preserve">Lateral OFC is necessary for </w:t>
      </w:r>
      <w:r w:rsidR="00163C6E" w:rsidRPr="00F0708B">
        <w:rPr>
          <w:b/>
          <w:bCs/>
        </w:rPr>
        <w:t xml:space="preserve">simple </w:t>
      </w:r>
      <w:r w:rsidRPr="00F0708B">
        <w:rPr>
          <w:b/>
          <w:bCs/>
        </w:rPr>
        <w:t>Pavlovian acquisition</w:t>
      </w:r>
    </w:p>
    <w:p w14:paraId="6130F186" w14:textId="6906AEFC" w:rsidR="001A3FF9" w:rsidRPr="00F0708B" w:rsidRDefault="001D0D31" w:rsidP="001D0D31">
      <w:pPr>
        <w:rPr>
          <w:sz w:val="24"/>
          <w:szCs w:val="24"/>
        </w:rPr>
      </w:pPr>
      <w:r w:rsidRPr="00F0708B">
        <w:rPr>
          <w:sz w:val="24"/>
          <w:szCs w:val="24"/>
        </w:rPr>
        <w:t xml:space="preserve">The </w:t>
      </w:r>
      <w:r w:rsidR="00610DCE" w:rsidRPr="00F0708B">
        <w:rPr>
          <w:sz w:val="24"/>
          <w:szCs w:val="24"/>
        </w:rPr>
        <w:t xml:space="preserve">significant </w:t>
      </w:r>
      <w:r w:rsidRPr="00F0708B">
        <w:rPr>
          <w:sz w:val="24"/>
          <w:szCs w:val="24"/>
        </w:rPr>
        <w:t xml:space="preserve">role of the OFC in Pavlovian acquisition in the present studies is surprising </w:t>
      </w:r>
      <w:r w:rsidR="00B916E2" w:rsidRPr="00F0708B">
        <w:rPr>
          <w:sz w:val="24"/>
          <w:szCs w:val="24"/>
        </w:rPr>
        <w:t xml:space="preserve">since </w:t>
      </w:r>
      <w:r w:rsidRPr="00F0708B">
        <w:rPr>
          <w:sz w:val="24"/>
          <w:szCs w:val="24"/>
        </w:rPr>
        <w:t>OFC lesions and inactivation have consistently been reported to have no effect on acquisition</w:t>
      </w:r>
      <w:r w:rsidR="00C61996" w:rsidRPr="00F0708B">
        <w:rPr>
          <w:sz w:val="24"/>
          <w:szCs w:val="24"/>
        </w:rPr>
        <w:t xml:space="preserve"> in rats</w:t>
      </w:r>
      <w:r w:rsidR="0076644E" w:rsidRPr="00F0708B">
        <w:rPr>
          <w:sz w:val="24"/>
          <w:szCs w:val="24"/>
        </w:rPr>
        <w:t xml:space="preserve"> </w:t>
      </w:r>
      <w:r w:rsidR="0076644E" w:rsidRPr="00F0708B">
        <w:rPr>
          <w:sz w:val="24"/>
          <w:szCs w:val="24"/>
        </w:rPr>
        <w:fldChar w:fldCharType="begin" w:fldLock="1"/>
      </w:r>
      <w:r w:rsidR="006159CE">
        <w:rPr>
          <w:sz w:val="24"/>
          <w:szCs w:val="24"/>
        </w:rPr>
        <w:instrText>ADDIN CSL_CITATION {"citationItems":[{"id":"ITEM-1","itemData":{"DOI":"DOI 10.1016/j.neuron.2007.02.014","ISBN":"0896-6273","author":[{"dropping-particle":"","family":"Stalnaker","given":"Thomas A","non-dropping-particle":"","parse-names":false,"suffix":""},{"dropping-particle":"","family":"Franz","given":"T M","non-dropping-particle":"","parse-names":false,"suffix":""},{"dropping-particle":"","family":"Singh","given":"T","non-dropping-particle":"","parse-names":false,"suffix":""},{"dropping-particle":"","family":"Schoenbaum","given":"G","non-dropping-particle":"","parse-names":false,"suffix":""}],"container-title":"Neuron","id":"ITEM-1","issue":"1","issued":{"date-parts":[["2007"]]},"language":"English","page":"51-58","title":"Basolateral amygdala lesions abolish orbitofrontal-dependent reversal impairments","type":"article-journal","volume":"54"},"uris":["http://www.mendeley.com/documents/?uuid=73aeb339-a851-4790-a77c-41796aa9bd2c"]},{"id":"ITEM-2","itemData":{"ISBN":"0959-4965","author":[{"dropping-particle":"","family":"Schoenbaum","given":"G","non-dropping-particle":"","parse-names":false,"suffix":""},{"dropping-particle":"","family":"Nugent","given":"S L","non-dropping-particle":"","parse-names":false,"suffix":""},{"dropping-particle":"","family":"Saddoris","given":"M P","non-dropping-particle":"","parse-names":false,"suffix":""},{"dropping-particle":"","family":"Setlow","given":"B","non-dropping-particle":"","parse-names":false,"suffix":""}],"container-title":"Neuroreport","id":"ITEM-2","issue":"6","issued":{"date-parts":[["2002"]]},"language":"English","page":"885-890","title":"Orbitofrontal lesions in rats impair reversal but not acquisition of go, no-go odor discriminations","type":"article-journal","volume":"13"},"uris":["http://www.mendeley.com/documents/?uuid=6a9c8c6b-d2e7-4139-807b-0fb6429d32a7"]},{"id":"ITEM-3","itemData":{"DOI":"Doi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-3","issue":"7202","issued":{"date-parts":[["2008"]]},"language":"English","page":"340-U45","title":"The role of the orbitofrontal cortex in the pursuit of happiness and more specific rewards","type":"article-journal","volume":"454"},"prefix":"e.g. ","uris":["http://www.mendeley.com/documents/?uuid=c3367cf0-c4f1-419c-80b8-0bb9c2afd479"]},{"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learning","type":"article-journal","volume":"19"},"uris":["http://www.mendeley.com/documents/?uuid=67ba92ca-b679-407e-9f2a-7aac71c3f739"]}],"mendeley":{"formattedCitation":"(e.g. Burke et al., 2008; Gallagher et al., 1999; Schoenbaum et al., 2002; Stalnaker et al., 2007)","plainTextFormattedCitation":"(e.g. Burke et al., 2008; Gallagher et al., 1999; Schoenbaum et al., 2002; Stalnaker et al., 2007)","previouslyFormattedCitation":"(e.g. Burke et al., 2008; Gallagher et al., 1999; Schoenbaum et al., 2002; Stalnaker et al., 2007)"},"properties":{"noteIndex":0},"schema":"https://github.com/citation-style-language/schema/raw/master/csl-citation.json"}</w:instrText>
      </w:r>
      <w:r w:rsidR="0076644E" w:rsidRPr="00F0708B">
        <w:rPr>
          <w:sz w:val="24"/>
          <w:szCs w:val="24"/>
        </w:rPr>
        <w:fldChar w:fldCharType="separate"/>
      </w:r>
      <w:r w:rsidR="00CA2485" w:rsidRPr="00CA2485">
        <w:rPr>
          <w:noProof/>
          <w:sz w:val="24"/>
          <w:szCs w:val="24"/>
        </w:rPr>
        <w:t>(e.g. Burke et al., 2008; Gallagher et al., 1999; Schoenbaum et al., 2002; Stalnaker et al., 2007)</w:t>
      </w:r>
      <w:r w:rsidR="0076644E" w:rsidRPr="00F0708B">
        <w:rPr>
          <w:sz w:val="24"/>
          <w:szCs w:val="24"/>
        </w:rPr>
        <w:fldChar w:fldCharType="end"/>
      </w:r>
      <w:r w:rsidRPr="00F0708B">
        <w:rPr>
          <w:sz w:val="24"/>
          <w:szCs w:val="24"/>
        </w:rPr>
        <w:t xml:space="preserve">, </w:t>
      </w:r>
      <w:r w:rsidR="00B916E2" w:rsidRPr="00F0708B">
        <w:rPr>
          <w:sz w:val="24"/>
          <w:szCs w:val="24"/>
        </w:rPr>
        <w:t xml:space="preserve">unless there </w:t>
      </w:r>
      <w:r w:rsidR="001F6963" w:rsidRPr="00F0708B">
        <w:rPr>
          <w:sz w:val="24"/>
          <w:szCs w:val="24"/>
        </w:rPr>
        <w:t>are complex cue or outcome specific task demands</w:t>
      </w:r>
      <w:r w:rsidRPr="00F0708B">
        <w:rPr>
          <w:sz w:val="24"/>
          <w:szCs w:val="24"/>
        </w:rPr>
        <w:t xml:space="preserve"> </w:t>
      </w:r>
      <w:r w:rsidR="003D16AE" w:rsidRPr="00F0708B">
        <w:rPr>
          <w:sz w:val="24"/>
          <w:szCs w:val="24"/>
        </w:rPr>
        <w:fldChar w:fldCharType="begin" w:fldLock="1"/>
      </w:r>
      <w:r w:rsidR="00C61996" w:rsidRPr="00F0708B">
        <w:rPr>
          <w:sz w:val="24"/>
          <w:szCs w:val="24"/>
        </w:rPr>
        <w:instrText>ADDIN CSL_CITATION {"citationItems":[{"id":"ITEM-1","itemData":{"DOI":"10.1037/0735-7044.121.5.896","ISBN":"0735-7044","author":[{"dropping-particle":"","family":"Ramirez","given":"D R","non-dropping-particle":"","parse-names":false,"suffix":""},{"dropping-particle":"","family":"Savage","given":"L M","non-dropping-particle":"","parse-names":false,"suffix":""}],"container-title":"Behav Neurosci","id":"ITEM-1","issue":"5","issued":{"date-parts":[["2007"]]},"language":"English","page":"896-906","title":"Differential involvement of the basolateral amygdala, orbitofrontal cortex, and nucleus accumbens core in the acquisition and use of reward expectancies","type":"article-journal","volume":"121"},"prefix":"e.g. ","uris":["http://www.mendeley.com/documents/?uuid=d2c1679a-994b-488a-8466-3042e7008941"]}],"mendeley":{"formattedCitation":"(e.g. Ramirez &amp; Savage, 2007)","plainTextFormattedCitation":"(e.g. Ramirez &amp; Savage, 2007)","previouslyFormattedCitation":"(e.g. Ramirez &amp; Savage, 2007)"},"properties":{"noteIndex":0},"schema":"https://github.com/citation-style-language/schema/raw/master/csl-citation.json"}</w:instrText>
      </w:r>
      <w:r w:rsidR="003D16AE" w:rsidRPr="00F0708B">
        <w:rPr>
          <w:sz w:val="24"/>
          <w:szCs w:val="24"/>
        </w:rPr>
        <w:fldChar w:fldCharType="separate"/>
      </w:r>
      <w:r w:rsidR="006250AA" w:rsidRPr="00F0708B">
        <w:rPr>
          <w:noProof/>
          <w:sz w:val="24"/>
          <w:szCs w:val="24"/>
        </w:rPr>
        <w:t>(e.g. Ramirez &amp; Savage, 2007)</w:t>
      </w:r>
      <w:r w:rsidR="003D16AE" w:rsidRPr="00F0708B">
        <w:rPr>
          <w:sz w:val="24"/>
          <w:szCs w:val="24"/>
        </w:rPr>
        <w:fldChar w:fldCharType="end"/>
      </w:r>
      <w:r w:rsidRPr="00F0708B">
        <w:rPr>
          <w:sz w:val="24"/>
          <w:szCs w:val="24"/>
        </w:rPr>
        <w:t xml:space="preserve">. </w:t>
      </w:r>
      <w:r w:rsidR="00796AF5" w:rsidRPr="00F0708B">
        <w:rPr>
          <w:sz w:val="24"/>
          <w:szCs w:val="24"/>
        </w:rPr>
        <w:t>For example, i</w:t>
      </w:r>
      <w:r w:rsidRPr="00F0708B">
        <w:rPr>
          <w:sz w:val="24"/>
          <w:szCs w:val="24"/>
        </w:rPr>
        <w:t xml:space="preserve">n tasks involving simple single Pavlovian CS-US procedures and pre-training OFC lesions, performance </w:t>
      </w:r>
      <w:r w:rsidR="008C433B" w:rsidRPr="00F0708B">
        <w:rPr>
          <w:sz w:val="24"/>
          <w:szCs w:val="24"/>
        </w:rPr>
        <w:t>often does not reach</w:t>
      </w:r>
      <w:r w:rsidRPr="00F0708B">
        <w:rPr>
          <w:sz w:val="24"/>
          <w:szCs w:val="24"/>
        </w:rPr>
        <w:t xml:space="preserve"> asymptote (e.g. after 9 days, </w:t>
      </w:r>
      <w:r w:rsidR="001F6963" w:rsidRPr="00F0708B">
        <w:rPr>
          <w:sz w:val="24"/>
          <w:szCs w:val="24"/>
        </w:rPr>
        <w:fldChar w:fldCharType="begin" w:fldLock="1"/>
      </w:r>
      <w:r w:rsidR="006250AA" w:rsidRPr="00F0708B">
        <w:rPr>
          <w:sz w:val="24"/>
          <w:szCs w:val="24"/>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learning","type":"article-journal","volume":"19"},"uris":["http://www.mendeley.com/documents/?uuid=67ba92ca-b679-407e-9f2a-7aac71c3f739"]}],"mendeley":{"formattedCitation":"(Gallagher et al., 1999)","plainTextFormattedCitation":"(Gallagher et al., 1999)","previouslyFormattedCitation":"(Gallagher et al., 1999)"},"properties":{"noteIndex":0},"schema":"https://github.com/citation-style-language/schema/raw/master/csl-citation.json"}</w:instrText>
      </w:r>
      <w:r w:rsidR="001F6963" w:rsidRPr="00F0708B">
        <w:rPr>
          <w:sz w:val="24"/>
          <w:szCs w:val="24"/>
        </w:rPr>
        <w:fldChar w:fldCharType="separate"/>
      </w:r>
      <w:r w:rsidR="001F6963" w:rsidRPr="00F0708B">
        <w:rPr>
          <w:noProof/>
          <w:sz w:val="24"/>
          <w:szCs w:val="24"/>
        </w:rPr>
        <w:t>(Gallagher et al., 1999)</w:t>
      </w:r>
      <w:r w:rsidR="001F6963" w:rsidRPr="00F0708B">
        <w:rPr>
          <w:sz w:val="24"/>
          <w:szCs w:val="24"/>
        </w:rPr>
        <w:fldChar w:fldCharType="end"/>
      </w:r>
      <w:r w:rsidRPr="00F0708B">
        <w:rPr>
          <w:sz w:val="24"/>
          <w:szCs w:val="24"/>
        </w:rPr>
        <w:t xml:space="preserve">) before proceeding to a new stage of the experiment. In Experiment 1, we did not observe any significant effects of OFC lesions on acquisition until around 15-21 days of acquisition. However, after extended training Schoenbaum et al </w:t>
      </w:r>
      <w:r w:rsidR="00C61996" w:rsidRPr="00F0708B">
        <w:rPr>
          <w:sz w:val="24"/>
          <w:szCs w:val="24"/>
        </w:rPr>
        <w:fldChar w:fldCharType="begin" w:fldLock="1"/>
      </w:r>
      <w:r w:rsidR="00944175">
        <w:rPr>
          <w:sz w:val="24"/>
          <w:szCs w:val="24"/>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suppress-author":1,"uris":["http://www.mendeley.com/documents/?uuid=5ebfb22c-1f18-498d-8cd4-28e2d758f013"]}],"mendeley":{"formattedCitation":"(2003)","plainTextFormattedCitation":"(2003)","previouslyFormattedCitation":"(2003)"},"properties":{"noteIndex":0},"schema":"https://github.com/citation-style-language/schema/raw/master/csl-citation.json"}</w:instrText>
      </w:r>
      <w:r w:rsidR="00C61996" w:rsidRPr="00F0708B">
        <w:rPr>
          <w:sz w:val="24"/>
          <w:szCs w:val="24"/>
        </w:rPr>
        <w:fldChar w:fldCharType="separate"/>
      </w:r>
      <w:r w:rsidR="00944175" w:rsidRPr="00944175">
        <w:rPr>
          <w:noProof/>
          <w:sz w:val="24"/>
          <w:szCs w:val="24"/>
        </w:rPr>
        <w:t>(2003)</w:t>
      </w:r>
      <w:r w:rsidR="00C61996" w:rsidRPr="00F0708B">
        <w:rPr>
          <w:sz w:val="24"/>
          <w:szCs w:val="24"/>
        </w:rPr>
        <w:fldChar w:fldCharType="end"/>
      </w:r>
      <w:r w:rsidRPr="00F0708B">
        <w:rPr>
          <w:sz w:val="24"/>
          <w:szCs w:val="24"/>
        </w:rPr>
        <w:t xml:space="preserve"> have reported significant effects of OFC lesions on acquisition in a simple cue-outcome go-nogo task when looking at response latencies, but not on trials-to-criterion. Th</w:t>
      </w:r>
      <w:r w:rsidR="00C008DA" w:rsidRPr="00F0708B">
        <w:rPr>
          <w:sz w:val="24"/>
          <w:szCs w:val="24"/>
        </w:rPr>
        <w:t xml:space="preserve">erefore, </w:t>
      </w:r>
      <w:r w:rsidRPr="00F0708B">
        <w:rPr>
          <w:sz w:val="24"/>
          <w:szCs w:val="24"/>
        </w:rPr>
        <w:t>the effect</w:t>
      </w:r>
      <w:r w:rsidR="00C008DA" w:rsidRPr="00F0708B">
        <w:rPr>
          <w:sz w:val="24"/>
          <w:szCs w:val="24"/>
        </w:rPr>
        <w:t>s</w:t>
      </w:r>
      <w:r w:rsidRPr="00F0708B">
        <w:rPr>
          <w:sz w:val="24"/>
          <w:szCs w:val="24"/>
        </w:rPr>
        <w:t xml:space="preserve"> of pretraining lesions may not have been observed previously due to </w:t>
      </w:r>
      <w:r w:rsidR="000A07F9" w:rsidRPr="00F0708B">
        <w:rPr>
          <w:sz w:val="24"/>
          <w:szCs w:val="24"/>
        </w:rPr>
        <w:t>task specific parameters</w:t>
      </w:r>
      <w:r w:rsidRPr="00F0708B">
        <w:rPr>
          <w:sz w:val="24"/>
          <w:szCs w:val="24"/>
        </w:rPr>
        <w:t xml:space="preserve"> such as the length of training and the sensitivity of the response measures. </w:t>
      </w:r>
    </w:p>
    <w:p w14:paraId="626CE19C" w14:textId="230C878C" w:rsidR="001D0D31" w:rsidRPr="00F0708B" w:rsidRDefault="001D0D31" w:rsidP="002F72C5">
      <w:pPr>
        <w:ind w:firstLine="720"/>
        <w:rPr>
          <w:sz w:val="24"/>
          <w:szCs w:val="24"/>
        </w:rPr>
      </w:pPr>
      <w:r w:rsidRPr="00F0708B">
        <w:rPr>
          <w:sz w:val="24"/>
          <w:szCs w:val="24"/>
        </w:rPr>
        <w:t xml:space="preserve">Pretraining OFC lesions have been shown to disrupt Pavlovian acquisition in </w:t>
      </w:r>
      <w:r w:rsidR="002F72C5" w:rsidRPr="00F0708B">
        <w:rPr>
          <w:sz w:val="24"/>
          <w:szCs w:val="24"/>
        </w:rPr>
        <w:t>sign-tracking</w:t>
      </w:r>
      <w:r w:rsidRPr="00F0708B">
        <w:rPr>
          <w:sz w:val="24"/>
          <w:szCs w:val="24"/>
        </w:rPr>
        <w:t xml:space="preserve"> procedures in which lever insertion is used as the CS</w:t>
      </w:r>
      <w:r w:rsidR="0095246F" w:rsidRPr="00F0708B">
        <w:rPr>
          <w:sz w:val="24"/>
          <w:szCs w:val="24"/>
        </w:rPr>
        <w:t xml:space="preserve"> </w:t>
      </w:r>
      <w:r w:rsidR="00304225" w:rsidRPr="00F0708B">
        <w:rPr>
          <w:sz w:val="24"/>
          <w:szCs w:val="24"/>
        </w:rPr>
        <w:fldChar w:fldCharType="begin" w:fldLock="1"/>
      </w:r>
      <w:r w:rsidR="00F566EF" w:rsidRPr="00F0708B">
        <w:rPr>
          <w:sz w:val="24"/>
          <w:szCs w:val="24"/>
        </w:rPr>
        <w:instrText>ADDIN CSL_CITATION {"citationItems":[{"id":"ITEM-1","itemData":{"DOI":"23/25/8771 [pii]","ISBN":"1529-2401 (Electronic)\r0270-6474 (Linking)","PMID":"14507977","author":[{"dropping-particle":"","family":"Chudasama","given":"Y","non-dropping-particle":"","parse-names":false,"suffix":""},{"dropping-particle":"","family":"Robbins","given":"T W","non-dropping-particle":"","parse-names":false,"suffix":""}],"container-title":"Journal of Neuroscience","edition":"2003/09/26","id":"ITEM-1","issue":"25","issued":{"date-parts":[["2003"]]},"language":"eng","page":"8771-8780","title":"Dissociable contributions of the orbitofrontal and infralimbic cortex to pavlovian autoshaping and discrimination reversal learning: further evidence for the functional heterogeneity of the rodent frontal cortex","type":"article-journal","volume":"23"},"uris":["http://www.mendeley.com/documents/?uuid=396d62ca-46f0-4005-9f85-62f4bb2dc6f9"]}],"mendeley":{"formattedCitation":"(Chudasama &amp; Robbins, 2003)","plainTextFormattedCitation":"(Chudasama &amp; Robbins, 2003)","previouslyFormattedCitation":"(Chudasama &amp; Robbins, 2003)"},"properties":{"noteIndex":0},"schema":"https://github.com/citation-style-language/schema/raw/master/csl-citation.json"}</w:instrText>
      </w:r>
      <w:r w:rsidR="00304225" w:rsidRPr="00F0708B">
        <w:rPr>
          <w:sz w:val="24"/>
          <w:szCs w:val="24"/>
        </w:rPr>
        <w:fldChar w:fldCharType="separate"/>
      </w:r>
      <w:r w:rsidR="00304225" w:rsidRPr="00F0708B">
        <w:rPr>
          <w:noProof/>
          <w:sz w:val="24"/>
          <w:szCs w:val="24"/>
        </w:rPr>
        <w:t>(Chudasama &amp; Robbins, 2003)</w:t>
      </w:r>
      <w:r w:rsidR="00304225" w:rsidRPr="00F0708B">
        <w:rPr>
          <w:sz w:val="24"/>
          <w:szCs w:val="24"/>
        </w:rPr>
        <w:fldChar w:fldCharType="end"/>
      </w:r>
      <w:r w:rsidRPr="00F0708B">
        <w:rPr>
          <w:sz w:val="24"/>
          <w:szCs w:val="24"/>
        </w:rPr>
        <w:t>.</w:t>
      </w:r>
      <w:r w:rsidR="00304225" w:rsidRPr="00F0708B">
        <w:rPr>
          <w:sz w:val="24"/>
          <w:szCs w:val="24"/>
        </w:rPr>
        <w:t xml:space="preserve"> Focal</w:t>
      </w:r>
      <w:r w:rsidRPr="00F0708B">
        <w:rPr>
          <w:sz w:val="24"/>
          <w:szCs w:val="24"/>
        </w:rPr>
        <w:t xml:space="preserve"> lateral OFC</w:t>
      </w:r>
      <w:r w:rsidR="0095246F" w:rsidRPr="00F0708B">
        <w:rPr>
          <w:sz w:val="24"/>
          <w:szCs w:val="24"/>
        </w:rPr>
        <w:t xml:space="preserve"> </w:t>
      </w:r>
      <w:r w:rsidRPr="00F0708B">
        <w:rPr>
          <w:sz w:val="24"/>
          <w:szCs w:val="24"/>
        </w:rPr>
        <w:t xml:space="preserve"> lesions significantly impair sign-tracking behaviour (</w:t>
      </w:r>
      <w:r w:rsidR="00304225" w:rsidRPr="00F0708B">
        <w:rPr>
          <w:sz w:val="24"/>
          <w:szCs w:val="24"/>
        </w:rPr>
        <w:t xml:space="preserve">i.e. </w:t>
      </w:r>
      <w:r w:rsidRPr="00F0708B">
        <w:rPr>
          <w:sz w:val="24"/>
          <w:szCs w:val="24"/>
        </w:rPr>
        <w:t>engaging with the lever cue), and bias behaviour towards goal-tacking (</w:t>
      </w:r>
      <w:r w:rsidR="00304225" w:rsidRPr="00F0708B">
        <w:rPr>
          <w:sz w:val="24"/>
          <w:szCs w:val="24"/>
        </w:rPr>
        <w:t xml:space="preserve">i.e. </w:t>
      </w:r>
      <w:r w:rsidRPr="00F0708B">
        <w:rPr>
          <w:sz w:val="24"/>
          <w:szCs w:val="24"/>
        </w:rPr>
        <w:t>approaching the magazine)</w:t>
      </w:r>
      <w:r w:rsidR="00304225" w:rsidRPr="00F0708B">
        <w:rPr>
          <w:sz w:val="24"/>
          <w:szCs w:val="24"/>
        </w:rPr>
        <w:t xml:space="preserve"> </w:t>
      </w:r>
      <w:r w:rsidR="00304225" w:rsidRPr="00F0708B">
        <w:rPr>
          <w:sz w:val="24"/>
          <w:szCs w:val="24"/>
        </w:rPr>
        <w:fldChar w:fldCharType="begin" w:fldLock="1"/>
      </w:r>
      <w:r w:rsidR="00304225" w:rsidRPr="00F0708B">
        <w:rPr>
          <w:sz w:val="24"/>
          <w:szCs w:val="24"/>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2018)","plainTextFormattedCitation":"(Panayi &amp; Killcross, 2018)","previouslyFormattedCitation":"(Panayi &amp; Killcross, 2018)"},"properties":{"noteIndex":0},"schema":"https://github.com/citation-style-language/schema/raw/master/csl-citation.json"}</w:instrText>
      </w:r>
      <w:r w:rsidR="00304225" w:rsidRPr="00F0708B">
        <w:rPr>
          <w:sz w:val="24"/>
          <w:szCs w:val="24"/>
        </w:rPr>
        <w:fldChar w:fldCharType="separate"/>
      </w:r>
      <w:r w:rsidR="00304225" w:rsidRPr="00F0708B">
        <w:rPr>
          <w:noProof/>
          <w:sz w:val="24"/>
          <w:szCs w:val="24"/>
        </w:rPr>
        <w:t>(Panayi &amp; Killcross, 2018)</w:t>
      </w:r>
      <w:r w:rsidR="00304225" w:rsidRPr="00F0708B">
        <w:rPr>
          <w:sz w:val="24"/>
          <w:szCs w:val="24"/>
        </w:rPr>
        <w:fldChar w:fldCharType="end"/>
      </w:r>
      <w:r w:rsidRPr="00F0708B">
        <w:rPr>
          <w:sz w:val="24"/>
          <w:szCs w:val="24"/>
        </w:rPr>
        <w:t xml:space="preserve">. This is consistent with the findings of </w:t>
      </w:r>
      <w:r w:rsidR="008212F5" w:rsidRPr="00F0708B">
        <w:rPr>
          <w:sz w:val="24"/>
          <w:szCs w:val="24"/>
        </w:rPr>
        <w:t>E</w:t>
      </w:r>
      <w:r w:rsidRPr="00F0708B">
        <w:rPr>
          <w:sz w:val="24"/>
          <w:szCs w:val="24"/>
        </w:rPr>
        <w:t xml:space="preserve">xperiment 1 </w:t>
      </w:r>
      <w:r w:rsidR="00EF3DAB" w:rsidRPr="00F0708B">
        <w:rPr>
          <w:sz w:val="24"/>
          <w:szCs w:val="24"/>
        </w:rPr>
        <w:t>that</w:t>
      </w:r>
      <w:r w:rsidRPr="00F0708B">
        <w:rPr>
          <w:sz w:val="24"/>
          <w:szCs w:val="24"/>
        </w:rPr>
        <w:t xml:space="preserve"> OFC lesions enhanced behaviour focused </w:t>
      </w:r>
      <w:r w:rsidR="00EF3DAB" w:rsidRPr="00F0708B">
        <w:rPr>
          <w:sz w:val="24"/>
          <w:szCs w:val="24"/>
        </w:rPr>
        <w:t>toward</w:t>
      </w:r>
      <w:r w:rsidRPr="00F0708B">
        <w:rPr>
          <w:sz w:val="24"/>
          <w:szCs w:val="24"/>
        </w:rPr>
        <w:t xml:space="preserve"> the magazine, and suggest that this focus </w:t>
      </w:r>
      <w:r w:rsidR="00304225" w:rsidRPr="00F0708B">
        <w:rPr>
          <w:sz w:val="24"/>
          <w:szCs w:val="24"/>
        </w:rPr>
        <w:t>may come</w:t>
      </w:r>
      <w:r w:rsidRPr="00F0708B">
        <w:rPr>
          <w:sz w:val="24"/>
          <w:szCs w:val="24"/>
        </w:rPr>
        <w:t xml:space="preserve"> at the expense of some alternative behaviour that sham lesion animals are engaging in. </w:t>
      </w:r>
    </w:p>
    <w:p w14:paraId="55D19946" w14:textId="6C1DE47E" w:rsidR="005B4A70" w:rsidRPr="00F0708B" w:rsidRDefault="001D0D31" w:rsidP="00E23891">
      <w:pPr>
        <w:ind w:firstLine="720"/>
        <w:rPr>
          <w:sz w:val="24"/>
          <w:szCs w:val="24"/>
        </w:rPr>
      </w:pPr>
      <w:r w:rsidRPr="00F0708B">
        <w:rPr>
          <w:sz w:val="24"/>
          <w:szCs w:val="24"/>
        </w:rPr>
        <w:t xml:space="preserve">In contrast to pre-training lesions, post-training OFC inactivation/lesions normally coincide with changes in experimental phase and continued acquisition is not assessed. In tasks in which OFC inactivation coincides with a change in experimental stage, the effects of OFC </w:t>
      </w:r>
      <w:r w:rsidRPr="00F0708B">
        <w:rPr>
          <w:sz w:val="24"/>
          <w:szCs w:val="24"/>
        </w:rPr>
        <w:lastRenderedPageBreak/>
        <w:t xml:space="preserve">inactivation are consistent with </w:t>
      </w:r>
      <w:r w:rsidR="00F67413" w:rsidRPr="00F0708B">
        <w:rPr>
          <w:sz w:val="24"/>
          <w:szCs w:val="24"/>
        </w:rPr>
        <w:t>an impairment in subsequent acquisition</w:t>
      </w:r>
      <w:r w:rsidR="002F29AB" w:rsidRPr="00F0708B">
        <w:rPr>
          <w:sz w:val="24"/>
          <w:szCs w:val="24"/>
        </w:rPr>
        <w:t xml:space="preserve"> </w:t>
      </w:r>
      <w:r w:rsidR="002F29AB" w:rsidRPr="00F0708B">
        <w:rPr>
          <w:sz w:val="24"/>
          <w:szCs w:val="24"/>
        </w:rPr>
        <w:fldChar w:fldCharType="begin" w:fldLock="1"/>
      </w:r>
      <w:r w:rsidR="002F29AB" w:rsidRPr="00F0708B">
        <w:rPr>
          <w:sz w:val="24"/>
          <w:szCs w:val="24"/>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J","non-dropping-particle":"","parse-names":false,"suffix":""},{"dropping-particle":"","family":"Taylor","given":"A R","non-dropping-particle":"","parse-names":false,"suffix":""},{"dropping-particle":"","family":"Burke","given":"K A","non-dropping-particle":"","parse-names":false,"suffix":""},{"dropping-particle":"","family":"Schoenbaum","given":"G","non-dropping-particle":"","parse-names":false,"suffix":""}],"container-title":"Neuron","id":"ITEM-1","issue":"2","issued":{"date-parts":[["2009"]]},"language":"English","page":"269-280","title":"The Orbitofrontal Cortex and Ventral Tegmental Area Are Necessary for Learning from Unexpected Outcomes","type":"article-journal","volume":"62"},"suppress-author":1,"uris":["http://www.mendeley.com/documents/?uuid=630ecaa0-8f06-4897-802f-f08a30b8c04d"]}],"mendeley":{"formattedCitation":"(2009)","plainTextFormattedCitation":"(2009)","previouslyFormattedCitation":"(2009)"},"properties":{"noteIndex":0},"schema":"https://github.com/citation-style-language/schema/raw/master/csl-citation.json"}</w:instrText>
      </w:r>
      <w:r w:rsidR="002F29AB" w:rsidRPr="00F0708B">
        <w:rPr>
          <w:sz w:val="24"/>
          <w:szCs w:val="24"/>
        </w:rPr>
        <w:fldChar w:fldCharType="separate"/>
      </w:r>
      <w:r w:rsidR="002F29AB" w:rsidRPr="00F0708B">
        <w:rPr>
          <w:noProof/>
          <w:sz w:val="24"/>
          <w:szCs w:val="24"/>
        </w:rPr>
        <w:t>(2009)</w:t>
      </w:r>
      <w:r w:rsidR="002F29AB" w:rsidRPr="00F0708B">
        <w:rPr>
          <w:sz w:val="24"/>
          <w:szCs w:val="24"/>
        </w:rPr>
        <w:fldChar w:fldCharType="end"/>
      </w:r>
      <w:r w:rsidRPr="00F0708B">
        <w:rPr>
          <w:sz w:val="24"/>
          <w:szCs w:val="24"/>
        </w:rPr>
        <w:t xml:space="preserve">. For example, Burke et al </w:t>
      </w:r>
      <w:r w:rsidR="00930AFD" w:rsidRPr="00F0708B">
        <w:rPr>
          <w:sz w:val="24"/>
          <w:szCs w:val="24"/>
        </w:rPr>
        <w:fldChar w:fldCharType="begin" w:fldLock="1"/>
      </w:r>
      <w:r w:rsidR="00A45624" w:rsidRPr="00F0708B">
        <w:rPr>
          <w:sz w:val="24"/>
          <w:szCs w:val="24"/>
        </w:rPr>
        <w:instrText>ADDIN CSL_CITATION {"citationItems":[{"id":"ITEM-1","itemData":{"DOI":"DOI 10.1111/j.1460-9568.2009.06992.x","ISBN":"0953-816X","author":[{"dropping-particle":"","family":"Burke","given":"K A","non-dropping-particle":"","parse-names":false,"suffix":""},{"dropping-particle":"","family":"Takahashi","given":"Yuji K.","non-dropping-particle":"","parse-names":false,"suffix":""},{"dropping-particle":"","family":"Correll","given":"J","non-dropping-particle":"","parse-names":false,"suffix":""},{"dropping-particle":"","family":"Brown","given":"P L","non-dropping-particle":"","parse-names":false,"suffix":""},{"dropping-particle":"","family":"Schoenbaum","given":"G","non-dropping-particle":"","parse-names":false,"suffix":""}],"container-title":"European Journal of Neuroscience","id":"ITEM-1","issue":"10","issued":{"date-parts":[["2009"]]},"language":"English","page":"1941-1946","title":"Orbitofrontal inactivation impairs reversal of Pavlovian learning by interfering with 'disinhibition' of responding for previously unrewarded cues","type":"article-journal","volume":"30"},"suppress-author":1,"uris":["http://www.mendeley.com/documents/?uuid=cb3144c1-d868-4917-b629-be1578bd0486"]}],"mendeley":{"formattedCitation":"(2009)","plainTextFormattedCitation":"(2009)","previouslyFormattedCitation":"(2009)"},"properties":{"noteIndex":0},"schema":"https://github.com/citation-style-language/schema/raw/master/csl-citation.json"}</w:instrText>
      </w:r>
      <w:r w:rsidR="00930AFD" w:rsidRPr="00F0708B">
        <w:rPr>
          <w:sz w:val="24"/>
          <w:szCs w:val="24"/>
        </w:rPr>
        <w:fldChar w:fldCharType="separate"/>
      </w:r>
      <w:r w:rsidR="00AF7D28" w:rsidRPr="00F0708B">
        <w:rPr>
          <w:noProof/>
          <w:sz w:val="24"/>
          <w:szCs w:val="24"/>
        </w:rPr>
        <w:t>(2009)</w:t>
      </w:r>
      <w:r w:rsidR="00930AFD" w:rsidRPr="00F0708B">
        <w:rPr>
          <w:sz w:val="24"/>
          <w:szCs w:val="24"/>
        </w:rPr>
        <w:fldChar w:fldCharType="end"/>
      </w:r>
      <w:r w:rsidRPr="00F0708B">
        <w:rPr>
          <w:sz w:val="24"/>
          <w:szCs w:val="24"/>
        </w:rPr>
        <w:t xml:space="preserve"> found that post-training OFC inactivation impaired acquisition to a Pavlovian CS in reversal task. </w:t>
      </w:r>
      <w:r w:rsidR="002F29AB" w:rsidRPr="00F0708B">
        <w:rPr>
          <w:sz w:val="24"/>
          <w:szCs w:val="24"/>
        </w:rPr>
        <w:t xml:space="preserve">Similarly, Takahashi et al </w:t>
      </w:r>
      <w:bookmarkStart w:id="0" w:name="_Hlk49865003"/>
      <w:r w:rsidR="002F29AB" w:rsidRPr="00F0708B">
        <w:rPr>
          <w:sz w:val="24"/>
          <w:szCs w:val="24"/>
        </w:rPr>
        <w:fldChar w:fldCharType="begin" w:fldLock="1"/>
      </w:r>
      <w:r w:rsidR="002F29AB" w:rsidRPr="00F0708B">
        <w:rPr>
          <w:sz w:val="24"/>
          <w:szCs w:val="24"/>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J","non-dropping-particle":"","parse-names":false,"suffix":""},{"dropping-particle":"","family":"Taylor","given":"A R","non-dropping-particle":"","parse-names":false,"suffix":""},{"dropping-particle":"","family":"Burke","given":"K A","non-dropping-particle":"","parse-names":false,"suffix":""},{"dropping-particle":"","family":"Schoenbaum","given":"G","non-dropping-particle":"","parse-names":false,"suffix":""}],"container-title":"Neuron","id":"ITEM-1","issue":"2","issued":{"date-parts":[["2009"]]},"language":"English","page":"269-280","title":"The Orbitofrontal Cortex and Ventral Tegmental Area Are Necessary for Learning from Unexpected Outcomes","type":"article-journal","volume":"62"},"suppress-author":1,"uris":["http://www.mendeley.com/documents/?uuid=630ecaa0-8f06-4897-802f-f08a30b8c04d"]}],"mendeley":{"formattedCitation":"(2009)","plainTextFormattedCitation":"(2009)","previouslyFormattedCitation":"(2009)"},"properties":{"noteIndex":0},"schema":"https://github.com/citation-style-language/schema/raw/master/csl-citation.json"}</w:instrText>
      </w:r>
      <w:r w:rsidR="002F29AB" w:rsidRPr="00F0708B">
        <w:rPr>
          <w:sz w:val="24"/>
          <w:szCs w:val="24"/>
        </w:rPr>
        <w:fldChar w:fldCharType="separate"/>
      </w:r>
      <w:r w:rsidR="002F29AB" w:rsidRPr="00F0708B">
        <w:rPr>
          <w:noProof/>
          <w:sz w:val="24"/>
          <w:szCs w:val="24"/>
        </w:rPr>
        <w:t>(2009)</w:t>
      </w:r>
      <w:r w:rsidR="002F29AB" w:rsidRPr="00F0708B">
        <w:rPr>
          <w:sz w:val="24"/>
          <w:szCs w:val="24"/>
        </w:rPr>
        <w:fldChar w:fldCharType="end"/>
      </w:r>
      <w:bookmarkEnd w:id="0"/>
      <w:r w:rsidR="002F29AB" w:rsidRPr="00F0708B">
        <w:rPr>
          <w:sz w:val="24"/>
          <w:szCs w:val="24"/>
        </w:rPr>
        <w:t xml:space="preserve"> found that OFC inactivation during a Pavlovian over-expectation task disrupted new learning. </w:t>
      </w:r>
      <w:r w:rsidR="00E40A39" w:rsidRPr="00F0708B">
        <w:rPr>
          <w:sz w:val="24"/>
          <w:szCs w:val="24"/>
        </w:rPr>
        <w:t xml:space="preserve">Therefore, </w:t>
      </w:r>
      <w:r w:rsidR="001560E1" w:rsidRPr="00F0708B">
        <w:rPr>
          <w:sz w:val="24"/>
          <w:szCs w:val="24"/>
        </w:rPr>
        <w:t xml:space="preserve">the robust effect of impaired acquisition </w:t>
      </w:r>
      <w:r w:rsidR="003E6943" w:rsidRPr="00F0708B">
        <w:rPr>
          <w:sz w:val="24"/>
          <w:szCs w:val="24"/>
        </w:rPr>
        <w:t xml:space="preserve">following post-training OFC inactivation that we report is consistent with impaired </w:t>
      </w:r>
      <w:r w:rsidR="007E08F0" w:rsidRPr="00F0708B">
        <w:rPr>
          <w:sz w:val="24"/>
          <w:szCs w:val="24"/>
        </w:rPr>
        <w:t xml:space="preserve">subsequent </w:t>
      </w:r>
      <w:r w:rsidR="00BA7063" w:rsidRPr="00F0708B">
        <w:rPr>
          <w:sz w:val="24"/>
          <w:szCs w:val="24"/>
        </w:rPr>
        <w:t>acquisition i</w:t>
      </w:r>
      <w:r w:rsidR="003A0B05" w:rsidRPr="00F0708B">
        <w:rPr>
          <w:sz w:val="24"/>
          <w:szCs w:val="24"/>
        </w:rPr>
        <w:t>n tasks with more complex manipulations</w:t>
      </w:r>
      <w:r w:rsidR="007E08F0" w:rsidRPr="00F0708B">
        <w:rPr>
          <w:sz w:val="24"/>
          <w:szCs w:val="24"/>
        </w:rPr>
        <w:t>.</w:t>
      </w:r>
    </w:p>
    <w:p w14:paraId="647300BD" w14:textId="77777777" w:rsidR="001D0D31" w:rsidRPr="00F0708B" w:rsidRDefault="001D0D31" w:rsidP="001D0D31">
      <w:pPr>
        <w:pStyle w:val="BodyText"/>
        <w:rPr>
          <w:b/>
          <w:bCs/>
        </w:rPr>
      </w:pPr>
      <w:r w:rsidRPr="00F0708B">
        <w:rPr>
          <w:b/>
          <w:bCs/>
        </w:rPr>
        <w:t>Lateral OFC is not necessary for learning the predictive CS-US relationship</w:t>
      </w:r>
    </w:p>
    <w:p w14:paraId="2AF0333F" w14:textId="3C3ED69B" w:rsidR="001D0D31" w:rsidRPr="00F0708B" w:rsidRDefault="001D0D31" w:rsidP="001D0D31">
      <w:pPr>
        <w:rPr>
          <w:sz w:val="24"/>
          <w:szCs w:val="24"/>
        </w:rPr>
      </w:pPr>
      <w:r w:rsidRPr="00F0708B">
        <w:rPr>
          <w:sz w:val="24"/>
          <w:szCs w:val="24"/>
        </w:rPr>
        <w:t xml:space="preserve">Post-training OFC inactivation significantly impaired acquisition behaviour (Experiment 2), and this disruption was more profound when inactivation occurred earlier in training and persisted even after OFC function returned (Experiment 4). This strongly suggests that learning about the CS-US relationship was disrupted. The idea that the OFC is involved in learning is also consistent with a role for the OFC in the representation of expected values </w:t>
      </w:r>
      <w:r w:rsidR="00452A1C">
        <w:rPr>
          <w:sz w:val="24"/>
          <w:szCs w:val="24"/>
        </w:rPr>
        <w:fldChar w:fldCharType="begin" w:fldLock="1"/>
      </w:r>
      <w:r w:rsidR="006159CE">
        <w:rPr>
          <w:sz w:val="24"/>
          <w:szCs w:val="24"/>
        </w:rPr>
        <w:instrText>ADDIN CSL_CITATION {"citationItems":[{"id":"ITEM-1","itemData":{"DOI":"10.1016/J.NLM.2018.01.013","ISSN":"1074-7427","abstract":"Neurons in the orbitofrontal cortex (OFC) fire in anticipation of and during rewards. Such firing has been suggested to encode reward predictions and to account in some way for the role of this area in adaptive behavior and learning. However, it has also been reported that neural activity in OFC reflects reward prediction errors, which might drive learning directly. Here we tested this question by analyzing the firing of OFC neurons recorded in an odor discrimination task in which rats were trained to sample odor cues and respond left or right on each trial for reward. Neurons were recorded across blocks of trials in which we switched either the number or the flavor of the reward delivered in each well. Previously we have described how neurons in this dataset fired to the predictive cues (Stalnaker et al., 2014); here we focused on the firing in anticipation of and just after delivery of each drop of reward, looking specifically for differences in firing based on whether the reward number or flavor was unexpected or expected. Unlike dopamine neurons recorded in this setting, which exhibited phasic error-like responses after surprising changes in either reward number or reward flavor (Takahashi et al., 2017), OFC neurons showed no such error correlates and instead fired in a way that reflected reward predictions.","author":[{"dropping-particle":"","family":"Stalnaker","given":"Thomas A","non-dropping-particle":"","parse-names":false,"suffix":""},{"dropping-particle":"","family":"Liu","given":"Tzu-Lan","non-dropping-particle":"","parse-names":false,"suffix":""},{"dropping-particle":"","family":"Takahashi","given":"Yuji K.","non-dropping-particle":"","parse-names":false,"suffix":""},{"dropping-particle":"","family":"Schoenbaum","given":"Geoffrey","non-dropping-particle":"","parse-names":false,"suffix":""}],"container-title":"Neurobiology of Learning and Memory","id":"ITEM-1","issued":{"date-parts":[["2018","9","1"]]},"page":"137-143","publisher":"Academic Press","title":"Orbitofrontal neurons signal reward predictions, not reward prediction errors","type":"article-journal","volume":"153"},"uris":["http://www.mendeley.com/documents/?uuid=43fadacb-6130-3590-ae68-7a395212496f"]},{"id":"ITEM-2","itemData":{"DOI":"Doi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-2","issue":"7202","issued":{"date-parts":[["2008"]]},"language":"English","page":"340-U45","title":"The role of the orbitofrontal cortex in the pursuit of happiness and more specific rewards","type":"article-journal","volume":"454"},"uris":["http://www.mendeley.com/documents/?uuid=c3367cf0-c4f1-419c-80b8-0bb9c2afd479"]},{"id":"ITEM-3","itemData":{"DOI":"10.1111/j.1749-6632.2011.06210.x","ISBN":"1749-6632","author":[{"dropping-particle":"","family":"Schoenbaum","given":"G","non-dropping-particle":"","parse-names":false,"suffix":""},{"dropping-particle":"","family":"Takahashi","given":"Yuji K.","non-dropping-particle":"","parse-names":false,"suffix":""},{"dropping-particle":"","family":"Liu","given":"T","non-dropping-particle":"","parse-names":false,"suffix":""},{"dropping-particle":"","family":"McDannald","given":"Michael A","non-dropping-particle":"","parse-names":false,"suffix":""}],"container-title":"Ann N Y Acad Sci","id":"ITEM-3","issue":"1","issued":{"date-parts":[["2011"]]},"page":"87-99","publisher":"Blackwell Publishing Inc","title":"Does the orbitofrontal cortex signal value?","type":"article-journal","volume":"1239"},"uris":["http://www.mendeley.com/documents/?uuid=3f415e73-ab30-4798-887c-7839b634b28e"]}],"mendeley":{"formattedCitation":"(Burke et al., 2008; Schoenbaum et al., 2011; Stalnaker et al., 2018)","plainTextFormattedCitation":"(Burke et al., 2008; Schoenbaum et al., 2011; Stalnaker et al., 2018)","previouslyFormattedCitation":"(Burke et al., 2008; Schoenbaum et al., 2011; Stalnaker et al., 2018)"},"properties":{"noteIndex":0},"schema":"https://github.com/citation-style-language/schema/raw/master/csl-citation.json"}</w:instrText>
      </w:r>
      <w:r w:rsidR="00452A1C">
        <w:rPr>
          <w:sz w:val="24"/>
          <w:szCs w:val="24"/>
        </w:rPr>
        <w:fldChar w:fldCharType="separate"/>
      </w:r>
      <w:r w:rsidR="00CA2485" w:rsidRPr="00CA2485">
        <w:rPr>
          <w:noProof/>
          <w:sz w:val="24"/>
          <w:szCs w:val="24"/>
        </w:rPr>
        <w:t>(Burke et al., 2008; Schoenbaum et al., 2011; Stalnaker et al., 2018)</w:t>
      </w:r>
      <w:r w:rsidR="00452A1C">
        <w:rPr>
          <w:sz w:val="24"/>
          <w:szCs w:val="24"/>
        </w:rPr>
        <w:fldChar w:fldCharType="end"/>
      </w:r>
      <w:r w:rsidRPr="00F0708B">
        <w:rPr>
          <w:sz w:val="24"/>
          <w:szCs w:val="24"/>
        </w:rPr>
        <w:t xml:space="preserve"> which influence mid-brain dopaminergic prediction errors </w:t>
      </w:r>
      <w:r w:rsidR="00452A1C">
        <w:rPr>
          <w:sz w:val="24"/>
          <w:szCs w:val="24"/>
        </w:rPr>
        <w:fldChar w:fldCharType="begin" w:fldLock="1"/>
      </w:r>
      <w:r w:rsidR="00452A1C">
        <w:rPr>
          <w:sz w:val="24"/>
          <w:szCs w:val="24"/>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eoffrey","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cortex","type":"article-journal","volume":"14"},"uris":["http://www.mendeley.com/documents/?uuid=ef0e30e7-0413-4094-a294-c1ebacc27b60"]},{"id":"ITEM-2","itemData":{"DOI":"DOI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J","non-dropping-particle":"","parse-names":false,"suffix":""},{"dropping-particle":"","family":"Taylor","given":"A R","non-dropping-particle":"","parse-names":false,"suffix":""},{"dropping-particle":"","family":"Burke","given":"K A","non-dropping-particle":"","parse-names":false,"suffix":""},{"dropping-particle":"","family":"Schoenbaum","given":"G","non-dropping-particle":"","parse-names":false,"suffix":""}],"container-title":"Neuron","id":"ITEM-2","issue":"2","issued":{"date-parts":[["2009"]]},"language":"English","page":"269-280","title":"The Orbitofrontal Cortex and Ventral Tegmental Area Are Necessary for Learning from Unexpected Outcomes","type":"article-journal","volume":"62"},"uris":["http://www.mendeley.com/documents/?uuid=630ecaa0-8f06-4897-802f-f08a30b8c04d"]}],"mendeley":{"formattedCitation":"(Takahashi et al., 2009, 2011)","plainTextFormattedCitation":"(Takahashi et al., 2009, 2011)","previouslyFormattedCitation":"(Takahashi et al., 2009, 2011)"},"properties":{"noteIndex":0},"schema":"https://github.com/citation-style-language/schema/raw/master/csl-citation.json"}</w:instrText>
      </w:r>
      <w:r w:rsidR="00452A1C">
        <w:rPr>
          <w:sz w:val="24"/>
          <w:szCs w:val="24"/>
        </w:rPr>
        <w:fldChar w:fldCharType="separate"/>
      </w:r>
      <w:r w:rsidR="00452A1C" w:rsidRPr="00452A1C">
        <w:rPr>
          <w:noProof/>
          <w:sz w:val="24"/>
          <w:szCs w:val="24"/>
        </w:rPr>
        <w:t>(Takahashi et al., 2009, 2011)</w:t>
      </w:r>
      <w:r w:rsidR="00452A1C">
        <w:rPr>
          <w:sz w:val="24"/>
          <w:szCs w:val="24"/>
        </w:rPr>
        <w:fldChar w:fldCharType="end"/>
      </w:r>
      <w:r w:rsidRPr="00F0708B">
        <w:rPr>
          <w:sz w:val="24"/>
          <w:szCs w:val="24"/>
        </w:rPr>
        <w:t xml:space="preserve">, known to be necessary for Pavlovian learning </w:t>
      </w:r>
      <w:r w:rsidR="00452A1C">
        <w:rPr>
          <w:sz w:val="24"/>
          <w:szCs w:val="24"/>
        </w:rPr>
        <w:fldChar w:fldCharType="begin" w:fldLock="1"/>
      </w:r>
      <w:r w:rsidR="00C6323C">
        <w:rPr>
          <w:sz w:val="24"/>
          <w:szCs w:val="24"/>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learning","type":"article-journal","volume":"16"},"uris":["http://www.mendeley.com/documents/?uuid=721f625d-09d6-42e2-82ad-124b5a1bfbdf"]},{"id":"ITEM-2","itemData":{"DOI":"10.1038/nn.4538","ISSN":"1097-6256","PMID":"28368385","abstract":"Associative learning is driven by prediction errors. Dopamine transients correlate with these errors, which current interpretations limit to endowing cues with a scalar quantity reflecting the value of future rewards. We tested whether dopamine might act more broadly to support learning of an associative model of the environment. Using sensory preconditioning, we show that prediction errors underlying stimulus-stimulus learning can be blocked behaviorally and reinstated by optogenetically activating dopamine neurons. We further show that suppressing the firing of these neurons across the transition prevents normal stimulus-stimulus learning. These results establish that the acquisition of model-based information about transitions between nonrewarding events is also driven by prediction errors and that, contrary to existing canon, dopamine transients are both sufficient and necessary to support this type of learning. Our findings open new possibilities for how these biological signals might support associative learning in the mammalian brain in these and other contexts.","author":[{"dropping-particle":"","family":"Sharpe","given":"Melissa J","non-dropping-particle":"","parse-names":false,"suffix":""},{"dropping-particle":"","family":"Chang","given":"Chun Yun","non-dropping-particle":"","parse-names":false,"suffix":""},{"dropping-particle":"","family":"Liu","given":"Melissa A","non-dropping-particle":"","parse-names":false,"suffix":""},{"dropping-particle":"","family":"Batchelor","given":"Hannah M","non-dropping-particle":"","parse-names":false,"suffix":""},{"dropping-particle":"","family":"Mueller","given":"Lauren E","non-dropping-particle":"","parse-names":false,"suffix":""},{"dropping-particle":"","family":"Jones","given":"Joshua L","non-dropping-particle":"","parse-names":false,"suffix":""},{"dropping-particle":"","family":"Niv","given":"Yael","non-dropping-particle":"","parse-names":false,"suffix":""},{"dropping-particle":"","family":"Schoenbaum","given":"Geoffrey","non-dropping-particle":"","parse-names":false,"suffix":""}],"container-title":"Nature Neuroscience","id":"ITEM-2","issued":{"date-parts":[["2017","4","3"]]},"title":"Dopamine transients are sufficient and necessary for acquisition of model-based associations","type":"article-journal"},"uris":["http://www.mendeley.com/documents/?uuid=48d4bb6c-3028-3cca-b37b-e1e61b4d540a"]}],"mendeley":{"formattedCitation":"(Sharpe et al., 2017a; Steinberg et al., 2013)","plainTextFormattedCitation":"(Sharpe et al., 2017a; Steinberg et al., 2013)","previouslyFormattedCitation":"(Sharpe et al., 2017a; Steinberg et al., 2013)"},"properties":{"noteIndex":0},"schema":"https://github.com/citation-style-language/schema/raw/master/csl-citation.json"}</w:instrText>
      </w:r>
      <w:r w:rsidR="00452A1C">
        <w:rPr>
          <w:sz w:val="24"/>
          <w:szCs w:val="24"/>
        </w:rPr>
        <w:fldChar w:fldCharType="separate"/>
      </w:r>
      <w:r w:rsidR="005A4B5E" w:rsidRPr="005A4B5E">
        <w:rPr>
          <w:noProof/>
          <w:sz w:val="24"/>
          <w:szCs w:val="24"/>
        </w:rPr>
        <w:t>(Sharpe et al., 2017a; Steinberg et al., 2013)</w:t>
      </w:r>
      <w:r w:rsidR="00452A1C">
        <w:rPr>
          <w:sz w:val="24"/>
          <w:szCs w:val="24"/>
        </w:rPr>
        <w:fldChar w:fldCharType="end"/>
      </w:r>
      <w:r w:rsidRPr="00F0708B">
        <w:rPr>
          <w:sz w:val="24"/>
          <w:szCs w:val="24"/>
        </w:rPr>
        <w:t xml:space="preserve">. </w:t>
      </w:r>
    </w:p>
    <w:p w14:paraId="5BEAB088" w14:textId="3405DE78" w:rsidR="001D0D31" w:rsidRPr="00F0708B" w:rsidRDefault="001D0D31" w:rsidP="00C040FA">
      <w:pPr>
        <w:ind w:firstLine="720"/>
        <w:rPr>
          <w:sz w:val="24"/>
          <w:szCs w:val="24"/>
        </w:rPr>
      </w:pPr>
      <w:r w:rsidRPr="00F0708B">
        <w:rPr>
          <w:sz w:val="24"/>
          <w:szCs w:val="24"/>
        </w:rPr>
        <w:t xml:space="preserve">Unexpectedly, the </w:t>
      </w:r>
      <w:r w:rsidR="00463CC9">
        <w:rPr>
          <w:sz w:val="24"/>
          <w:szCs w:val="24"/>
        </w:rPr>
        <w:t>impaired</w:t>
      </w:r>
      <w:r w:rsidRPr="00F0708B">
        <w:rPr>
          <w:sz w:val="24"/>
          <w:szCs w:val="24"/>
        </w:rPr>
        <w:t xml:space="preserve"> acquisition we observed </w:t>
      </w:r>
      <w:r w:rsidR="00463CC9">
        <w:rPr>
          <w:sz w:val="24"/>
          <w:szCs w:val="24"/>
        </w:rPr>
        <w:t>(Experiment 2</w:t>
      </w:r>
      <w:r w:rsidR="00604A6B">
        <w:rPr>
          <w:sz w:val="24"/>
          <w:szCs w:val="24"/>
        </w:rPr>
        <w:t xml:space="preserve">, 3, &amp; 4) </w:t>
      </w:r>
      <w:r w:rsidRPr="00F0708B">
        <w:rPr>
          <w:sz w:val="24"/>
          <w:szCs w:val="24"/>
        </w:rPr>
        <w:t>did not disrupt the ability of the CS to block learning about a novel cue (Experiment 5</w:t>
      </w:r>
      <w:r w:rsidR="001B45AB">
        <w:rPr>
          <w:sz w:val="24"/>
          <w:szCs w:val="24"/>
        </w:rPr>
        <w:t>, Figure 3</w:t>
      </w:r>
      <w:r w:rsidRPr="00F0708B">
        <w:rPr>
          <w:sz w:val="24"/>
          <w:szCs w:val="24"/>
        </w:rPr>
        <w:t xml:space="preserve">), </w:t>
      </w:r>
      <w:r w:rsidR="00604A6B">
        <w:rPr>
          <w:sz w:val="24"/>
          <w:szCs w:val="24"/>
        </w:rPr>
        <w:t>despite significantly impaired</w:t>
      </w:r>
      <w:r w:rsidRPr="00F0708B">
        <w:rPr>
          <w:sz w:val="24"/>
          <w:szCs w:val="24"/>
        </w:rPr>
        <w:t xml:space="preserve"> performance post-inactivation (</w:t>
      </w:r>
      <w:r w:rsidR="001B45AB">
        <w:rPr>
          <w:sz w:val="24"/>
          <w:szCs w:val="24"/>
        </w:rPr>
        <w:t>Figure 3-figure supplement 2</w:t>
      </w:r>
      <w:r w:rsidR="008748FB">
        <w:rPr>
          <w:sz w:val="24"/>
          <w:szCs w:val="24"/>
        </w:rPr>
        <w:t xml:space="preserve">; Muscimol AB is as low as Saline CD which does not show </w:t>
      </w:r>
      <w:r w:rsidR="00F9597F">
        <w:rPr>
          <w:sz w:val="24"/>
          <w:szCs w:val="24"/>
        </w:rPr>
        <w:t>evidence of blocking</w:t>
      </w:r>
      <w:r w:rsidR="00604A6B">
        <w:rPr>
          <w:sz w:val="24"/>
          <w:szCs w:val="24"/>
        </w:rPr>
        <w:t>)</w:t>
      </w:r>
      <w:r w:rsidRPr="00F0708B">
        <w:rPr>
          <w:sz w:val="24"/>
          <w:szCs w:val="24"/>
        </w:rPr>
        <w:t xml:space="preserve">. </w:t>
      </w:r>
      <w:r w:rsidR="00F9597F">
        <w:rPr>
          <w:sz w:val="24"/>
          <w:szCs w:val="24"/>
        </w:rPr>
        <w:t>This is su</w:t>
      </w:r>
      <w:r w:rsidR="00853BD7">
        <w:rPr>
          <w:sz w:val="24"/>
          <w:szCs w:val="24"/>
        </w:rPr>
        <w:t>rprising given that i</w:t>
      </w:r>
      <w:r w:rsidRPr="00F0708B">
        <w:rPr>
          <w:sz w:val="24"/>
          <w:szCs w:val="24"/>
        </w:rPr>
        <w:t>n some Pavlovian learning contexts, levels of behavioural expression can dictate the extent to which learning occurs</w:t>
      </w:r>
      <w:r w:rsidR="00E642FD">
        <w:rPr>
          <w:sz w:val="24"/>
          <w:szCs w:val="24"/>
        </w:rPr>
        <w:t xml:space="preserve"> </w:t>
      </w:r>
      <w:r w:rsidR="00E642FD">
        <w:rPr>
          <w:sz w:val="24"/>
          <w:szCs w:val="24"/>
        </w:rPr>
        <w:fldChar w:fldCharType="begin" w:fldLock="1"/>
      </w:r>
      <w:r w:rsidR="00A226F4">
        <w:rPr>
          <w:sz w:val="24"/>
          <w:szCs w:val="24"/>
        </w:rPr>
        <w:instrText>ADDIN CSL_CITATION {"citationItems":[{"id":"ITEM-1","itemData":{"DOI":"Doi 10.1080/02724990344000097","ISBN":"0272-4995","author":[{"dropping-particle":"","family":"Delamater","given":"A R","non-dropping-particle":"","parse-names":false,"suffix":""}],"container-title":"Quarterly Journal of Experimental Psychology Section B-Comparative and Physiological Psychology","id":"ITEM-1","issue":"2","issued":{"date-parts":[["2004"]]},"language":"English","page":"97-132","title":"Experimental extinction in Pavlovian conditioning: Behavioural and neuroscience perspectives","type":"article-journal","volume":"57"},"uris":["http://www.mendeley.com/documents/?uuid=fae656f0-de69-47f7-b6cc-46862480c4de"]}],"mendeley":{"formattedCitation":"(Delamater, 2004)","plainTextFormattedCitation":"(Delamater, 2004)","previouslyFormattedCitation":"(Delamater, 2004)"},"properties":{"noteIndex":0},"schema":"https://github.com/citation-style-language/schema/raw/master/csl-citation.json"}</w:instrText>
      </w:r>
      <w:r w:rsidR="00E642FD">
        <w:rPr>
          <w:sz w:val="24"/>
          <w:szCs w:val="24"/>
        </w:rPr>
        <w:fldChar w:fldCharType="separate"/>
      </w:r>
      <w:r w:rsidR="00661D73" w:rsidRPr="00661D73">
        <w:rPr>
          <w:noProof/>
          <w:sz w:val="24"/>
          <w:szCs w:val="24"/>
        </w:rPr>
        <w:t>(Delamater, 2004)</w:t>
      </w:r>
      <w:r w:rsidR="00E642FD">
        <w:rPr>
          <w:sz w:val="24"/>
          <w:szCs w:val="24"/>
        </w:rPr>
        <w:fldChar w:fldCharType="end"/>
      </w:r>
      <w:r w:rsidRPr="00F0708B">
        <w:rPr>
          <w:sz w:val="24"/>
          <w:szCs w:val="24"/>
        </w:rPr>
        <w:t xml:space="preserve">. This finding highlights the importance of using multiple </w:t>
      </w:r>
      <w:r w:rsidR="00CD7230">
        <w:rPr>
          <w:sz w:val="24"/>
          <w:szCs w:val="24"/>
        </w:rPr>
        <w:t>tests</w:t>
      </w:r>
      <w:r w:rsidRPr="00F0708B">
        <w:rPr>
          <w:sz w:val="24"/>
          <w:szCs w:val="24"/>
        </w:rPr>
        <w:t xml:space="preserve"> of learning </w:t>
      </w:r>
      <w:r w:rsidR="00E642FD">
        <w:rPr>
          <w:sz w:val="24"/>
          <w:szCs w:val="24"/>
        </w:rPr>
        <w:fldChar w:fldCharType="begin" w:fldLock="1"/>
      </w:r>
      <w:r w:rsidR="00F125AC">
        <w:rPr>
          <w:sz w:val="24"/>
          <w:szCs w:val="24"/>
        </w:rPr>
        <w:instrText>ADDIN CSL_CITATION {"citationItems":[{"id":"ITEM-1","itemData":{"DOI":"10.1037/0097-7403.28.4.406","ISSN":"1939-2184","abstract":"Five experiments used a compound test procedure to compare the rate parameters for the associative changes resulting from reinforcement and nonreinforcement. Experiments I and 4, using a magazineapproach procedure in rats, found initial acquisition to proceed more rapidly but to generalize less broadly than extinction. Experiments 2 and 5 repeated these observations in an autoshaping preparation with pigeons. Experiment 3 found no evidence for differential disruption of acquisition and extinction in testing. These results were obtained in a test procedure that compares responding with stimulus compounds in order to remove the differences in overall performance, which have complicated inferences about associative changes in earlier experiments.","author":[{"dropping-particle":"","family":"Rescorla","given":"R A","non-dropping-particle":"","parse-names":false,"suffix":""}],"container-title":"Journal of Experimental Psychology: Animal Behavior Processes","id":"ITEM-1","issue":"4","issued":{"date-parts":[["2002"]]},"page":"406-415","title":"Comparison of the rates of associative change during acquisition and extinction.","type":"article-journal","volume":"28"},"uris":["http://www.mendeley.com/documents/?uuid=101b0730-0bf4-484f-9891-45f26101c150"]},{"id":"ITEM-2","itemData":{"DOI":"10.1037/0097-7403.28.4.369","ISBN":"0097-7403","ISSN":"1939-2184","abstract":"Three experiments used a Pavlovian magazine-approach procedure in rats to explore, in 3 theoretically interesting cases, the inferences made from savings tests. In each experiment, a compound test procedure allowed the separation of differences in rate of acquiring new associative learning from differences in initial level of associative strength. Experiment 1 found that the slower acquisition after prior nonreinforced exposure (latent inhibition) reflected differences in learning rate, not initial level. By contrast, Experiments 2 and 3 found that the higher performance observed to a previously trained and extinguished stimulus, and lower performance observed to a conditioned inhibitor, both arose primarily because of differences in initial associative value. These experiments illustrate the usefulness of a novel testing procedure in sharpening the conclusions from savings procedures.","author":[{"dropping-particle":"","family":"Rescorla","given":"R A","non-dropping-particle":"","parse-names":false,"suffix":""}],"container-title":"Journal of Experimental Psychology: Animal Behavior Processes","id":"ITEM-2","issue":"4","issued":{"date-parts":[["2002"]]},"note":"(editor)\nThree experiments used a Pavlovian magazine-approach procedure in rats to explore, in 3 theoretically interesting cases, the inferences made from savings tests. In each experiment, a compound test procedure allowed the separation of differences in rate of acquiring new associative learning from differences in initial level of associative strength. Experiment 1 found that the slower acquisition after prior nonreinforced exposure (latent inhibition) reflected differences in learning rate, not initial level. By contrast, Experiments 2 and 3 found that the higher performance observed to a previously trained and extinguished stimulus, and lower performance observed to a conditioned inhibitor, both arose primarily because of differences in initial associative value. These experiments illustrate the usefulness of a novel testing procedure in sharpening the conclusions from savings procedures.","page":"369-377","title":"Savings tests: Separating differences in rate of learning from differences in initial levels.","type":"article-journal","volume":"28"},"uris":["http://www.mendeley.com/documents/?uuid=4885467f-f2d0-4c54-bef4-8d81d0470fbf"]}],"mendeley":{"formattedCitation":"(Rescorla, 2002a, 2002b)","plainTextFormattedCitation":"(Rescorla, 2002a, 2002b)","previouslyFormattedCitation":"(Rescorla, 2002a, 2002b)"},"properties":{"noteIndex":0},"schema":"https://github.com/citation-style-language/schema/raw/master/csl-citation.json"}</w:instrText>
      </w:r>
      <w:r w:rsidR="00E642FD">
        <w:rPr>
          <w:sz w:val="24"/>
          <w:szCs w:val="24"/>
        </w:rPr>
        <w:fldChar w:fldCharType="separate"/>
      </w:r>
      <w:r w:rsidR="006159CE" w:rsidRPr="006159CE">
        <w:rPr>
          <w:noProof/>
          <w:sz w:val="24"/>
          <w:szCs w:val="24"/>
        </w:rPr>
        <w:t>(Rescorla, 2002a, 2002b)</w:t>
      </w:r>
      <w:r w:rsidR="00E642FD">
        <w:rPr>
          <w:sz w:val="24"/>
          <w:szCs w:val="24"/>
        </w:rPr>
        <w:fldChar w:fldCharType="end"/>
      </w:r>
      <w:r w:rsidR="00CD7230">
        <w:rPr>
          <w:sz w:val="24"/>
          <w:szCs w:val="24"/>
        </w:rPr>
        <w:t xml:space="preserve"> </w:t>
      </w:r>
      <w:r w:rsidR="00CD7230" w:rsidRPr="00F0708B">
        <w:rPr>
          <w:sz w:val="24"/>
          <w:szCs w:val="24"/>
        </w:rPr>
        <w:t>to assess disrupted acquisition effects</w:t>
      </w:r>
      <w:r w:rsidRPr="00F0708B">
        <w:rPr>
          <w:sz w:val="24"/>
          <w:szCs w:val="24"/>
        </w:rPr>
        <w:t xml:space="preserve">. </w:t>
      </w:r>
    </w:p>
    <w:p w14:paraId="55833788" w14:textId="7AFB3212" w:rsidR="001D0D31" w:rsidRPr="00F0708B" w:rsidRDefault="001D0D31" w:rsidP="00C040FA">
      <w:pPr>
        <w:ind w:firstLine="720"/>
        <w:rPr>
          <w:sz w:val="24"/>
          <w:szCs w:val="24"/>
        </w:rPr>
      </w:pPr>
      <w:r w:rsidRPr="00F0708B">
        <w:rPr>
          <w:sz w:val="24"/>
          <w:szCs w:val="24"/>
        </w:rPr>
        <w:t xml:space="preserve">Intact blocking despite impaired acquisition behaviour suggests that OFC inactivation did not disrupt the underlying learning about the associative strength of the CS-US relationship. Associative blocking is often used to assess the role of prediction-error based learning </w:t>
      </w:r>
      <w:r w:rsidR="00C040FA">
        <w:rPr>
          <w:sz w:val="24"/>
          <w:szCs w:val="24"/>
        </w:rPr>
        <w:fldChar w:fldCharType="begin" w:fldLock="1"/>
      </w:r>
      <w:r w:rsidR="00C6323C">
        <w:rPr>
          <w:sz w:val="24"/>
          <w:szCs w:val="24"/>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learning","type":"article-journal","volume":"16"},"prefix":"e.g. ","uris":["http://www.mendeley.com/documents/?uuid=721f625d-09d6-42e2-82ad-124b5a1bfbdf"]},{"id":"ITEM-2","itemData":{"DOI":"10.1038/nn.4538","ISSN":"1097-6256","abstract":"Learning to predict reward is thought to be driven by dopaminergic prediction errors, which reflect discrepancies between actual and expected value. Here the authors show that learning to predict neutral events is also driven by prediction errors and that such value-neutral associative learning is also likely mediated by dopaminergic error signals.","author":[{"dropping-particle":"","family":"Sharpe","given":"Melissa J","non-dropping-particle":"","parse-names":false,"suffix":""},{"dropping-particle":"","family":"Chang","given":"Chun Yun","non-dropping-particle":"","parse-names":false,"suffix":""},{"dropping-particle":"","family":"Liu","given":"Melissa A","non-dropping-particle":"","parse-names":false,"suffix":""},{"dropping-particle":"","family":"Batchelor","given":"Hannah M","non-dropping-particle":"","parse-names":false,"suffix":""},{"dropping-particle":"","family":"Mueller","given":"Lauren E","non-dropping-particle":"","parse-names":false,"suffix":""},{"dropping-particle":"","family":"Jones","given":"Joshua L","non-dropping-particle":"","parse-names":false,"suffix":""},{"dropping-particle":"","family":"Niv","given":"Yael","non-dropping-particle":"","parse-names":false,"suffix":""},{"dropping-particle":"","family":"Schoenbaum","given":"Geoffrey","non-dropping-particle":"","parse-names":false,"suffix":""}],"container-title":"Nature Neuroscience","id":"ITEM-2","issue":"5","issued":{"date-parts":[["2017","5","3"]]},"page":"735-742","publisher":"Nature Publishing Group","title":"Dopamine transients are sufficient and necessary for acquisition of model-based associations","type":"article-journal","volume":"20"},"uris":["http://www.mendeley.com/documents/?uuid=be4d2404-05fa-3eac-a370-7b4239be95b7"]}],"mendeley":{"formattedCitation":"(Sharpe et al., 2017b; e.g. Steinberg et al., 2013)","plainTextFormattedCitation":"(Sharpe et al., 2017b; e.g. Steinberg et al., 2013)","previouslyFormattedCitation":"(Sharpe et al., 2017b; e.g. Steinberg et al., 2013)"},"properties":{"noteIndex":0},"schema":"https://github.com/citation-style-language/schema/raw/master/csl-citation.json"}</w:instrText>
      </w:r>
      <w:r w:rsidR="00C040FA">
        <w:rPr>
          <w:sz w:val="24"/>
          <w:szCs w:val="24"/>
        </w:rPr>
        <w:fldChar w:fldCharType="separate"/>
      </w:r>
      <w:r w:rsidR="005A4B5E" w:rsidRPr="005A4B5E">
        <w:rPr>
          <w:noProof/>
          <w:sz w:val="24"/>
          <w:szCs w:val="24"/>
        </w:rPr>
        <w:t>(Sharpe et al., 2017b; e.g. Steinberg et al., 2013)</w:t>
      </w:r>
      <w:r w:rsidR="00C040FA">
        <w:rPr>
          <w:sz w:val="24"/>
          <w:szCs w:val="24"/>
        </w:rPr>
        <w:fldChar w:fldCharType="end"/>
      </w:r>
      <w:r w:rsidRPr="00F0708B">
        <w:rPr>
          <w:sz w:val="24"/>
          <w:szCs w:val="24"/>
        </w:rPr>
        <w:t>, suggesting that the OFC is not necessary for this aspect of Pavlovian learning. This distinction suggests that the learned value of a Pavlovian CS-US association might be independent of the current expected or subjective value of expected reward. Informally, learning whether an outcome will be delivered might reasonably be separate from learning the subjective value or identity of that outcome</w:t>
      </w:r>
      <w:r w:rsidR="00C6323C">
        <w:rPr>
          <w:sz w:val="24"/>
          <w:szCs w:val="24"/>
        </w:rPr>
        <w:t xml:space="preserve"> </w:t>
      </w:r>
      <w:r w:rsidR="00C6323C">
        <w:rPr>
          <w:sz w:val="24"/>
          <w:szCs w:val="24"/>
        </w:rPr>
        <w:fldChar w:fldCharType="begin" w:fldLock="1"/>
      </w:r>
      <w:r w:rsidR="00A226F4">
        <w:rPr>
          <w:sz w:val="24"/>
          <w:szCs w:val="24"/>
        </w:rPr>
        <w:instrText>ADDIN CSL_CITATION {"citationItems":[{"id":"ITEM-1","itemData":{"author":[{"dropping-particle":"","family":"McDannald","given":"Michael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Neuroscience","id":"ITEM-1","issued":{"date-parts":[["2011"]]},"page":"2700-2705","title":"Ventral striatum and orbitofrontal cortex are both required for model-based, but not model-free, reinforcement learning","type":"article-journal","volume":"31"},"uris":["http://www.mendeley.com/documents/?uuid=fd72c0c0-95bc-4b3c-b673-02f000ff2455"]},{"id":"ITEM-2","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J","non-dropping-particle":"","parse-names":false,"suffix":""}],"id":"ITEM-2","issued":{"date-parts":[["2007"]]},"language":"English","page":"152-173","publisher":"Blackwell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conditioning","type":"chapter","volume":"1121"},"uris":["http://www.mendeley.com/documents/?uuid=fe58f3e9-0bae-4cf9-be89-0a503f752db3"]},{"id":"ITEM-3","itemData":{"DOI":"10.1196/annals.1390.008","ISBN":"1573316741","ISSN":"17496632","PMID":"17344542","abstract":"The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Sciences","id":"ITEM-3","issued":{"date-parts":[["2007"]]},"title":"Learning about multiple attributes of reward in Pavlovian conditioning","type":"paper-conference"},"uris":["http://www.mendeley.com/documents/?uuid=b91bf935-14e6-4f3e-b3dc-fc114305e595"]},{"id":"ITEM-4","itemData":{"DOI":"10.1016/j.cub.2019.01.048","ISSN":"09609822","PMID":"30827919","abstract":"The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eoffrey","non-dropping-particle":"","parse-names":false,"suffix":""}],"container-title":"Current Biology","id":"ITEM-4","issued":{"date-parts":[["2019"]]},"title":"Rat Orbitofrontal Ensemble Activity Contains Multiplexed but Dissociable Representations of Value and Task Structure in an Odor Sequence Task","type":"article-journal"},"uris":["http://www.mendeley.com/documents/?uuid=4f36717f-8ad1-4452-97a6-431a17300717"]}],"mendeley":{"formattedCitation":"(Delamater, 2007; Delamater &amp; Oakeshott, 2007; McDannald et al., 2011; Zhou et al., 2019)","plainTextFormattedCitation":"(Delamater, 2007; Delamater &amp; Oakeshott, 2007; McDannald et al., 2011; Zhou et al., 2019)","previouslyFormattedCitation":"(Delamater, 2007; Delamater &amp; Oakeshott, 2007; McDannald et al., 2011; Zhou et al., 2019)"},"properties":{"noteIndex":0},"schema":"https://github.com/citation-style-language/schema/raw/master/csl-citation.json"}</w:instrText>
      </w:r>
      <w:r w:rsidR="00C6323C">
        <w:rPr>
          <w:sz w:val="24"/>
          <w:szCs w:val="24"/>
        </w:rPr>
        <w:fldChar w:fldCharType="separate"/>
      </w:r>
      <w:r w:rsidR="00661D73" w:rsidRPr="00661D73">
        <w:rPr>
          <w:noProof/>
          <w:sz w:val="24"/>
          <w:szCs w:val="24"/>
        </w:rPr>
        <w:t>(Delamater, 2007; Delamater &amp; Oakeshott, 2007; McDannald et al., 2011; Zhou et al., 2019)</w:t>
      </w:r>
      <w:r w:rsidR="00C6323C">
        <w:rPr>
          <w:sz w:val="24"/>
          <w:szCs w:val="24"/>
        </w:rPr>
        <w:fldChar w:fldCharType="end"/>
      </w:r>
      <w:r w:rsidRPr="00F0708B">
        <w:rPr>
          <w:sz w:val="24"/>
          <w:szCs w:val="24"/>
        </w:rPr>
        <w:t xml:space="preserve">. </w:t>
      </w:r>
    </w:p>
    <w:p w14:paraId="25F64C5A" w14:textId="77777777" w:rsidR="001D0D31" w:rsidRPr="00F0708B" w:rsidRDefault="001D0D31" w:rsidP="001D0D31">
      <w:pPr>
        <w:pStyle w:val="BodyText"/>
        <w:rPr>
          <w:b/>
          <w:bCs/>
        </w:rPr>
      </w:pPr>
      <w:r w:rsidRPr="00F0708B">
        <w:rPr>
          <w:b/>
          <w:bCs/>
        </w:rPr>
        <w:t>Lateral OFC is necessary for flexible value-based Pavlovian behavioural control</w:t>
      </w:r>
    </w:p>
    <w:p w14:paraId="74DBDA68" w14:textId="4FC5F9D5" w:rsidR="001D0D31" w:rsidRPr="00F0708B" w:rsidRDefault="001D0D31" w:rsidP="001D0D31">
      <w:pPr>
        <w:pStyle w:val="BodyText"/>
      </w:pPr>
      <w:r w:rsidRPr="00F0708B">
        <w:t xml:space="preserve">One challenge raised by the present findings is, if the OFC is not necessary for CS-US contingency learning, but is necessary for learning about the specific identity of expected outcomes and their value, why do we observe an effect in a simple single CS-US learning procedure? </w:t>
      </w:r>
      <w:r w:rsidR="00535A3C">
        <w:t>In this</w:t>
      </w:r>
      <w:r w:rsidR="00C26D29">
        <w:t xml:space="preserve"> simple</w:t>
      </w:r>
      <w:r w:rsidR="00535A3C">
        <w:t xml:space="preserve"> task, t</w:t>
      </w:r>
      <w:r w:rsidRPr="00F0708B">
        <w:t xml:space="preserve">he value and identity of the US stays constant, and there is only a single unambiguous CS. We reasoned that, even in Putatively simple tasks, there are a number of unconstrained alternative behaviours that a rat can engage in which can compete </w:t>
      </w:r>
      <w:r w:rsidRPr="00F0708B">
        <w:lastRenderedPageBreak/>
        <w:t xml:space="preserve">with the target magazine approach behaviour. These behaviours are likely to be under the control of different behavioural systems (e.g. grooming), and the relative value of a behaviour (presumably determining its eligibility for dominating behavioural performance at any given moment) is likely to be highly variable within- and between-subjects </w:t>
      </w:r>
      <w:r w:rsidR="00C26D29">
        <w:fldChar w:fldCharType="begin" w:fldLock="1"/>
      </w:r>
      <w:r w:rsidR="00887FA5">
        <w:instrText>ADDIN CSL_CITATION {"citationItems":[{"id":"ITEM-1","itemData":{"DOI":"10.3758/BF03210945","ISBN":"1069-9384 (Print)\r1069-9384 (Linking)","PMID":"24203549","abstract":"Associative and behavior systems accounts of Pavlovian conditioning have different emphases. The traditional associative account has focused on the role of the unconditional stimulus (US) in strengthening stimulus associations according to a set of general laws. The behavior systems account has focused on the relation of conditional responding to the preorganized perceptual, motor, and motivational organization engaged by the US. Knowledge of a behavior system enables successful prediction of the form and ease of conditioning as a function of the type of conditional stimulus (CS), US, and the CS-US relation. At the same time, Pavlovian manipulations act as a window on how a behavior system works. Both associative and behavior systems accounts can be criticized as incomplete and idiosyncratic. A comprehensive account of Pavlovian conditioning could profit from their integration.","author":[{"dropping-particle":"","family":"Timberlake","given":"W","non-dropping-particle":"","parse-names":false,"suffix":""}],"container-title":"Psychon Bull Rev","id":"ITEM-1","issue":"4","issued":{"date-parts":[["1994"]]},"note":"Timberlake, W\neng\n1994/12/01 00:00\nPsychon Bull Rev. 1994 Dec;1(4):405-20. doi: 10.3758/BF03210945.","page":"405-420","title":"Behavior systems, associationism, and Pavlovian conditioning","type":"article-journal","volume":"1"},"uris":["http://www.mendeley.com/documents/?uuid=a456e714-9ad6-4b8d-9124-f0e08068b1a0"]},{"id":"ITEM-2","itemData":{"DOI":"10.3758/BF03210949","ISSN":"10699384","abstract":"The contributions of this symposium on behavior systems are summarized and evaluated by considering two questions: (1) What is a behavior system? (2) What use to the learning theorist are behavior systems? Two examples of behavior systems from the classical ethological literature are compared with the behavior systems discussed in the symposium, and some similarities and differences in the type of analyses used are discussed. Analysis of the pre-organized species-typical behavior systems relevant to the unconditioned stimuli or reinforcers in learning experiments can contribute performance rules and better understanding of the conditions and contents of learning. The organization of behavior systems can also provide important clues to the neural circuitry underlying behavior, and a behavior systems approach can raise novel questions concerning learning and behavioral development. Possible future directions for the behavior systems approach are briefly discussed. © 1994 Psychonomic Society, Inc.","author":[{"dropping-particle":"","family":"Shettleworth","given":"Sara J.","non-dropping-particle":"","parse-names":false,"suffix":""}],"container-title":"Psychonomic Bulletin &amp; Review","id":"ITEM-2","issue":"4","issued":{"date-parts":[["1994"]]},"page":"451-456","title":"Commentary: What are behavior systems and what use are they?","type":"article-journal","volume":"1"},"uris":["http://www.mendeley.com/documents/?uuid=6f0f76a3-6385-4a22-9799-632fabf94370"]}],"mendeley":{"formattedCitation":"(Shettleworth, 1994; Timberlake, 1994)","plainTextFormattedCitation":"(Shettleworth, 1994; Timberlake, 1994)","previouslyFormattedCitation":"(Shettleworth, 1994; Timberlake, 1994)"},"properties":{"noteIndex":0},"schema":"https://github.com/citation-style-language/schema/raw/master/csl-citation.json"}</w:instrText>
      </w:r>
      <w:r w:rsidR="00C26D29">
        <w:fldChar w:fldCharType="separate"/>
      </w:r>
      <w:r w:rsidR="00534362" w:rsidRPr="00534362">
        <w:rPr>
          <w:noProof/>
        </w:rPr>
        <w:t>(Shettleworth, 1994; Timberlake, 1994)</w:t>
      </w:r>
      <w:r w:rsidR="00C26D29">
        <w:fldChar w:fldCharType="end"/>
      </w:r>
      <w:r w:rsidRPr="00F0708B">
        <w:t xml:space="preserve">. Indeed, the competition </w:t>
      </w:r>
      <w:r w:rsidR="00480E29">
        <w:t>between</w:t>
      </w:r>
      <w:r w:rsidRPr="00F0708B">
        <w:t xml:space="preserve"> these alternative behaviours might be most prominent in simple tasks with low attentional/cognitive demands. </w:t>
      </w:r>
    </w:p>
    <w:p w14:paraId="3156AD16" w14:textId="6C3A12F6" w:rsidR="001D0D31" w:rsidRPr="00F0708B" w:rsidRDefault="001D0D31" w:rsidP="00480E29">
      <w:pPr>
        <w:pStyle w:val="BodyText"/>
        <w:ind w:firstLine="720"/>
      </w:pPr>
      <w:r w:rsidRPr="00F0708B">
        <w:t xml:space="preserve">We hypothesized that OFC inactivation disrupted a value-based decision process involved in comparing the relative value of these alternative behaviours with the expected value of the US. We created a task (Experiment 6) in which we could direct and measure these normally unconstrained alternative behaviours and manipulate their relative value by providing unsignalled probabilistic reward similar to patch foraging tasks </w:t>
      </w:r>
      <w:r w:rsidR="006538C3">
        <w:fldChar w:fldCharType="begin" w:fldLock="1"/>
      </w:r>
      <w:r w:rsidR="008F6C9F">
        <w:instrText>ADDIN CSL_CITATION {"citationItems":[{"id":"ITEM-1","itemData":{"DOI":"10.1038/268583a0","ISSN":"1476-4687","author":[{"dropping-particle":"","family":"Krebs","given":"John","non-dropping-particle":"","parse-names":false,"suffix":""}],"container-title":"Nature","id":"ITEM-1","issue":"5621","issued":{"date-parts":[["1977"]]},"page":"583-584","title":"Optimal foraging: theory and experiment","type":"article-journal","volume":"268"},"uris":["http://www.mendeley.com/documents/?uuid=8b8ff8d0-b827-4cb4-b7bc-e086b4a5999f"]},{"id":"ITEM-2","itemData":{"abstract":"This account of the current state of foraging theory is also a valuable description of the use of optimality theory in behavioral ecology in general. Organizing and introducing the main research themes in economic analyses of animal feeding behavior, the authors analyze the empirical evidence bearing on foraging models and answer criticisms of optimality modeling. They explain the rationale for applying optimality models to the strategies and mechanics of foraging and present the basic “average-rate maximizing” models and their extensions. The work discusses new directions in foraging research: incorporating incomplete information and risk-sensitive behavior in foraging models; analyzing trade-offs, such as nutrient requirements and the threat of being eaten while foraging; formulating dynamic models; and building constrained optimization models that assume that foragers can use only simple “rules of thumb.” As an analysis of these and earlier research developments and as a contribution to debates about the role of theory in evolutionary biology. Foraging Theory will appeal to a wide range of readers, from students to research professionals, in behavioral ecology, population and community ecology, animal behavior, and animal psychology, and especially to those planning empirical tests of foraging models.","author":[{"dropping-particle":"","family":"Stephens","given":"David N","non-dropping-particle":"","parse-names":false,"suffix":""},{"dropping-particle":"","family":"Krebs","given":"John","non-dropping-particle":"","parse-names":false,"suffix":""}],"id":"ITEM-2","issued":{"date-parts":[["1986"]]},"number-of-pages":"262","publisher":"Princeton University Press","publisher-place":"Princeton, NJ","title":"Foraging Theory","type":"book"},"uris":["http://www.mendeley.com/documents/?uuid=31b906b8-5187-4bec-a422-246848a9db18"]}],"mendeley":{"formattedCitation":"(Krebs, 1977; Stephens &amp; Krebs, 1986)","plainTextFormattedCitation":"(Krebs, 1977; Stephens &amp; Krebs, 1986)","previouslyFormattedCitation":"(Krebs, 1977; Stephens &amp; Krebs, 1986)"},"properties":{"noteIndex":0},"schema":"https://github.com/citation-style-language/schema/raw/master/csl-citation.json"}</w:instrText>
      </w:r>
      <w:r w:rsidR="006538C3">
        <w:fldChar w:fldCharType="separate"/>
      </w:r>
      <w:r w:rsidR="009D73C0" w:rsidRPr="009D73C0">
        <w:rPr>
          <w:noProof/>
        </w:rPr>
        <w:t>(Krebs, 1977; Stephens &amp; Krebs, 1986)</w:t>
      </w:r>
      <w:r w:rsidR="006538C3">
        <w:fldChar w:fldCharType="end"/>
      </w:r>
      <w:r w:rsidRPr="00F0708B">
        <w:t xml:space="preserve">. Behaviour to this reward site rapidly tracked the unsignalled reward rate changes, and effectively competed for Pavlovian magazine approach to a CS in a value dependent manner. As predicted, OFC inactivation disrupted the integration of relative value into the Pavlovian approach behaviour but left the valuation and control of the alternative behaviour intact. </w:t>
      </w:r>
    </w:p>
    <w:p w14:paraId="653AEEA5" w14:textId="05AA2B96" w:rsidR="001D0D31" w:rsidRPr="00F0708B" w:rsidRDefault="001D0D31" w:rsidP="0058685B">
      <w:pPr>
        <w:pStyle w:val="BodyText"/>
        <w:ind w:firstLine="720"/>
      </w:pPr>
      <w:r w:rsidRPr="00F0708B">
        <w:t xml:space="preserve">This suggests that the lateral OFC is necessary for value based behavioural flexibility of Pavlovian behaviours. One important alternative account that </w:t>
      </w:r>
      <w:r w:rsidR="0058685B" w:rsidRPr="00F0708B">
        <w:t>cannot</w:t>
      </w:r>
      <w:r w:rsidRPr="00F0708B">
        <w:t xml:space="preserve"> be rule</w:t>
      </w:r>
      <w:r w:rsidR="0058685B">
        <w:t>d</w:t>
      </w:r>
      <w:r w:rsidRPr="00F0708B">
        <w:t xml:space="preserve"> out is that </w:t>
      </w:r>
      <w:r w:rsidR="00596DA9">
        <w:t>this reflects</w:t>
      </w:r>
      <w:r w:rsidRPr="00F0708B">
        <w:t xml:space="preserve"> an inability to integrate across USs of different sensory properties i.e. grain pellets and sucrose liquid </w:t>
      </w:r>
      <w:r w:rsidR="008F6C9F">
        <w:fldChar w:fldCharType="begin" w:fldLock="1"/>
      </w:r>
      <w:r w:rsidR="006159CE">
        <w:instrText>ADDIN CSL_CITATION {"citationItems":[{"id":"ITEM-1","itemData":{"DOI":"Doi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-1","issue":"7202","issued":{"date-parts":[["2008"]]},"language":"English","page":"340-U45","title":"The role of the orbitofrontal cortex in the pursuit of happiness and more specific rewards","type":"article-journal","volume":"454"},"uris":["http://www.mendeley.com/documents/?uuid=c3367cf0-c4f1-419c-80b8-0bb9c2afd479"]},{"id":"ITEM-2","itemData":{"author":[{"dropping-particle":"","family":"McDannald","given":"Michael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Neuroscience","id":"ITEM-2","issued":{"date-parts":[["2011"]]},"page":"2700-2705","title":"Ventral striatum and orbitofrontal cortex are both required for model-based, but not model-free, reinforcement learning","type":"article-journal","volume":"31"},"uris":["http://www.mendeley.com/documents/?uuid=fd72c0c0-95bc-4b3c-b673-02f000ff2455"]},{"id":"ITEM-3","itemData":{"DOI":"10.1016/j.neuron.2017.10.026","ISSN":"08966273","abstract":"&lt;h2&gt;Summary&lt;/h2&gt;&lt;p&gt;How do we choose between goods that have different subjective values, like apples and oranges? Neuroeconomics proposes that this is done by reducing complex goods to a single unitary value to allow comparison. This value is computed \"on the fly\" from the underlying model of the goods space, allowing decisions to meet current needs. This is termed \"model-based\" behavior to distinguish it from pre-determined, habitual, or \"model-free\" behavior. The lateral orbitofrontal cortex (OFC) supports model-based behavior in rats and primates, but whether the OFC is necessary for economic choice is less clear. Here we tested this question by optogenetically inactivating the lateral OFC in rats in a classic model-based task and during economic choice. Contrary to predictions, inactivation disrupted model-based behavior without affecting economic choice.&lt;/p&gt;","author":[{"dropping-particle":"","family":"Gardner","given":"Matthew P.H.","non-dropping-particle":"","parse-names":false,"suffix":""},{"dropping-particle":"","family":"Conroy","given":"Jessica S.","non-dropping-particle":"","parse-names":false,"suffix":""},{"dropping-particle":"","family":"Shaham","given":"Michael H.","non-dropping-particle":"","parse-names":false,"suffix":""},{"dropping-particle":"V.","family":"Styer","given":"Clay","non-dropping-particle":"","parse-names":false,"suffix":""},{"dropping-particle":"","family":"Schoenbaum","given":"Geoffrey","non-dropping-particle":"","parse-names":false,"suffix":""}],"container-title":"Neuron","id":"ITEM-3","issue":"0","issued":{"date-parts":[["2017","11"]]},"publisher":"Elsevier","title":"Lateral Orbitofrontal Inactivation Dissociates Devaluation-Sensitive Behavior and Economic Choice","type":"article-journal","volume":"0"},"uris":["http://www.mendeley.com/documents/?uuid=709a0352-dd2d-395d-9ecb-dacfa17a6d20"]},{"id":"ITEM-4","itemData":{"DOI":"Doi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Neuroscience","id":"ITEM-4","issue":"12","issued":{"date-parts":[["2009"]]},"language":"English","page":"885-892","title":"A new perspective on the role of the orbitofrontal cortex in adaptive behaviour","type":"article-journal","volume":"10"},"uris":["http://www.mendeley.com/documents/?uuid=9124fd3f-a73f-4663-9302-6f70d776e02c"]},{"id":"ITEM-5","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J","non-dropping-particle":"","parse-names":false,"suffix":""}],"id":"ITEM-5","issued":{"date-parts":[["2007"]]},"language":"English","page":"152-173","publisher":"Blackwell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conditioning","type":"chapter","volume":"1121"},"uris":["http://www.mendeley.com/documents/?uuid=fe58f3e9-0bae-4cf9-be89-0a503f752db3"]}],"mendeley":{"formattedCitation":"(Burke et al., 2008; Delamater, 2007; Gardner et al., 2017; McDannald et al., 2011; Schoenbaum et al., 2009)","plainTextFormattedCitation":"(Burke et al., 2008; Delamater, 2007; Gardner et al., 2017; McDannald et al., 2011; Schoenbaum et al., 2009)","previouslyFormattedCitation":"(Burke et al., 2008; Delamater, 2007; Gardner et al., 2017; McDannald et al., 2011; Schoenbaum et al., 2009)"},"properties":{"noteIndex":0},"schema":"https://github.com/citation-style-language/schema/raw/master/csl-citation.json"}</w:instrText>
      </w:r>
      <w:r w:rsidR="008F6C9F">
        <w:fldChar w:fldCharType="separate"/>
      </w:r>
      <w:r w:rsidR="00CA2485" w:rsidRPr="00CA2485">
        <w:rPr>
          <w:noProof/>
        </w:rPr>
        <w:t>(Burke et al., 2008; Delamater, 2007; Gardner et al., 2017; McDannald et al., 2011; Schoenbaum et al., 2009)</w:t>
      </w:r>
      <w:r w:rsidR="008F6C9F">
        <w:fldChar w:fldCharType="end"/>
      </w:r>
      <w:r w:rsidRPr="00F0708B">
        <w:t>. However, the effect of OFC inactivation was specific to integrating either value or identity information to flexibly control Pavlovian behaviours. Lateral OFC lesions have also previously been found not to affect the acquisition or value-based control of instrumental action-outcome behaviours</w:t>
      </w:r>
      <w:r w:rsidR="00A226F4">
        <w:t xml:space="preserve"> </w:t>
      </w:r>
      <w:r w:rsidR="00A226F4">
        <w:fldChar w:fldCharType="begin" w:fldLock="1"/>
      </w:r>
      <w:r w:rsidR="003C04CB">
        <w:instrText>ADDIN CSL_CITATION {"citationItems":[{"id":"ITEM-1","itemData":{"DOI":"Doi 10.1523/Jneurosci.5443-06.2007","ISBN":"0270-6474","author":[{"dropping-particle":"","family":"Ostlund","given":"S B","non-dropping-particle":"","parse-names":false,"suffix":""},{"dropping-particle":"","family":"Balleine","given":"B W","non-dropping-particle":"","parse-names":false,"suffix":""}],"container-title":"Journal of Neuroscience","id":"ITEM-1","issue":"18","issued":{"date-parts":[["2007"]]},"language":"English","page":"4819-4825","title":"Orbitofrontal cortex mediates outcome encoding in pavlovian but not instrumental conditioning","type":"article-journal","volume":"27"},"uris":["http://www.mendeley.com/documents/?uuid=d469c7de-a39b-4490-b6b3-0682f2e41edb"]},{"id":"ITEM-2","itemData":{"DOI":"10.7554/eLife.37357.001","ISSN":"2050084X","abstract":"The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-2","issued":{"date-parts":[["2018","7","25"]]},"title":"Functional heterogeneity within the rodent lateral orbitofrontal cortex dissociates outcome devaluation and reversal learning deficits","type":"article-journal","volume":"7"},"uris":["http://www.mendeley.com/documents/?uuid=830dcb69-80d3-3948-bcf4-b67f5d01f017"]}],"mendeley":{"formattedCitation":"(Ostlund &amp; Balleine, 2007; Panayi &amp; Killcross, 2018)","plainTextFormattedCitation":"(Ostlund &amp; Balleine, 2007; Panayi &amp; Killcross, 2018)","previouslyFormattedCitation":"(Ostlund &amp; Balleine, 2007; Panayi &amp; Killcross, 2018)"},"properties":{"noteIndex":0},"schema":"https://github.com/citation-style-language/schema/raw/master/csl-citation.json"}</w:instrText>
      </w:r>
      <w:r w:rsidR="00A226F4">
        <w:fldChar w:fldCharType="separate"/>
      </w:r>
      <w:r w:rsidR="00A226F4" w:rsidRPr="00A226F4">
        <w:rPr>
          <w:noProof/>
        </w:rPr>
        <w:t>(Ostlund &amp; Balleine, 2007; Panayi &amp; Killcross, 2018)</w:t>
      </w:r>
      <w:r w:rsidR="00A226F4">
        <w:fldChar w:fldCharType="end"/>
      </w:r>
      <w:r w:rsidRPr="00F0708B">
        <w:t xml:space="preserve">. This suggests that the lateral OFC is </w:t>
      </w:r>
      <w:r w:rsidR="005A5DE9">
        <w:t>specifically</w:t>
      </w:r>
      <w:r w:rsidRPr="00F0708B">
        <w:t xml:space="preserve"> necessary for the control of Pavlovian behaviours, or tasks in which Pavlovian CS-US contingencies dominate performance</w:t>
      </w:r>
      <w:r w:rsidR="00EF0B4D">
        <w:t xml:space="preserve"> </w:t>
      </w:r>
      <w:r w:rsidR="003C04CB">
        <w:fldChar w:fldCharType="begin" w:fldLock="1"/>
      </w:r>
      <w:r w:rsidR="00B62AE8">
        <w:instrText>ADDIN CSL_CITATION {"citationItems":[{"id":"ITEM-1","itemData":{"DOI":"10.1016/j.bbr.2013.02.027","ISBN":"0166-4328","PMID":"23458741","abstract":"The orbitofrontal cortex (OFC) is critical for behavioral adaptation in response to changes in reward value. Here we investigated, in rats, the role of OFC and, specifically, serotonergic neurotransmission within OFC in a reinforcer devaluation task (which measures behavioral flexibility). This task used two visual cues, each predicting one of two foods, with the spatial position (left-right) of the cues above two levers pseudorandomized across trials. An instrumental action (lever press) was required for reinforcer delivery. After training, rats received either excitotoxic OFC lesions made by NMDA (N-methyl-d-aspartic acid), serotonin-specific OFC lesions made by 5,7-DHT (5,7-dihydroxytryptamine), or sham lesions. In sham-lesioned rats, devaluation of one food (by feeding to satiety) significantly decreased responding to the cue associated with that food, when both cues were presented simultaneously during extinction. Both types of OFC lesions disrupted the devaluation effect. In contrast, extinction learning was not affected by serotonin-specific lesions and was only mildly retarded in rats with excitotoxic lesions. Thus, serotonin within OFC is necessary for appropriately adjusting behavior toward cues that predict reward but not for reducing responses in the absence of reward. Our results are the first to demonstrate that serotonin in OFC is necessary for reinforcer devaluation, but not extinction.","author":[{"dropping-particle":"","family":"West","given":"E A","non-dropping-particle":"","parse-names":false,"suffix":""},{"dropping-particle":"","family":"Forcelli","given":"P A","non-dropping-particle":"","parse-names":false,"suffix":""},{"dropping-particle":"","family":"McCue","given":"D L","non-dropping-particle":"","parse-names":false,"suffix":""},{"dropping-particle":"","family":"Malkova","given":"L","non-dropping-particle":"","parse-names":false,"suffix":""}],"container-title":"Behavioural Brain Research","edition":"2013/03/06","id":"ITEM-1","issued":{"date-parts":[["2013"]]},"language":"eng","note":"1872-7549\nWest, Elizabeth A\nForcelli, Patrick A\nMcCue, David L\nMalkova, Ludise\nF31 DA026705/DA/NIDA NIH HHS/United States\nF31DA026705/DA/NIDA NIH HHS/United States\nT32HD046388/HD/NICHD NIH HHS/United States\nHoward Hughes Medical Institute/United States\nJournal Article\nResearch Support, N.I.H., Extramural\nResearch Support, Non-U.S. Gov't\nNetherlands\nBehav Brain Res. 2013 Jun 1;246:10-4. doi: 10.1016/j.bbr.2013.02.027. Epub 2013 Feb 28.","page":"10-14","title":"Differential effects of serotonin-specific and excitotoxic lesions of OFC on conditioned reinforcer devaluation and extinction in rats","type":"article-journal","volume":"246"},"prefix":"e.g. ","uris":["http://www.mendeley.com/documents/?uuid=018d6c3f-bbb6-42fc-a334-0bb3e7491f00"]}],"mendeley":{"formattedCitation":"(e.g. West et al., 2013)","plainTextFormattedCitation":"(e.g. West et al., 2013)","previouslyFormattedCitation":"(e.g. West et al., 2013)"},"properties":{"noteIndex":0},"schema":"https://github.com/citation-style-language/schema/raw/master/csl-citation.json"}</w:instrText>
      </w:r>
      <w:r w:rsidR="003C04CB">
        <w:fldChar w:fldCharType="separate"/>
      </w:r>
      <w:r w:rsidR="005A5DE9" w:rsidRPr="005A5DE9">
        <w:rPr>
          <w:noProof/>
        </w:rPr>
        <w:t>(e.g. West et al., 2013)</w:t>
      </w:r>
      <w:r w:rsidR="003C04CB">
        <w:fldChar w:fldCharType="end"/>
      </w:r>
      <w:r w:rsidRPr="00F0708B">
        <w:t xml:space="preserve">. </w:t>
      </w:r>
    </w:p>
    <w:p w14:paraId="20E21EFD" w14:textId="77777777" w:rsidR="001D0D31" w:rsidRPr="00F0708B" w:rsidRDefault="001D0D31" w:rsidP="001D0D31">
      <w:pPr>
        <w:pStyle w:val="BodyText"/>
        <w:rPr>
          <w:b/>
          <w:bCs/>
        </w:rPr>
      </w:pPr>
      <w:r w:rsidRPr="00F0708B">
        <w:rPr>
          <w:b/>
          <w:bCs/>
        </w:rPr>
        <w:t>Pre- vs post-training effects</w:t>
      </w:r>
    </w:p>
    <w:p w14:paraId="2495F1F7" w14:textId="19534039" w:rsidR="001D0D31" w:rsidRPr="00F0708B" w:rsidRDefault="001D0D31" w:rsidP="00F563CD">
      <w:pPr>
        <w:pStyle w:val="BodyText"/>
      </w:pPr>
      <w:r w:rsidRPr="00F0708B">
        <w:t>The dissociable and opposite effects of pre- and post-training OFC lesions/inactivation on acquisition were surprising and rule out a simple account of OFC dysfunction in terms of prediction-error based learning impairments</w:t>
      </w:r>
      <w:r w:rsidR="00303C69">
        <w:t xml:space="preserve"> (</w:t>
      </w:r>
      <w:r w:rsidR="00303C69" w:rsidRPr="00680001">
        <w:rPr>
          <w:highlight w:val="yellow"/>
        </w:rPr>
        <w:t>Figure 2</w:t>
      </w:r>
      <w:r w:rsidR="00E378FB" w:rsidRPr="00680001">
        <w:rPr>
          <w:highlight w:val="yellow"/>
        </w:rPr>
        <w:t>-figure supplement 1</w:t>
      </w:r>
      <w:r w:rsidR="00E378FB">
        <w:t>)</w:t>
      </w:r>
      <w:r w:rsidRPr="00F0708B">
        <w:t>. One possibility is that pretraining lesions result in compensatory function such that learning</w:t>
      </w:r>
      <w:r w:rsidR="00932D80">
        <w:t xml:space="preserve"> i</w:t>
      </w:r>
      <w:r w:rsidR="00C34D24">
        <w:t>s</w:t>
      </w:r>
      <w:r w:rsidRPr="00F0708B">
        <w:t xml:space="preserve"> supported by other neural systems. In contrast, post-training lesions and inactivation disrupts learning/behaviour that has been acquired in an OFC dependent manner. This argument has been proposed when only pre-training OFC lesions </w:t>
      </w:r>
      <w:r w:rsidR="00B62AE8">
        <w:fldChar w:fldCharType="begin" w:fldLock="1"/>
      </w:r>
      <w:r w:rsidR="00B62AE8">
        <w:instrText>ADDIN CSL_CITATION {"citationItems":[{"id":"ITEM-1","itemData":{"DOI":"10.1016/j.bbr.2008.10.005","ISBN":"0166-4328","author":[{"dropping-particle":"","family":"Boulougouris","given":"V","non-dropping-particle":"","parse-names":false,"suffix":""},{"dropping-particle":"","family":"Robbins","given":"T W","non-dropping-particle":"","parse-names":false,"suffix":""}],"container-title":"Behavioural Brain Research","id":"ITEM-1","issue":"2","issued":{"date-parts":[["2009"]]},"language":"English","page":"469-475","title":"Pre-surgical training ameliorates orbitofrontal-mediated impairments in spatial reversal learning","type":"article-journal","volume":"197"},"uris":["http://www.mendeley.com/documents/?uuid=ae4c5282-d1e4-4152-955d-ab00c8365769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rat","type":"article-journal","volume":"179"},"uris":["http://www.mendeley.com/documents/?uuid=1bf26a95-c216-4d3b-80b2-0a60d1077775"]}],"mendeley":{"formattedCitation":"(Boulougouris et al., 2007; Boulougouris &amp; Robbins, 2009)","plainTextFormattedCitation":"(Boulougouris et al., 2007; Boulougouris &amp; Robbins, 2009)","previouslyFormattedCitation":"(Boulougouris et al., 2007; Boulougouris &amp; Robbins, 2009)"},"properties":{"noteIndex":0},"schema":"https://github.com/citation-style-language/schema/raw/master/csl-citation.json"}</w:instrText>
      </w:r>
      <w:r w:rsidR="00B62AE8">
        <w:fldChar w:fldCharType="separate"/>
      </w:r>
      <w:r w:rsidR="00B62AE8" w:rsidRPr="00B62AE8">
        <w:rPr>
          <w:noProof/>
        </w:rPr>
        <w:t>(Boulougouris et al., 2007; Boulougouris &amp; Robbins, 2009)</w:t>
      </w:r>
      <w:r w:rsidR="00B62AE8">
        <w:fldChar w:fldCharType="end"/>
      </w:r>
      <w:r w:rsidRPr="00F0708B">
        <w:t>, or only post-training OFC lesions disrupt behaviour</w:t>
      </w:r>
      <w:r w:rsidR="00B62AE8">
        <w:t xml:space="preserve"> </w:t>
      </w:r>
      <w:r w:rsidR="00B62AE8">
        <w:fldChar w:fldCharType="begin" w:fldLock="1"/>
      </w:r>
      <w:r w:rsidR="000975C0">
        <w:instrText>ADDIN CSL_CITATION {"citationItems":[{"id":"ITEM-1","itemData":{"DOI":"Doi 10.1523/Jneurosci.5443-06.2007","ISBN":"0270-6474","author":[{"dropping-particle":"","family":"Ostlund","given":"S B","non-dropping-particle":"","parse-names":false,"suffix":""},{"dropping-particle":"","family":"Balleine","given":"B W","non-dropping-particle":"","parse-names":false,"suffix":""}],"container-title":"Journal of Neuroscience","id":"ITEM-1","issue":"18","issued":{"date-parts":[["2007"]]},"language":"English","page":"4819-4825","title":"Orbitofrontal cortex mediates outcome encoding in pavlovian but not instrumental conditioning","type":"article-journal","volume":"27"},"uris":["http://www.mendeley.com/documents/?uuid=d469c7de-a39b-4490-b6b3-0682f2e41edb"]},{"id":"ITEM-2","itemData":{"DOI":"10.1111/j.1749-6632.2011.06270.x","ISBN":"1749-6632 (Electronic)\r0077-8923 (Linking)","PMID":"22145874","abstract":"Considerable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research.","author":[{"dropping-particle":"","family":"Balleine","given":"B W","non-dropping-particle":"","parse-names":false,"suffix":""},{"dropping-particle":"","family":"Leung","given":"B K","non-dropping-particle":"","parse-names":false,"suffix":""},{"dropping-particle":"","family":"Ostlund","given":"S B","non-dropping-particle":"","parse-names":false,"suffix":""}],"container-title":"Ann N Y Acad Sci","id":"ITEM-2","issued":{"date-parts":[["2011"]]},"note":"Balleine, Bernard W\nLeung, Beatrice K\nOstlund, Sean B\neng\nMH56446/MH/NIMH NIH HHS/\nComparative Study\nResearch Support, N.I.H., Extramural\nResearch Support, Non-U.S. Gov't\n2011/12/08 06:00\nAnn N Y Acad Sci. 2011 Dec;1239:43-50. doi: 10.1111/j.1749-6632.2011.06270.x.","page":"43-50","title":"The orbitofrontal cortex, predicted value, and choice","type":"article-journal","volume":"1239"},"uris":["http://www.mendeley.com/documents/?uuid=a10dfb2a-8e99-4d4a-948e-aed849d80a66"]}],"mendeley":{"formattedCitation":"(Balleine et al., 2011; Ostlund &amp; Balleine, 2007)","plainTextFormattedCitation":"(Balleine et al., 2011; Ostlund &amp; Balleine, 2007)","previouslyFormattedCitation":"(Balleine et al., 2011; Ostlund &amp; Balleine, 2007)"},"properties":{"noteIndex":0},"schema":"https://github.com/citation-style-language/schema/raw/master/csl-citation.json"}</w:instrText>
      </w:r>
      <w:r w:rsidR="00B62AE8">
        <w:fldChar w:fldCharType="separate"/>
      </w:r>
      <w:r w:rsidR="00B62AE8" w:rsidRPr="00B62AE8">
        <w:rPr>
          <w:noProof/>
        </w:rPr>
        <w:t>(Balleine et al., 2011; Ostlund &amp; Balleine, 2007)</w:t>
      </w:r>
      <w:r w:rsidR="00B62AE8">
        <w:fldChar w:fldCharType="end"/>
      </w:r>
      <w:r w:rsidRPr="00F0708B">
        <w:t xml:space="preserve">. We will </w:t>
      </w:r>
      <w:r w:rsidR="00F563CD">
        <w:t xml:space="preserve">also </w:t>
      </w:r>
      <w:r w:rsidRPr="00F0708B">
        <w:t xml:space="preserve">consider two alternative accounts of pre- vs post-training OFC lesion differences based on theoretical accounts of OFC function, sensory-specific outcome expectancy and latent state theories. Note that these theories do not predict an effect of OFC lesions on simple Pavlovian acquisition </w:t>
      </w:r>
      <w:r w:rsidRPr="00F0708B">
        <w:rPr>
          <w:i/>
          <w:iCs/>
        </w:rPr>
        <w:t>a priori</w:t>
      </w:r>
      <w:r w:rsidRPr="00F0708B">
        <w:t>, and therefore require additional assumptions to account for the present data.</w:t>
      </w:r>
    </w:p>
    <w:p w14:paraId="277055E4" w14:textId="2B73ABEA" w:rsidR="001D0D31" w:rsidRPr="00F0708B" w:rsidRDefault="001D0D31" w:rsidP="00F563CD">
      <w:pPr>
        <w:pStyle w:val="BodyText"/>
        <w:ind w:firstLine="720"/>
      </w:pPr>
      <w:r w:rsidRPr="00F0708B">
        <w:lastRenderedPageBreak/>
        <w:t xml:space="preserve">From an associative learning framework, even putatively “simple” single cue-outcome Pavlovian learning can involve a number of different psychological/behavioural processes </w:t>
      </w:r>
      <w:r w:rsidR="000975C0">
        <w:fldChar w:fldCharType="begin" w:fldLock="1"/>
      </w:r>
      <w:r w:rsidR="00F125AC">
        <w:instrText>ADDIN CSL_CITATION {"citationItems":[{"id":"ITEM-1","itemData":{"ISBN":"0-12-464650-6","author":[{"dropping-particle":"","family":"Mackintosh","given":"N J","non-dropping-particle":"","parse-names":false,"suffix":""}],"id":"ITEM-1","issued":{"date-parts":[["1974"]]},"number-of-pages":"730","publisher":"Academic Press","publisher-place":"London, UK","title":"The psychology of animal learning","type":"book"},"uris":["http://www.mendeley.com/documents/?uuid=82ad4646-aff0-4582-9419-e187ccc9f2cd"]},{"id":"ITEM-2","itemData":{"PMID":"3117072","author":[{"dropping-particle":"","family":"Konorski","given":"J","non-dropping-particle":"","parse-names":false,"suffix":""}],"id":"ITEM-2","issued":{"date-parts":[["1967"]]},"note":"67016776\nillus. (part col.) 24 cm.\nIncludes bibliographies.","number-of-pages":"xii, 531 p.","publisher":"University of Chicago Press","publisher-place":"Chicago,","title":"Integrative activity of the brain; an interdisciplinary approach","type":"book"},"uris":["http://www.mendeley.com/documents/?uuid=52c55eba-ab23-4111-b66d-90c5883e63ce"]},{"id":"ITEM-3","itemData":{"author":[{"dropping-particle":"","family":"Hall","given":"G","non-dropping-particle":"","parse-names":false,"suffix":""}],"container-title":"Steven's handbook of experimental psychology","editor":[{"dropping-particle":"","family":"Gallistel","given":"C R","non-dropping-particle":"","parse-names":false,"suffix":""}],"id":"ITEM-3","issued":{"date-parts":[["2002"]]},"page":"1-45","publisher":"John Wiley &amp; Sons","publisher-place":"New York","title":"Associative structures in Pavlovian and instrumental conditioning","type":"chapter","volume":"3"},"uris":["http://www.mendeley.com/documents/?uuid=ca292a99-07a5-47d2-a55c-bc49463b4ea3"]},{"id":"ITEM-4","itemData":{"DOI":"Doi 10.1037/0003-066x.43.3.151","ISBN":"0003-066X","author":[{"dropping-particle":"","family":"Rescorla","given":"R A","non-dropping-particle":"","parse-names":false,"suffix":""}],"container-title":"American Psychologist","id":"ITEM-4","issue":"3","issued":{"date-parts":[["1988"]]},"language":"English","note":"From Duplicate 2 (Pavlovian Conditioning - Its Not What You Think It Is - Rescorla, R A)\n\nM6634\nTimes Cited:529\nCited References Count:30","page":"151-160","title":"Pavlovian Conditioning - Its Not What You Think It Is","type":"article-journal","volume":"43"},"uris":["http://www.mendeley.com/documents/?uuid=ef1fdb73-1fa1-408b-8e8d-9efd5c1c12d6"]},{"id":"ITEM-5","itemData":{"ISBN":"978-0521299626","author":[{"dropping-particle":"","family":"Dickinson","given":"A","non-dropping-particle":"","parse-names":false,"suffix":""}],"container-title":"Problems in the behavioural sciences","editor":[{"dropping-particle":"","family":"Gray","given":"J","non-dropping-particle":"","parse-names":false,"suffix":""}],"id":"ITEM-5","issued":{"date-parts":[["1980"]]},"number-of-pages":"177","publisher":"Cambridge University Press","publisher-place":"Cambridge, UK","title":"Contemporary animal learning theory","type":"book"},"uris":["http://www.mendeley.com/documents/?uuid=de524ee5-1480-4ae1-bc42-ce5078e806f3"]},{"id":"ITEM-6","itemData":{"ISBN":"0097-7403 (Print)\r0097-7403 (Linking)","PMID":"845545","abstract":"The role of the conditioned stimulus (CS) as a determinant of the form of the Pavlovian conditioned response (CR) was investigated in five experiments. Both stabilimeter measures of general activity and detailed observations of the behavior of the rat subjects in the presence of CSs anticipatory to a food unconditioned stimulus (US) were obtained. In Experiment 1, substantially different behaviors to light and tone CSs were observed; further, these differences were found to be dependent on specific learning experience rather than on the mere presence of different stimulation at the time of response evocation. Experiments 2 and 3 investigated the possibility that there was considerable communality of learning to light and tone CSs despite their evoking different CRs. In Experiment 2, prior conditioning of either the tone or light CS was found to block the acquisition of various behaviors to the added element when a light-tone compound stimulus was reinforced, even though the pretrained stimulus did not itself evoke those behaviors. In Experiment 3, the nature of second-order conditioned responding was found to be similar regardless of which first-order CS was used as the reinforcer. Additionally, the reinforcing powers of the light and tone CSs were found to summate. Experiments 4 and 5 examined behaviors to a variety of visual and auditory stimuli paired with food. Stimulus modality and the localizability and vertical location of visual stimuli were found to influence conditioned responding. These results suggested that in this conditioning situation, similar learning of a CS-US relation may be displayed in different overt CRs, depending on the nature of the CS.","author":[{"dropping-particle":"","family":"Holland","given":"P C","non-dropping-particle":"","parse-names":false,"suffix":""}],"container-title":"J Exp Psychol Anim Behav Process","id":"ITEM-6","issue":"1","issued":{"date-parts":[["1977"]]},"note":"Holland, P C\neng\nResearch Support, U.S. Gov't, Non-P.H.S.\n1977/01/01\nJ Exp Psychol Anim Behav Process. 1977 Jan;3(1):77-104.","page":"77-104","title":"Conditioned stimulus as a determinant of the form of the Pavlovian conditioned response","type":"article-journal","volume":"3"},"uris":["http://www.mendeley.com/documents/?uuid=cb449c22-1fc2-4892-8a17-51c506e67528"]}],"mendeley":{"formattedCitation":"(Dickinson, 1980; Hall, 2002; Holland, 1977; Konorski, 1967; Mackintosh, 1974; Rescorla, 1988)","plainTextFormattedCitation":"(Dickinson, 1980; Hall, 2002; Holland, 1977; Konorski, 1967; Mackintosh, 1974; Rescorla, 1988)","previouslyFormattedCitation":"(Dickinson, 1980; Hall, 2002; Holland, 1977; Konorski, 1967; Mackintosh, 1974; Rescorla, 1988)"},"properties":{"noteIndex":0},"schema":"https://github.com/citation-style-language/schema/raw/master/csl-citation.json"}</w:instrText>
      </w:r>
      <w:r w:rsidR="000975C0">
        <w:fldChar w:fldCharType="separate"/>
      </w:r>
      <w:r w:rsidR="006159CE" w:rsidRPr="006159CE">
        <w:rPr>
          <w:noProof/>
        </w:rPr>
        <w:t>(Dickinson, 1980; Hall, 2002; Holland, 1977; Konorski, 1967; Mackintosh, 1974; Rescorla, 1988)</w:t>
      </w:r>
      <w:r w:rsidR="000975C0">
        <w:fldChar w:fldCharType="end"/>
      </w:r>
      <w:r w:rsidRPr="00F0708B">
        <w:t xml:space="preserve">. Take for example a 10s light cue that reliably predicts the delivery of a pellet reward. A rat can learn that the cue predicts the sensory-specific properties of the outcome (e.g. taste, texture, sweetness, colour, size, location etc...), or the general motivational value of that reward, or simply develop a stimulus-response habit to approach the reward location when the cue is presented. Indeed, there is experimental evidence for these multiple aspects of learning occurring during Pavlovian conditioning </w:t>
      </w:r>
      <w:r w:rsidR="00BE3FFE">
        <w:fldChar w:fldCharType="begin" w:fldLock="1"/>
      </w:r>
      <w:r w:rsidR="00BE3FFE">
        <w:instrText>ADDIN CSL_CITATION {"citationItems":[{"id":"ITEM-1","itemData":{"DOI":"10.1196/annals.1390.008","ISBN":"1573316741","ISSN":"17496632","PMID":"17344542","abstract":"The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Sciences","id":"ITEM-1","issued":{"date-parts":[["2007"]]},"title":"Learning about multiple attributes of reward in Pavlovian conditioning","type":"paper-conference"},"prefix":"for review see ","uris":["http://www.mendeley.com/documents/?uuid=b91bf935-14e6-4f3e-b3dc-fc114305e595"]}],"mendeley":{"formattedCitation":"(for review see Delamater &amp; Oakeshott, 2007)","plainTextFormattedCitation":"(for review see Delamater &amp; Oakeshott, 2007)","previouslyFormattedCitation":"(for review see Delamater &amp; Oakeshott, 2007)"},"properties":{"noteIndex":0},"schema":"https://github.com/citation-style-language/schema/raw/master/csl-citation.json"}</w:instrText>
      </w:r>
      <w:r w:rsidR="00BE3FFE">
        <w:fldChar w:fldCharType="separate"/>
      </w:r>
      <w:r w:rsidR="00BE3FFE" w:rsidRPr="00BE3FFE">
        <w:rPr>
          <w:noProof/>
        </w:rPr>
        <w:t>(for review see Delamater &amp; Oakeshott, 2007)</w:t>
      </w:r>
      <w:r w:rsidR="00BE3FFE">
        <w:fldChar w:fldCharType="end"/>
      </w:r>
      <w:r w:rsidRPr="00F0708B">
        <w:t>. It is possible that pretraining OFC lesions disrupt the balance of these different aspects of Pavlovian learning and behavior</w:t>
      </w:r>
      <w:r w:rsidR="00BE3FFE">
        <w:t xml:space="preserve"> </w:t>
      </w:r>
      <w:r w:rsidR="00BE3FFE">
        <w:fldChar w:fldCharType="begin" w:fldLock="1"/>
      </w:r>
      <w:r w:rsidR="006159CE">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conditioning","type":"chapter","volume":"1121"},"uris":["http://www.mendeley.com/documents/?uuid=fe58f3e9-0bae-4cf9-be89-0a503f752db3"]},{"id":"ITEM-2","itemData":{"DOI":"10.3389/neuro.07.002.2007","ISSN":"1662-5145","abstract":"Conditioned reinforcers are Pavlovian cues that support the acquisition and maintenance of new instrumental responses. Responding on the basis of conditioned rather than primary reinforcers is a pervasive part of modern life, yet we have a remarkably limited understanding of what underlying associative information is triggered by these cues to guide responding. Specifically, it is not certain whether conditioned reinforcers are effective because they evoke representations of specific outcomes or because they trigger general affective states that are independent of any specific outcome. This question has important implications for how different brain circuits might be involved in conditioned reinforcement. Here, we use specialized Pavlovian training procedures, reinforcer devaluation and transreinforcer blocking, to create cues that were biased to preferentially evoke either devaluation-insensitive, general affect representations or, devaluationsensitive, outcome-specific representations. Subsequently, these cues, along with normally conditioned control cues, were presented contingent on lever pressing.We found that intact rats learned to lever press for either the outcome or the affect cues to the same extent as for a normally conditioned cue. These results demonstrate that conditioned reinforcers can guide responding through either type of associative information. Interestingly, conditioned reinforcement was abolished in rats with basolateral amygdala lesions. Consistent with the extant literature, this result suggests a general role for basolateral amygdala in conditioned reinforcement. The implications of these data, combined with recent reports from our laboratory of a more specialized role of orbitofrontal cortex in conditioned reinforcement, will be discussed.","author":[{"dropping-particle":"","family":"Burke","given":"K A","non-dropping-particle":"","parse-names":false,"suffix":""},{"dropping-particle":"","family":"Franz","given":"Theresa M","non-dropping-particle":"","parse-names":false,"suffix":""},{"dropping-particle":"","family":"Miller","given":"Danielle N","non-dropping-particle":"","parse-names":false,"suffix":""},{"dropping-particle":"","family":"Schoenbaum","given":"Geoffrey","non-dropping-particle":"","parse-names":false,"suffix":""}],"container-title":"Frontiers in Integrative Neuroscience","id":"ITEM-2","issued":{"date-parts":[["2007","11","2"]]},"page":"2","publisher":"Frontiers","title":"Conditioned reinforcement can be mediated by either outcome-specific or general affective representations","type":"article-journal","volume":"1"},"uris":["http://www.mendeley.com/documents/?uuid=b0ed2f4f-3d22-3f54-b441-4ac313a229f8"]}],"mendeley":{"formattedCitation":"(Burke et al., 2007; Delamater, 2007)","plainTextFormattedCitation":"(Burke et al., 2007; Delamater, 2007)","previouslyFormattedCitation":"(Burke et al., 2007; Delamater, 2007)"},"properties":{"noteIndex":0},"schema":"https://github.com/citation-style-language/schema/raw/master/csl-citation.json"}</w:instrText>
      </w:r>
      <w:r w:rsidR="00BE3FFE">
        <w:fldChar w:fldCharType="separate"/>
      </w:r>
      <w:r w:rsidR="00CA2485" w:rsidRPr="00CA2485">
        <w:rPr>
          <w:noProof/>
        </w:rPr>
        <w:t>(Burke et al., 2007; Delamater, 2007)</w:t>
      </w:r>
      <w:r w:rsidR="00BE3FFE">
        <w:fldChar w:fldCharType="end"/>
      </w:r>
      <w:r w:rsidRPr="00F0708B">
        <w:t xml:space="preserve">. </w:t>
      </w:r>
    </w:p>
    <w:p w14:paraId="1B9BD868" w14:textId="624D3D7F" w:rsidR="001D0D31" w:rsidRPr="00F0708B" w:rsidRDefault="001D0D31" w:rsidP="001E5DBB">
      <w:pPr>
        <w:pStyle w:val="BodyText"/>
        <w:ind w:firstLine="720"/>
      </w:pPr>
      <w:r w:rsidRPr="00F0708B">
        <w:t xml:space="preserve">If the OFC is necessary for the representation of the sensory specific properties of expected outcomes, then OFC lesions might allow a stimulus-response habit system to dominate behavioural control. </w:t>
      </w:r>
      <w:r w:rsidR="005E3A2A">
        <w:t>Following pre-training lesions, t</w:t>
      </w:r>
      <w:r w:rsidRPr="00F0708B">
        <w:t>his may lead to an unconstrained habit learning system</w:t>
      </w:r>
      <w:r w:rsidR="001E5DBB">
        <w:t xml:space="preserve"> </w:t>
      </w:r>
      <w:r w:rsidR="006760B6">
        <w:fldChar w:fldCharType="begin" w:fldLock="1"/>
      </w:r>
      <w:r w:rsidR="005D448A">
        <w:instrText>ADDIN CSL_CITATION {"citationItems":[{"id":"ITEM-1","itemData":{"DOI":"10.1016/j.neuron.2013.09.007","ISSN":"08966273","PMID":"24139036","abstract":"An enduring and richly elaborated dichotomy in cognitive neuroscience is that of reflective versus reflexive decision making and choice. Other literatures refer to the two ends of what is likely to be a spectrum with terms such as goal-directed versus habitual, model-based versus model-free or prospective versus retrospective. One of the most rigorous traditions of experimental work in the field started with studies in rodents and graduated via human versions and enrichments of those experiments to a current state in which new paradigms are probing and challenging the very heart of the distinction. We review four generations of work in this tradition and provide pointers to the forefront of the field@s fifth generation.","author":[{"dropping-particle":"","family":"Dolan","given":"Ray J.","non-dropping-particle":"","parse-names":false,"suffix":""},{"dropping-particle":"","family":"Dayan","given":"Peter","non-dropping-particle":"","parse-names":false,"suffix":""}],"container-title":"Neuron","id":"ITEM-1","issue":"2","issued":{"date-parts":[["2013"]]},"page":"312-325","publisher":"The Authors","title":"Goals and habits in the brain","type":"article-journal","volume":"80"},"uris":["http://www.mendeley.com/documents/?uuid=dc8320b6-8a42-4b12-985e-a4d407158482"]},{"id":"ITEM-2","itemData":{"abstract":"The study of animal behaviour has been dominated by two general models. According to the mechanistic stimulus-response model, a particular behaviour is either an innate or an acquired habit which is simply triggered by the appropriate stimulus. By contrast, the teleological model argues that, at least, some activities are purposive actions controlled by the current value of their goals through knowledge about the instrumental relations between the actions and their consequences. The type of control over any particular behaviour can be determined by a goal revaluation procedure. If the animal's performance changes appropriately following an alteration in the value of the goal or reward without further experience of the instrumental relationship, the behaviour should be regarded as a purposive action. On the other hand, the stimulus-response model is more appropriate for an activity whose performance is autonomous of the current value of the goal. By using this assay, we have found that a simple food-rewarded activity is sensitive to reward devaluation in rats following limited but not extended training. The development of this behavioural autonomy with extended training appears to depend not upon the amount of training per se, but rather upon the fact that the animal no longer experiences the correlation between variations in performance and variations in the associated consequences during overtraining. In agreement with this idea, limited exposure to an instrumental relationship that arranges a low correlation between performance and reward rates also favours the development of behavioural autonomy. Thus, the same activity can be either an action or a habit depending upon the type of training it has received.","author":[{"dropping-particle":"","family":"Dickinson","given":"A","non-dropping-particle":"","parse-names":false,"suffix":""}],"container-title":"Philosophical Transactions of the Royal Society of London. Series B, Biological Sciences","id":"ITEM-2","issue":"1135","issued":{"date-parts":[["1985"]]},"page":"67-78","title":"Actions and Habits : The Development of Behavioural Autonomy","type":"article-journal","volume":"308"},"uris":["http://www.mendeley.com/documents/?uuid=fa50556e-1ac5-4403-9da8-cba482564a2d"]},{"id":"ITEM-3","itemData":{"ISBN":"0166-4328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Research","edition":"2003/12/04","id":"ITEM-3","issue":"1-2","issued":{"date-parts":[["2003"]]},"language":"eng","note":"Coutureau,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rats","type":"article-journal","volume":"146"},"uris":["http://www.mendeley.com/documents/?uuid=ad782cef-18f3-41be-9cc3-260179e185fe"]},{"id":"ITEM-4","itemData":{"ISBN":"1047-3211","author":[{"dropping-particle":"","family":"Killcross","given":"A S","non-dropping-particle":"","parse-names":false,"suffix":""},{"dropping-particle":"","family":"Coutureau","given":"E","non-dropping-particle":"","parse-names":false,"suffix":""}],"container-title":"Cerebral Cortex","id":"ITEM-4","issue":"4","issued":{"date-parts":[["2003"]]},"language":"English","page":"400-408","title":"Coordination of actions and habits in the medial prefrontal cortex of rats","type":"article-journal","volume":"13"},"uris":["http://www.mendeley.com/documents/?uuid=c471a2a6-a5ed-4f19-ad4c-c712120c218e"]}],"mendeley":{"formattedCitation":"(Coutureau &amp; Killcross, 2003; Dickinson, 1985; Dolan &amp; Dayan, 2013; Killcross &amp; Coutureau, 2003)","plainTextFormattedCitation":"(Coutureau &amp; Killcross, 2003; Dickinson, 1985; Dolan &amp; Dayan, 2013; Killcross &amp; Coutureau, 2003)","previouslyFormattedCitation":"(Coutureau &amp; Killcross, 2003; Dickinson, 1985; Dolan &amp; Dayan, 2013; Killcross &amp; Coutureau, 2003)"},"properties":{"noteIndex":0},"schema":"https://github.com/citation-style-language/schema/raw/master/csl-citation.json"}</w:instrText>
      </w:r>
      <w:r w:rsidR="006760B6">
        <w:fldChar w:fldCharType="separate"/>
      </w:r>
      <w:r w:rsidR="001210CF" w:rsidRPr="001210CF">
        <w:rPr>
          <w:noProof/>
        </w:rPr>
        <w:t>(Coutureau &amp; Killcross, 2003; Dickinson, 1985; Dolan &amp; Dayan, 2013; Killcross &amp; Coutureau, 2003)</w:t>
      </w:r>
      <w:r w:rsidR="006760B6">
        <w:fldChar w:fldCharType="end"/>
      </w:r>
      <w:r w:rsidRPr="00F0708B">
        <w:t xml:space="preserve"> that is not</w:t>
      </w:r>
      <w:r w:rsidR="006C22EA">
        <w:t xml:space="preserve"> necessarily</w:t>
      </w:r>
      <w:r w:rsidRPr="00F0708B">
        <w:t xml:space="preserve"> bounded by the </w:t>
      </w:r>
      <w:r w:rsidR="006C22EA">
        <w:t>current</w:t>
      </w:r>
      <w:r w:rsidRPr="00F0708B">
        <w:t xml:space="preserve"> value of the outcome</w:t>
      </w:r>
      <w:r w:rsidR="004C2A0F">
        <w:t xml:space="preserve">, </w:t>
      </w:r>
      <w:r w:rsidRPr="00F0708B">
        <w:t>and overly sensitive to current general motivation</w:t>
      </w:r>
      <w:r w:rsidR="00A65BB3">
        <w:t>al states</w:t>
      </w:r>
      <w:r w:rsidRPr="00F0708B">
        <w:t xml:space="preserve"> (e.g. overall hunger levels; </w:t>
      </w:r>
      <w:r w:rsidR="00EF666D" w:rsidRPr="00F0708B">
        <w:rPr>
          <w:highlight w:val="yellow"/>
        </w:rPr>
        <w:t>Figure</w:t>
      </w:r>
      <w:r w:rsidRPr="00F0708B">
        <w:rPr>
          <w:highlight w:val="yellow"/>
        </w:rPr>
        <w:t xml:space="preserve"> 1</w:t>
      </w:r>
      <w:r w:rsidR="00CF4D44" w:rsidRPr="00F0708B">
        <w:rPr>
          <w:highlight w:val="yellow"/>
        </w:rPr>
        <w:t>B</w:t>
      </w:r>
      <w:r w:rsidRPr="00F0708B">
        <w:t xml:space="preserve">) of the organism. However, once initial learning occurs with an intact OFC, the encoding of the identity of the expected outcome is likely to have occurred </w:t>
      </w:r>
      <w:r w:rsidR="005D448A">
        <w:fldChar w:fldCharType="begin" w:fldLock="1"/>
      </w:r>
      <w:r w:rsidR="00CA2485">
        <w:instrText>ADDIN CSL_CITATION {"citationItems":[{"id":"ITEM-1","itemData":{"DOI":"Doi 10.1037/0097-7403.34.2.202","ISBN":"0097-7403","abstract":"Four experiments examined the effects of varying the conditioned stimulus-unconditioned stimulus (CS-US) interval (and US density) on learning in an appetitive magazine approach task with rats. Learning was assessed with conditioned response (CR) measures, as well as measures of sensory-specific stimulus-outcome associations (Pavlovian-instrumental transfer, potentiated feeding, and US devaluation). The results from these studies indicate that there exists an inverse relation between CS-US interval and magazine approach CRs, but that sensory-specific stimulus-outcome associations are established over a wide range of relatively long, but not short, CS-US intervals. These data suggest that simple CR measures provide different information about what is learned than measures of the specific stimulus-outcome association, and that time is a more critical variable for the former than latter component of learning.","author":[{"dropping-particle":"","family":"Delamater","given":"A R","non-dropping-particle":"","parse-names":false,"suffix":""},{"dropping-particle":"","family":"Holland","given":"P C","non-dropping-particle":"","parse-names":false,"suffix":""}],"container-title":"Journal of Experimental Psychology-Animal Behavior Processes","id":"ITEM-1","issue":"2","issued":{"date-parts":[["2008"]]},"language":"English","note":"290PO\nTimes Cited:32\nCited References Count:37","page":"202-222","title":"The influence of CS-US interval on several different indices of learning in appetitive conditioning","type":"article-journal","volume":"34"},"prefix":"e.g. ","uris":["http://www.mendeley.com/documents/?uuid=7088ad8e-c930-4168-92e2-83d0e11d06b9"]}],"mendeley":{"formattedCitation":"(e.g. Delamater &amp; Holland, 2008)","plainTextFormattedCitation":"(e.g. Delamater &amp; Holland, 2008)","previouslyFormattedCitation":"(e.g. Delamater &amp; Holland, 2008)"},"properties":{"noteIndex":0},"schema":"https://github.com/citation-style-language/schema/raw/master/csl-citation.json"}</w:instrText>
      </w:r>
      <w:r w:rsidR="005D448A">
        <w:fldChar w:fldCharType="separate"/>
      </w:r>
      <w:r w:rsidR="00C26564" w:rsidRPr="00C26564">
        <w:rPr>
          <w:noProof/>
        </w:rPr>
        <w:t>(e.g. Delamater &amp; Holland, 2008)</w:t>
      </w:r>
      <w:r w:rsidR="005D448A">
        <w:fldChar w:fldCharType="end"/>
      </w:r>
      <w:r w:rsidRPr="00F0708B">
        <w:t xml:space="preserve">. </w:t>
      </w:r>
      <w:r w:rsidR="0050459E">
        <w:t>Subsequently</w:t>
      </w:r>
      <w:r w:rsidRPr="00F0708B">
        <w:t xml:space="preserve">, a post-training lesion or inactivation of the OFC is likely to affect the </w:t>
      </w:r>
      <w:r w:rsidR="00E95B21">
        <w:t>subsequent</w:t>
      </w:r>
      <w:r w:rsidRPr="00F0708B">
        <w:t xml:space="preserve"> updating of this information. Here we propose that the impaired acquisition behaviour we observed following post-training inactivation reflects an inability to update the current motivational value of the specific outcome that is expected.</w:t>
      </w:r>
    </w:p>
    <w:p w14:paraId="44C9D9AF" w14:textId="76B9BE88" w:rsidR="001D0D31" w:rsidRPr="00F0708B" w:rsidRDefault="001D0D31" w:rsidP="00AC048E">
      <w:pPr>
        <w:pStyle w:val="BodyText"/>
        <w:ind w:firstLine="720"/>
      </w:pPr>
      <w:r w:rsidRPr="00F0708B">
        <w:t xml:space="preserve">The latent state representation account of the OFC might also be able to account for the differences observed dissociation between pre- and post-training OFC lesions on acquisition. Computational models </w:t>
      </w:r>
      <w:r w:rsidR="00F125AC">
        <w:fldChar w:fldCharType="begin" w:fldLock="1"/>
      </w:r>
      <w:r w:rsidR="00503F84">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space","type":"article-journal","volume":"81"},"prefix":"e.g. ","uris":["http://www.mendeley.com/documents/?uuid=e799499b-0391-4c93-9152-fe51e93aca9f"]}],"mendeley":{"formattedCitation":"(e.g. Wilson et al., 2014)","plainTextFormattedCitation":"(e.g. Wilson et al., 2014)","previouslyFormattedCitation":"(e.g. Wilson et al., 2014)"},"properties":{"noteIndex":0},"schema":"https://github.com/citation-style-language/schema/raw/master/csl-citation.json"}</w:instrText>
      </w:r>
      <w:r w:rsidR="00F125AC">
        <w:fldChar w:fldCharType="separate"/>
      </w:r>
      <w:r w:rsidR="00F125AC" w:rsidRPr="00F125AC">
        <w:rPr>
          <w:noProof/>
        </w:rPr>
        <w:t>(e.g. Wilson et al., 2014)</w:t>
      </w:r>
      <w:r w:rsidR="00F125AC">
        <w:fldChar w:fldCharType="end"/>
      </w:r>
      <w:r w:rsidRPr="00F0708B">
        <w:t xml:space="preserve"> often assume, for simplicity, that in a simple single cue-outcome procedure, the cue state (e.g. “light on”) is stable throughout acquisition. Given that the same cue is presented, and it always leads to the pellet outcome, this stable representation is a reasonable assumption. However, it is also likely that </w:t>
      </w:r>
      <w:r w:rsidR="00472EDF">
        <w:t>early in</w:t>
      </w:r>
      <w:r w:rsidRPr="00F0708B">
        <w:t xml:space="preserve"> acquisition this state representation is not </w:t>
      </w:r>
      <w:r w:rsidR="00933BE4">
        <w:t xml:space="preserve">yet </w:t>
      </w:r>
      <w:r w:rsidRPr="00F0708B">
        <w:t>stable in healthy control animals</w:t>
      </w:r>
      <w:r w:rsidR="00503F84">
        <w:t xml:space="preserve"> </w:t>
      </w:r>
      <w:r w:rsidR="00503F84">
        <w:fldChar w:fldCharType="begin" w:fldLock="1"/>
      </w:r>
      <w:r w:rsidR="00D8184B">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representations","type":"article-journal","volume":"22"},"uris":["http://www.mendeley.com/documents/?uuid=5ccfcbfa-f7a0-3a47-9b7a-1c10a0912157"]}],"mendeley":{"formattedCitation":"(Niv, 2019)","plainTextFormattedCitation":"(Niv, 2019)","previouslyFormattedCitation":"(Niv, 2019)"},"properties":{"noteIndex":0},"schema":"https://github.com/citation-style-language/schema/raw/master/csl-citation.json"}</w:instrText>
      </w:r>
      <w:r w:rsidR="00503F84">
        <w:fldChar w:fldCharType="separate"/>
      </w:r>
      <w:r w:rsidR="00503F84" w:rsidRPr="00503F84">
        <w:rPr>
          <w:noProof/>
        </w:rPr>
        <w:t>(Niv, 2019)</w:t>
      </w:r>
      <w:r w:rsidR="00503F84">
        <w:fldChar w:fldCharType="end"/>
      </w:r>
      <w:r w:rsidRPr="00F0708B">
        <w:t xml:space="preserve">. How can the animal be certain that the light cue, the testing chamber context, or the reward pellet that they see on each trial is identical to the trials they have already experienced within the session, and from previous days? The subjective experience of these states </w:t>
      </w:r>
      <w:r w:rsidR="0096688D">
        <w:t xml:space="preserve">and their physical features </w:t>
      </w:r>
      <w:r w:rsidRPr="00F0708B">
        <w:t>is very likely to be different within</w:t>
      </w:r>
      <w:r w:rsidR="0096688D">
        <w:t>-</w:t>
      </w:r>
      <w:r w:rsidRPr="00F0708B">
        <w:t xml:space="preserve"> and between</w:t>
      </w:r>
      <w:r w:rsidR="0096688D">
        <w:t>-</w:t>
      </w:r>
      <w:r w:rsidRPr="00F0708B">
        <w:t xml:space="preserve">sessions </w:t>
      </w:r>
      <w:r w:rsidR="00A37C5C">
        <w:t>e.g.</w:t>
      </w:r>
      <w:r w:rsidRPr="00F0708B">
        <w:t xml:space="preserve"> the ambient noises, odours, temperature of the context, the location and intensity of the light cue based on where the rat happens to be located when it turns on, and the gradual onset of sensory specific satiety to the pellet etc... Informally, how does the rat know that this light is the same light that they saw at the start of the session, or the day before? The perception and recognition of these states is therefore subject to differences in </w:t>
      </w:r>
      <w:r w:rsidR="00E14F67">
        <w:t xml:space="preserve">variables </w:t>
      </w:r>
      <w:r w:rsidRPr="00F0708B">
        <w:t>such as generalization, confidence, and certainty.</w:t>
      </w:r>
    </w:p>
    <w:p w14:paraId="0EB0E87E" w14:textId="48249F9B" w:rsidR="001D0D31" w:rsidRPr="00F0708B" w:rsidRDefault="001D0D31" w:rsidP="00FA3593">
      <w:pPr>
        <w:pStyle w:val="BodyText"/>
        <w:ind w:firstLine="720"/>
      </w:pPr>
      <w:r w:rsidRPr="00F0708B">
        <w:t>Paradoxically, in a simple and stable cue-outcome training procedure</w:t>
      </w:r>
      <w:r w:rsidR="00E14F67">
        <w:t>,</w:t>
      </w:r>
      <w:r w:rsidRPr="00F0708B">
        <w:t xml:space="preserve"> pre-training OFC lesions may result in </w:t>
      </w:r>
      <w:r w:rsidR="00440646">
        <w:t>an accurate</w:t>
      </w:r>
      <w:r w:rsidR="0078411D">
        <w:t>, but inflexible,</w:t>
      </w:r>
      <w:r w:rsidR="00440646">
        <w:t xml:space="preserve"> </w:t>
      </w:r>
      <w:r w:rsidR="003A345B">
        <w:t>representation of these simple task states quite rapidly</w:t>
      </w:r>
      <w:r w:rsidRPr="00F0708B">
        <w:t xml:space="preserve">. In this stable and simple training context this </w:t>
      </w:r>
      <w:r w:rsidR="001C597D">
        <w:t>could</w:t>
      </w:r>
      <w:r w:rsidRPr="00F0708B">
        <w:t xml:space="preserve"> lead to enhanced Pavlovian </w:t>
      </w:r>
      <w:r w:rsidRPr="00F0708B">
        <w:lastRenderedPageBreak/>
        <w:t>acquisition. However, in a task with multiple or uncertain cue-outcome contingencies pretraining OFC lesions might impair acquisition</w:t>
      </w:r>
      <w:r w:rsidR="00D8184B">
        <w:t xml:space="preserve"> </w:t>
      </w:r>
      <w:r w:rsidR="00D8184B">
        <w:fldChar w:fldCharType="begin" w:fldLock="1"/>
      </w:r>
      <w:r w:rsidR="00695ECB">
        <w:instrText>ADDIN CSL_CITATION {"citationItems":[{"id":"ITEM-1","itemData":{"DOI":"10.1016/j.neuron.2010.02.027","ISBN":"1097-4199 (Electronic) 0896-6273 (Linking)","PMID":"20346766","abstract":"Orbitofrontal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rewards.","author":[{"dropping-particle":"","family":"Walton","given":"Mark E","non-dropping-particle":"","parse-names":false,"suffix":""},{"dropping-particle":"","family":"Behrens","given":"T E","non-dropping-particle":"","parse-names":false,"suffix":""},{"dropping-particle":"","family":"Buckley","given":"M J","non-dropping-particle":"","parse-names":false,"suffix":""},{"dropping-particle":"","family":"Rudebeck","given":"P H","non-dropping-particle":"","parse-names":false,"suffix":""},{"dropping-particle":"","family":"Rushworth","given":"M F","non-dropping-particle":"","parse-names":false,"suffix":""}],"container-title":"Neuron","id":"ITEM-1","issue":"6","issued":{"date-parts":[["2010"]]},"note":"Walton,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10.1016/j.neuron.2010.02.027.","page":"927-939","title":"Separable learning systems in the macaque brain and the role of orbitofrontal cortex in contingent learning","type":"article-journal","volume":"65"},"uris":["http://www.mendeley.com/documents/?uuid=ecfd4cc3-38d7-4ee3-9aed-35d344ad669c"]},{"id":"ITEM-2","itemData":{"DOI":"10.7554/eLife.27483","ISSN":"2050-084X","abstract":"&lt;p&gt; We make choices based on the values of expected outcomes, informed by previous experience in similar settings. When the outcomes of our decisions consistently violate expectations, new learning is needed to maximize rewards. Yet not every surprising event indicates a meaningful change in the environment. Even when conditions are stable overall, outcomes of a single experience can still be unpredictable due to small fluctuations (i.e., &lt;italic&gt;expected uncertainty&lt;/italic&gt; ) in reward or costs. In the present work, we investigate causal contributions of the basolateral amygdala (BLA) and orbitofrontal cortex (OFC) in rats to learning under expected outcome uncertainty in a novel delay-based task that incorporates both predictable fluctuations and directional shifts in outcome values. We demonstrate that OFC is required to accurately represent the distribution of wait times to stabilize choice preferences despite trial-by-trial fluctuations in outcomes, whereas BLA is necessary for the facilitation of learning in response to surprising events. &lt;/p&gt;","author":[{"dropping-particle":"","family":"Stolyarova","given":"Alexandra","non-dropping-particle":"","parse-names":false,"suffix":""},{"dropping-particle":"","family":"Izquierdo","given":"Alicia","non-dropping-particle":"","parse-names":false,"suffix":""}],"container-title":"eLife","id":"ITEM-2","issued":{"date-parts":[["2017","7","6"]]},"page":"e27483","publisher":"eLife Sciences Publications Limited","title":"Complementary contributions of basolateral amygdala and orbitofrontal cortex to value learning under uncertainty","type":"article-journal","volume":"6"},"uris":["http://www.mendeley.com/documents/?uuid=65c69c49-816e-3cec-a42e-b7f48a27fe97"]}],"mendeley":{"formattedCitation":"(Stolyarova &amp; Izquierdo, 2017; Walton et al., 2010)","plainTextFormattedCitation":"(Stolyarova &amp; Izquierdo, 2017; Walton et al., 2010)","previouslyFormattedCitation":"(Stolyarova &amp; Izquierdo, 2017; Walton et al., 2010)"},"properties":{"noteIndex":0},"schema":"https://github.com/citation-style-language/schema/raw/master/csl-citation.json"}</w:instrText>
      </w:r>
      <w:r w:rsidR="00D8184B">
        <w:fldChar w:fldCharType="separate"/>
      </w:r>
      <w:r w:rsidR="00676101" w:rsidRPr="00676101">
        <w:rPr>
          <w:noProof/>
        </w:rPr>
        <w:t>(Stolyarova &amp; Izquierdo, 2017; Walton et al., 2010)</w:t>
      </w:r>
      <w:r w:rsidR="00D8184B">
        <w:fldChar w:fldCharType="end"/>
      </w:r>
      <w:r w:rsidRPr="00F0708B">
        <w:t xml:space="preserve">. However, post-training inactivation of the OFC would disrupt the ability to update </w:t>
      </w:r>
      <w:r w:rsidR="00D8184B">
        <w:t>already established</w:t>
      </w:r>
      <w:r w:rsidRPr="00F0708B">
        <w:t xml:space="preserve"> state representation</w:t>
      </w:r>
      <w:r w:rsidR="00D8184B">
        <w:t>s</w:t>
      </w:r>
      <w:r w:rsidRPr="00F0708B">
        <w:t xml:space="preserve"> at whatever stage of certainty/stability that </w:t>
      </w:r>
      <w:r w:rsidR="00D8184B">
        <w:t>they have</w:t>
      </w:r>
      <w:r w:rsidRPr="00F0708B">
        <w:t xml:space="preserve"> currently achieved. In the stable single cue-outcome learning situation employed in the present studies, this would result in disruption of further acquisition. Again, in a task with interference from multiple cue-outcome relationships, post-training lesions might improve performance.</w:t>
      </w:r>
    </w:p>
    <w:p w14:paraId="33D3DC0D" w14:textId="77777777" w:rsidR="001D0D31" w:rsidRPr="00F0708B" w:rsidRDefault="001D0D31" w:rsidP="001D0D31">
      <w:pPr>
        <w:pStyle w:val="BodyText"/>
        <w:rPr>
          <w:b/>
          <w:bCs/>
        </w:rPr>
      </w:pPr>
      <w:r w:rsidRPr="00F0708B">
        <w:rPr>
          <w:b/>
          <w:bCs/>
        </w:rPr>
        <w:t>Conclusion</w:t>
      </w:r>
    </w:p>
    <w:p w14:paraId="3EB12C23" w14:textId="46812D02" w:rsidR="007F67D5" w:rsidRDefault="00E14ABC" w:rsidP="00C75CA1">
      <w:pPr>
        <w:ind w:firstLine="720"/>
        <w:rPr>
          <w:sz w:val="24"/>
          <w:szCs w:val="24"/>
        </w:rPr>
      </w:pPr>
      <w:r>
        <w:rPr>
          <w:sz w:val="24"/>
          <w:szCs w:val="24"/>
        </w:rPr>
        <w:t>Here we show that</w:t>
      </w:r>
      <w:r w:rsidR="00013281">
        <w:rPr>
          <w:sz w:val="24"/>
          <w:szCs w:val="24"/>
        </w:rPr>
        <w:t xml:space="preserve"> the rodent lateral OFC is involved in Pavlovian acquisition</w:t>
      </w:r>
      <w:r w:rsidR="00251AAA">
        <w:rPr>
          <w:sz w:val="24"/>
          <w:szCs w:val="24"/>
        </w:rPr>
        <w:t xml:space="preserve"> learning process in an experience dependent manner.</w:t>
      </w:r>
      <w:r w:rsidR="004B292A">
        <w:rPr>
          <w:sz w:val="24"/>
          <w:szCs w:val="24"/>
        </w:rPr>
        <w:t xml:space="preserve"> </w:t>
      </w:r>
      <w:r w:rsidR="00695421">
        <w:rPr>
          <w:sz w:val="24"/>
          <w:szCs w:val="24"/>
        </w:rPr>
        <w:t xml:space="preserve">Once initial learning has taken place, the lateral OFC appears to be </w:t>
      </w:r>
      <w:r w:rsidR="00A51DE2">
        <w:rPr>
          <w:sz w:val="24"/>
          <w:szCs w:val="24"/>
        </w:rPr>
        <w:t xml:space="preserve">specifically </w:t>
      </w:r>
      <w:r w:rsidR="00695421">
        <w:rPr>
          <w:sz w:val="24"/>
          <w:szCs w:val="24"/>
        </w:rPr>
        <w:t>necessary for updating the current value o</w:t>
      </w:r>
      <w:r w:rsidR="00A51DE2">
        <w:rPr>
          <w:sz w:val="24"/>
          <w:szCs w:val="24"/>
        </w:rPr>
        <w:t xml:space="preserve">f Pavlovian behaviours driven by expected </w:t>
      </w:r>
      <w:r w:rsidR="00DB27E8">
        <w:rPr>
          <w:sz w:val="24"/>
          <w:szCs w:val="24"/>
        </w:rPr>
        <w:t xml:space="preserve">outcome value. While </w:t>
      </w:r>
      <w:r w:rsidR="00166560">
        <w:rPr>
          <w:sz w:val="24"/>
          <w:szCs w:val="24"/>
        </w:rPr>
        <w:t xml:space="preserve">the OFC has often been found </w:t>
      </w:r>
      <w:r w:rsidR="00E95E95">
        <w:rPr>
          <w:sz w:val="24"/>
          <w:szCs w:val="24"/>
        </w:rPr>
        <w:t>not to be necessary for initial acquisition learning, r</w:t>
      </w:r>
      <w:r w:rsidR="00E23891" w:rsidRPr="00F0708B">
        <w:rPr>
          <w:sz w:val="24"/>
          <w:szCs w:val="24"/>
        </w:rPr>
        <w:t xml:space="preserve">ecently there have been reports that simple Pavlovian acquisition is significantly impaired rather than enhanced following optogenetic inhibition of OFC function in head fixed mice </w:t>
      </w:r>
      <w:r w:rsidR="00E23891" w:rsidRPr="00F0708B">
        <w:rPr>
          <w:sz w:val="24"/>
          <w:szCs w:val="24"/>
        </w:rPr>
        <w:fldChar w:fldCharType="begin" w:fldLock="1"/>
      </w:r>
      <w:r w:rsidR="00E23891" w:rsidRPr="00F0708B">
        <w:rPr>
          <w:sz w:val="24"/>
          <w:szCs w:val="24"/>
        </w:rPr>
        <w:instrText>ADDIN CSL_CITATION {"citationItems":[{"id":"ITEM-1","itemData":{"DOI":"10.1038/s41593-019-0408-1","ISSN":"1097-6256","abstract":"Learning to predict rewards based on environmental cues is essential for survival. The orbitofrontal cortex (OFC) contributes to such learning by conveying reward-related information to brain areas such as the ventral tegmental area (VTA). Despite this, how cue–reward memory representations form in individual OFC neurons and are modified based on new information is unknown. To address this, using in vivo two-photon calcium imaging in mice, we tracked the response evolution of thousands of OFC output neurons, including those projecting to VTA, through multiple days and stages of cue–reward learning. Collectively, we show that OFC contains several functional clusters of neurons distinctly encoding cue–reward memory representations, with only select responses routed downstream to VTA. Unexpectedly, these representations were stably maintained by the same neurons even after extinction of the cue–reward pairing, and supported behavioral learning and memory. Thus, OFC neuronal activity represents a long-term cue–reward associative memory to support behavioral adaptation.","author":[{"dropping-particle":"","family":"Namboodiri","given":"Vijay Mohan K.","non-dropping-particle":"","parse-names":false,"suffix":""},{"dropping-particle":"","family":"Otis","given":"James M.","non-dropping-particle":"","parse-names":false,"suffix":""},{"dropping-particle":"","family":"Heeswijk","given":"Kay","non-dropping-particle":"van","parse-names":false,"suffix":""},{"dropping-particle":"","family":"Voets","given":"Elisa S.","non-dropping-particle":"","parse-names":false,"suffix":""},{"dropping-particle":"","family":"Alghorazi","given":"Rizk A.","non-dropping-particle":"","parse-names":false,"suffix":""},{"dropping-particle":"","family":"Rodriguez-Romaguera","given":"Jose","non-dropping-particle":"","parse-names":false,"suffix":""},{"dropping-particle":"","family":"Mihalas","given":"Stefan","non-dropping-particle":"","parse-names":false,"suffix":""},{"dropping-particle":"","family":"Stuber","given":"Garret D.","non-dropping-particle":"","parse-names":false,"suffix":""}],"container-title":"Nature Neuroscience","id":"ITEM-1","issued":{"date-parts":[["2019","6","3"]]},"page":"1","publisher":"Nature Publishing Group","title":"Single-cell activity tracking reveals that orbitofrontal neurons acquire and maintain a long-term memory to guide behavioral adaptation","type":"article-journal"},"uris":["http://www.mendeley.com/documents/?uuid=dcb9fef0-ce3b-3cf9-91de-65a614ffe758"]},{"id":"ITEM-2","itemData":{"author":[{"dropping-particle":"","family":"Wang","given":"Peter Y","non-dropping-particle":"","parse-names":false,"suffix":""},{"dropping-particle":"","family":"Boboila","given":"Cristian","non-dropping-particle":"","parse-names":false,"suffix":""},{"dropping-particle":"","family":"Chin","given":"Matthew","non-dropping-particle":"","parse-names":false,"suffix":""},{"dropping-particle":"","family":"Stein","given":"Nicole P","non-dropping-particle":"","parse-names":false,"suffix":""},{"dropping-particle":"","family":"Abbott","given":"L F","non-dropping-particle":"","parse-names":false,"suffix":""},{"dropping-particle":"","family":"Axel","given":"Richard","non-dropping-particle":"","parse-names":false,"suffix":""},{"dropping-particle":"","family":"Wang","given":"Peter Y","non-dropping-particle":"","parse-names":false,"suffix":""},{"dropping-particle":"","family":"Boboila","given":"Cristian","non-dropping-particle":"","parse-names":false,"suffix":""},{"dropping-particle":"","family":"Chin","given":"Matthew","non-dropping-particle":"","parse-names":false,"suffix":""},{"dropping-particle":"","family":"Higashi-howard","given":"Alexandra","non-dropping-particle":"","parse-names":false,"suffix":""},{"dropping-particle":"","family":"Shamash","given":"Philip","non-dropping-particle":"","parse-names":false,"suffix":""},{"dropping-particle":"","family":"Wu","given":"Zheng","non-dropping-particle":"","parse-names":false,"suffix":""}],"id":"ITEM-2","issued":{"date-parts":[["2020"]]},"page":"1-16","title":"Article Transient and Persistent Representations of Odor Value in Prefrontal Cortex Article Transient and Persistent Representations of Odor Value in Prefrontal Cortex","type":"article-journal"},"uris":["http://www.mendeley.com/documents/?uuid=fc092ee6-f5b0-4a2f-9136-55c50d2cf130"]}],"mendeley":{"formattedCitation":"(Namboodiri et al., 2019; Wang et al., 2020)","plainTextFormattedCitation":"(Namboodiri et al., 2019; Wang et al., 2020)","previouslyFormattedCitation":"(Namboodiri et al., 2019; Wang et al., 2020)"},"properties":{"noteIndex":0},"schema":"https://github.com/citation-style-language/schema/raw/master/csl-citation.json"}</w:instrText>
      </w:r>
      <w:r w:rsidR="00E23891" w:rsidRPr="00F0708B">
        <w:rPr>
          <w:sz w:val="24"/>
          <w:szCs w:val="24"/>
        </w:rPr>
        <w:fldChar w:fldCharType="separate"/>
      </w:r>
      <w:r w:rsidR="00E23891" w:rsidRPr="00F0708B">
        <w:rPr>
          <w:noProof/>
          <w:sz w:val="24"/>
          <w:szCs w:val="24"/>
        </w:rPr>
        <w:t>(Namboodiri et al., 2019; Wang et al., 2020)</w:t>
      </w:r>
      <w:r w:rsidR="00E23891" w:rsidRPr="00F0708B">
        <w:rPr>
          <w:sz w:val="24"/>
          <w:szCs w:val="24"/>
        </w:rPr>
        <w:fldChar w:fldCharType="end"/>
      </w:r>
      <w:r w:rsidR="00E23891" w:rsidRPr="00F0708B">
        <w:rPr>
          <w:sz w:val="24"/>
          <w:szCs w:val="24"/>
        </w:rPr>
        <w:t xml:space="preserve">, in a manner that does not depend on VTA prediction error signaling. </w:t>
      </w:r>
      <w:r w:rsidR="00543702">
        <w:rPr>
          <w:sz w:val="24"/>
          <w:szCs w:val="24"/>
        </w:rPr>
        <w:t xml:space="preserve">In contrast to </w:t>
      </w:r>
      <w:r w:rsidR="00C7030C">
        <w:rPr>
          <w:sz w:val="24"/>
          <w:szCs w:val="24"/>
        </w:rPr>
        <w:t>our results</w:t>
      </w:r>
      <w:r w:rsidR="00E23891" w:rsidRPr="00F0708B">
        <w:rPr>
          <w:sz w:val="24"/>
          <w:szCs w:val="24"/>
        </w:rPr>
        <w:t xml:space="preserve">, these studies target more ventral and medial OFC, which is likely to be an important anatomical distinction given the emerging evidence of functional heterogeneity within the OFC </w:t>
      </w:r>
      <w:r w:rsidR="00571AFB">
        <w:rPr>
          <w:sz w:val="24"/>
          <w:szCs w:val="24"/>
        </w:rPr>
        <w:fldChar w:fldCharType="begin" w:fldLock="1"/>
      </w:r>
      <w:r w:rsidR="00D64DFD">
        <w:rPr>
          <w:sz w:val="24"/>
          <w:szCs w:val="24"/>
        </w:rPr>
        <w:instrText>ADDIN CSL_CITATION {"citationItems":[{"id":"ITEM-1","itemData":{"DOI":"https://doi.org/10.1101/2020.08.28.272591","author":[{"dropping-particle":"V","family":"Barreiros","given":"Ines","non-dropping-particle":"","parse-names":false,"suffix":""},{"dropping-particle":"","family":"Panayi","given":"Marios C","non-dropping-particle":"","parse-names":false,"suffix":""},{"dropping-particle":"","family":"Walton","given":"Mark E","non-dropping-particle":"","parse-names":false,"suffix":""}],"container-title":"bioRxiv","id":"ITEM-1","issued":{"date-parts":[["2020"]]},"page":"1-44","title":"Organisation of afferents along the anterior-posterior and medial-lateral axes of the rat OFC","type":"article-journal"},"uris":["http://www.mendeley.com/documents/?uuid=5eff01f1-3baf-4a11-afe1-abb723f9a7b4"]},{"id":"ITEM-2","itemData":{"author":[{"dropping-particle":"V","family":"Barreiros","given":"Ines","non-dropping-particle":"","parse-names":false,"suffix":""},{"dropping-particle":"","family":"Ishii","given":"Hironori","non-dropping-particle":"","parse-names":false,"suffix":""},{"dropping-particle":"","family":"Walton","given":"M E","non-dropping-particle":"","parse-names":false,"suffix":""},{"dropping-particle":"","family":"Panayi","given":"M C","non-dropping-particle":"","parse-names":false,"suffix":""}],"container-title":"Behavioral neuroscience","id":"ITEM-2","issue":"under review","issued":{"date-parts":[["2021"]]},"title":"Defining an orbitofrontal compass: functional and anatomical heterogeneity across anterior-posterior and medial-lateral axes","type":"article-journal"},"uris":["http://www.mendeley.com/documents/?uuid=5c0cc2ed-e9cc-442f-8e75-0bb063b53c9d"]},{"id":"ITEM-3","itemData":{"DOI":"10.1016/J.NEUBIOREV.2019.11.009","ISSN":"0149-7634","abstract":"The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Reviews","id":"ITEM-3","issued":{"date-parts":[["2020","1","1"]]},"page":"287-294","publisher":"Pergamon","title":"Rodent medial and lateral orbitofrontal cortices represent unique components of cognitive maps of task space","type":"article-journal","volume":"108"},"uris":["http://www.mendeley.com/documents/?uuid=a59de6ec-ebdc-3e8e-8c97-77b502c159bb"]},{"id":"ITEM-4","itemData":{"DOI":"10.1016/j.neuron.2015.12.004","ISSN":"1097-4199","PMID":"26687216","abstract":"State representation is fundamental to behavior. However, identifying the true state of the world is challenging when explicit cues are ambiguous. Here, Bradfield and colleagues show that the medial OFC is critical for using associative information to discriminate ambiguous states.","author":[{"dropping-particle":"","family":"Sharpe","given":"Melissa J","non-dropping-particle":"","parse-names":false,"suffix":""},{"dropping-particle":"","family":"Wikenheiser","given":"Andrew M","non-dropping-particle":"","parse-names":false,"suffix":""},{"dropping-particle":"","family":"Niv","given":"Yael","non-dropping-particle":"","parse-names":false,"suffix":""},{"dropping-particle":"","family":"Schoenbaum","given":"Geoffrey","non-dropping-particle":"","parse-names":false,"suffix":""}],"container-title":"Neuron","id":"ITEM-4","issue":"6","issued":{"date-parts":[["2015","12","16"]]},"page":"1075-7","title":"The State of the Orbitofrontal Cortex.","type":"article-journal","volume":"88"},"uris":["http://www.mendeley.com/documents/?uuid=877c685e-e70f-4387-bc32-a44ddd22c0be"]}],"mendeley":{"formattedCitation":"(Barreiros et al., 2020, 2021; Bradfield &amp; Hart, 2020; Sharpe et al., 2015)","plainTextFormattedCitation":"(Barreiros et al., 2020, 2021; Bradfield &amp; Hart, 2020; Sharpe et al., 2015)","previouslyFormattedCitation":"(Barreiros et al., 2020, 2021; Bradfield &amp; Hart, 2020; Sharpe et al., 2015)"},"properties":{"noteIndex":0},"schema":"https://github.com/citation-style-language/schema/raw/master/csl-citation.json"}</w:instrText>
      </w:r>
      <w:r w:rsidR="00571AFB">
        <w:rPr>
          <w:sz w:val="24"/>
          <w:szCs w:val="24"/>
        </w:rPr>
        <w:fldChar w:fldCharType="separate"/>
      </w:r>
      <w:r w:rsidR="00AE608D" w:rsidRPr="00AE608D">
        <w:rPr>
          <w:noProof/>
          <w:sz w:val="24"/>
          <w:szCs w:val="24"/>
        </w:rPr>
        <w:t>(Barreiros et al., 2020, 2021; Bradfield &amp; Hart, 2020; Sharpe et al., 2015)</w:t>
      </w:r>
      <w:r w:rsidR="00571AFB">
        <w:rPr>
          <w:sz w:val="24"/>
          <w:szCs w:val="24"/>
        </w:rPr>
        <w:fldChar w:fldCharType="end"/>
      </w:r>
      <w:r w:rsidR="00E23891" w:rsidRPr="00F0708B">
        <w:rPr>
          <w:sz w:val="24"/>
          <w:szCs w:val="24"/>
        </w:rPr>
        <w:t>. Indeed, there appears to be dissociable but complementary roles of the medial and lateral</w:t>
      </w:r>
      <w:r w:rsidR="000F2BF3">
        <w:rPr>
          <w:sz w:val="24"/>
          <w:szCs w:val="24"/>
        </w:rPr>
        <w:t xml:space="preserve"> OFC</w:t>
      </w:r>
      <w:r w:rsidR="00E23891" w:rsidRPr="00F0708B">
        <w:rPr>
          <w:sz w:val="24"/>
          <w:szCs w:val="24"/>
        </w:rPr>
        <w:t xml:space="preserve"> such that lateral OFC lesions disrupt Pavlovian whereas medial OFC lesions disrupt instrumental behavioural control </w:t>
      </w:r>
      <w:r w:rsidR="00E23891" w:rsidRPr="00F0708B">
        <w:rPr>
          <w:sz w:val="24"/>
          <w:szCs w:val="24"/>
        </w:rPr>
        <w:fldChar w:fldCharType="begin" w:fldLock="1"/>
      </w:r>
      <w:r w:rsidR="00E23891">
        <w:rPr>
          <w:sz w:val="24"/>
          <w:szCs w:val="24"/>
        </w:rPr>
        <w:instrText>ADDIN CSL_CITATION {"citationItems":[{"id":"ITEM-1","itemData":{"DOI":"10.1016/j.neuron.2015.10.044","ISSN":"10974199","PMID":"26627312","abstract":"Choice between actions often requires the ability to retrieve action consequences in circumstances where they are only partially observable. This capacity has recently been argued to depend on orbitofrontal cortex; however, no direct evidence for this hypothesis has been reported. Here, we examined whether activity in the medial orbitofrontal cortex (mOFC) underlies this critical determinant of decision-making in rats. First, we simulated predictions from this hypothesis for various tests of goal-directed action by removing the assumption that rats could retrieve partially observable outcomes and then tested those predictions experimentally using manipulations of the mOFC. The results closely followed predictions; consistent deficits only emerged when action consequences had to be retrieved. Finally, we put action selection based on observable and unobservable outcomes into conflict and found that whereas intact rats selected actions based on the value of retrieved outcomes, mOFC rats relied solely on the value of observable outcomes.","author":[{"dropping-particle":"","family":"Bradfield","given":"Laura A.","non-dropping-particle":"","parse-names":false,"suffix":""},{"dropping-particle":"","family":"Dezfouli","given":"Amir","non-dropping-particle":"","parse-names":false,"suffix":""},{"dropping-particle":"","family":"Holstein","given":"Mieke","non-dropping-particle":"Van","parse-names":false,"suffix":""},{"dropping-particle":"","family":"Chieng","given":"Billy","non-dropping-particle":"","parse-names":false,"suffix":""},{"dropping-particle":"","family":"Balleine","given":"Bernard W.","non-dropping-particle":"","parse-names":false,"suffix":""}],"container-title":"Neuron","id":"ITEM-1","issue":"6","issued":{"date-parts":[["2015"]]},"page":"1268-1280","title":"Medial Orbitofrontal Cortex Mediates Outcome Retrieval in Partially Observable Task Situations","type":"article-journal","volume":"88"},"uris":["http://www.mendeley.com/documents/?uuid=3b0fa5ce-486e-4587-9f5a-e5c4aa806013"]},{"id":"ITEM-2","itemData":{"DOI":"10.1016/j.nlm.2018.09.008","ISSN":"10959564","PMID":"30243849","abstract":"Although studies examining orbitofrontal cortex (OFC) often treat it as though it were functionally homogeneous, recent evidence has questioned this assumption. Not only are the various subregions of OFC (lateral, ventral, and medial) hetereogeneous, but there is further evidence of heterogeneity within those subregions. For example, several studies in both humans and monkeys have revealed a functional subdivision along the anterior-posterior gradient of the medial OFC (mOFC). Given our previous findings suggesting that, in rats, the mOFC is responsible for inferring the likelihood of unobservable action outcomes (Bradfield, Dezfouli, van Holstein, Chieng, &amp; Balleine, 2015), and given the anterior nature of the placements of our prior manipulations, we decided to assess whether the rat mOFC also differs in connection and function along its anteroposterior axis. We first used retrograde tracing to compare the density of efferents from mOFC to several structures known to contribute to goal-directed action: the mediodorsal thalamus, basolateral amygdala, posterior dorsomedial striatum, nucleus accumbens core and ventral tegmental area. We then compared the functional effects of anterior versus posterior mOFC excitotoxic lesions on tests of Pavlovian-instrumental transfer, instrumental outcome devaluation and outcome-specific reinstatement. We found evidence that the anterior mOFC had greater connectivity with the accumbens core and greater functional involvement in goal-directed action than the posterior mOFC. Consistent with previous findings across species, therefore, these results suggest that the anterior and posterior mOFC of the rat are indeed functionally distinct, and that it is the anterior mOFC that is particularly critical for inferring unobservable action outcomes.","author":[{"dropping-particle":"","family":"Bradfield","given":"Laura A.","non-dropping-particle":"","parse-names":false,"suffix":""},{"dropping-particle":"","family":"Hart","given":"Genevra","non-dropping-particle":"","parse-names":false,"suffix":""},{"dropping-particle":"","family":"Balleine","given":"Bernard W.","non-dropping-particle":"","parse-names":false,"suffix":""}],"container-title":"Neurobiology of Learning and Memory","id":"ITEM-2","issue":"May","issued":{"date-parts":[["2018"]]},"page":"463-473","title":"Inferring action-dependent outcome representations depends on anterior but not posterior medial orbitofrontal cortex","type":"article-journal","volume":"155"},"uris":["http://www.mendeley.com/documents/?uuid=f8641a2a-0106-48b7-8df6-9b7182b5a890"]},{"id":"ITEM-3","itemData":{"DOI":"10.7554/eLife.37357.001","ISSN":"2050084X","abstract":"The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deficits","type":"article-journal","volume":"7"},"uris":["http://www.mendeley.com/documents/?uuid=830dcb69-80d3-3948-bcf4-b67f5d01f017"]},{"id":"ITEM-4","itemData":{"DOI":"Doi 10.1523/Jneurosci.5443-06.2007","ISBN":"0270-6474","author":[{"dropping-particle":"","family":"Ostlund","given":"S B","non-dropping-particle":"","parse-names":false,"suffix":""},{"dropping-particle":"","family":"Balleine","given":"B W","non-dropping-particle":"","parse-names":false,"suffix":""}],"container-title":"Journal of Neuroscience","id":"ITEM-4","issue":"18","issued":{"date-parts":[["2007"]]},"language":"English","page":"4819-4825","title":"Orbitofrontal cortex mediates outcome encoding in pavlovian but not instrumental conditioning","type":"article-journal","volume":"27"},"uris":["http://www.mendeley.com/documents/?uuid=d469c7de-a39b-4490-b6b3-0682f2e41edb"]},{"id":"ITEM-5","itemData":{"author":[{"dropping-particle":"","family":"McDannald","given":"Michael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Neuroscience","id":"ITEM-5","issued":{"date-parts":[["2011"]]},"page":"2700-2705","title":"Ventral striatum and orbitofrontal cortex are both required for model-based, but not model-free, reinforcement learning","type":"article-journal","volume":"31"},"uris":["http://www.mendeley.com/documents/?uuid=fd72c0c0-95bc-4b3c-b673-02f000ff2455"]},{"id":"ITEM-6","itemData":{"DOI":"10.1016/j.neuron.2017.10.026","ISSN":"08966273","abstract":"&lt;h2&gt;Summary&lt;/h2&gt;&lt;p&gt;How do we choose between goods that have different subjective values, like apples and oranges? Neuroeconomics proposes that this is done by reducing complex goods to a single unitary value to allow comparison. This value is computed \"on the fly\" from the underlying model of the goods space, allowing decisions to meet current needs. This is termed \"model-based\" behavior to distinguish it from pre-determined, habitual, or \"model-free\" behavior. The lateral orbitofrontal cortex (OFC) supports model-based behavior in rats and primates, but whether the OFC is necessary for economic choice is less clear. Here we tested this question by optogenetically inactivating the lateral OFC in rats in a classic model-based task and during economic choice. Contrary to predictions, inactivation disrupted model-based behavior without affecting economic choice.&lt;/p&gt;","author":[{"dropping-particle":"","family":"Gardner","given":"Matthew P.H.","non-dropping-particle":"","parse-names":false,"suffix":""},{"dropping-particle":"","family":"Conroy","given":"Jessica S.","non-dropping-particle":"","parse-names":false,"suffix":""},{"dropping-particle":"","family":"Shaham","given":"Michael H.","non-dropping-particle":"","parse-names":false,"suffix":""},{"dropping-particle":"V.","family":"Styer","given":"Clay","non-dropping-particle":"","parse-names":false,"suffix":""},{"dropping-particle":"","family":"Schoenbaum","given":"Geoffrey","non-dropping-particle":"","parse-names":false,"suffix":""}],"container-title":"Neuron","id":"ITEM-6","issue":"0","issued":{"date-parts":[["2017","11"]]},"publisher":"Elsevier","title":"Lateral Orbitofrontal Inactivation Dissociates Devaluation-Sensitive Behavior and Economic Choice","type":"article-journal","volume":"0"},"uris":["http://www.mendeley.com/documents/?uuid=709a0352-dd2d-395d-9ecb-dacfa17a6d20"]},{"id":"ITEM-7","itemData":{"DOI":"10.7554/eLife.38963","ISSN":"2050-084X","abstract":"How are decisions made between different goods? One theory spanning several fields of neuroscience proposes that their values are distilled to a single common neural currency, the calculation of which allows for rational decisions. The orbitofrontal cortex (OFC) is thought to play a critical role in this process, based on the presence of neural correlates of economic value in lateral OFC in monkeys and medial OFC in humans. We previously inactivated lateral OFC in rats without affecting economic choice behavior. Here we inactivated medial OFC in the same task, again without effect. Behavior in the same rats was disrupted by inactivation during progressive ratio responding previously shown to depend on medial OFC, demonstrating the efficacy of the inactivation. These results indicate that medial OFC is not necessary for economic choice, bolstering the proposal that classic economic choice is likely mediated by multiple, overlapping neural circuits.","author":[{"dropping-particle":"","family":"Gardner","given":"Matthew P.H.","non-dropping-particle":"","parse-names":false,"suffix":""},{"dropping-particle":"","family":"Conroy","given":"Jessica C","non-dropping-particle":"","parse-names":false,"suffix":""},{"dropping-particle":"V","family":"Styer","given":"Clay","non-dropping-particle":"","parse-names":false,"suffix":""},{"dropping-particle":"","family":"Huynh","given":"Timothy","non-dropping-particle":"","parse-names":false,"suffix":""},{"dropping-particle":"","family":"Whitaker","given":"Leslie R","non-dropping-particle":"","parse-names":false,"suffix":""},{"dropping-particle":"","family":"Schoenbaum","given":"Geoffrey","non-dropping-particle":"","parse-names":false,"suffix":""}],"container-title":"eLife","id":"ITEM-7","issued":{"date-parts":[["2018","10","3"]]},"title":"Medial orbitofrontal inactivation does not affect economic choice","type":"article-journal","volume":"7"},"uris":["http://www.mendeley.com/documents/?uuid=166ffc6c-f02b-33af-8b85-e5daac026408"]}],"mendeley":{"formattedCitation":"(Bradfield et al., 2015, 2018; Gardner et al., 2017, 2018; McDannald et al., 2011; Ostlund &amp; Balleine, 2007; Panayi &amp; Killcross, 2018)","plainTextFormattedCitation":"(Bradfield et al., 2015, 2018; Gardner et al., 2017, 2018; McDannald et al., 2011; Ostlund &amp; Balleine, 2007; Panayi &amp; Killcross, 2018)","previouslyFormattedCitation":"(Bradfield et al., 2015, 2018; Gardner et al., 2017, 2018; McDannald et al., 2011; Ostlund &amp; Balleine, 2007; Panayi &amp; Killcross, 2018)"},"properties":{"noteIndex":0},"schema":"https://github.com/citation-style-language/schema/raw/master/csl-citation.json"}</w:instrText>
      </w:r>
      <w:r w:rsidR="00E23891" w:rsidRPr="00F0708B">
        <w:rPr>
          <w:sz w:val="24"/>
          <w:szCs w:val="24"/>
        </w:rPr>
        <w:fldChar w:fldCharType="separate"/>
      </w:r>
      <w:r w:rsidR="00E23891" w:rsidRPr="0077411D">
        <w:rPr>
          <w:noProof/>
          <w:sz w:val="24"/>
          <w:szCs w:val="24"/>
        </w:rPr>
        <w:t>(Bradfield et al., 2015, 2018; Gardner et al., 2017, 2018; McDannald et al., 2011; Ostlund &amp; Balleine, 2007; Panayi &amp; Killcross, 2018)</w:t>
      </w:r>
      <w:r w:rsidR="00E23891" w:rsidRPr="00F0708B">
        <w:rPr>
          <w:sz w:val="24"/>
          <w:szCs w:val="24"/>
        </w:rPr>
        <w:fldChar w:fldCharType="end"/>
      </w:r>
      <w:r w:rsidR="00E23891" w:rsidRPr="00F0708B">
        <w:rPr>
          <w:sz w:val="24"/>
          <w:szCs w:val="24"/>
        </w:rPr>
        <w:t>.</w:t>
      </w:r>
      <w:r w:rsidR="00C75CA1">
        <w:rPr>
          <w:sz w:val="24"/>
          <w:szCs w:val="24"/>
        </w:rPr>
        <w:t xml:space="preserve"> </w:t>
      </w:r>
      <w:r w:rsidR="00A74C45">
        <w:rPr>
          <w:sz w:val="24"/>
          <w:szCs w:val="24"/>
        </w:rPr>
        <w:t xml:space="preserve">This suggests that </w:t>
      </w:r>
      <w:r w:rsidR="009E0344">
        <w:rPr>
          <w:sz w:val="24"/>
          <w:szCs w:val="24"/>
        </w:rPr>
        <w:t xml:space="preserve">the </w:t>
      </w:r>
      <w:r w:rsidR="00CA0410">
        <w:rPr>
          <w:sz w:val="24"/>
          <w:szCs w:val="24"/>
        </w:rPr>
        <w:t>OFC</w:t>
      </w:r>
      <w:r w:rsidR="009E0344">
        <w:rPr>
          <w:sz w:val="24"/>
          <w:szCs w:val="24"/>
        </w:rPr>
        <w:t xml:space="preserve"> as a whole </w:t>
      </w:r>
      <w:r w:rsidR="00CA0410">
        <w:rPr>
          <w:sz w:val="24"/>
          <w:szCs w:val="24"/>
        </w:rPr>
        <w:t>is</w:t>
      </w:r>
      <w:r w:rsidR="009E0344">
        <w:rPr>
          <w:sz w:val="24"/>
          <w:szCs w:val="24"/>
        </w:rPr>
        <w:t xml:space="preserve"> engaged in the learning and </w:t>
      </w:r>
      <w:r w:rsidR="00B80006">
        <w:rPr>
          <w:sz w:val="24"/>
          <w:szCs w:val="24"/>
        </w:rPr>
        <w:t xml:space="preserve">flexible </w:t>
      </w:r>
      <w:r w:rsidR="009E0344">
        <w:rPr>
          <w:sz w:val="24"/>
          <w:szCs w:val="24"/>
        </w:rPr>
        <w:t xml:space="preserve">updating of </w:t>
      </w:r>
      <w:r w:rsidR="0041685F">
        <w:rPr>
          <w:sz w:val="24"/>
          <w:szCs w:val="24"/>
        </w:rPr>
        <w:t xml:space="preserve">value based behaviours, but within the orbital subregions </w:t>
      </w:r>
      <w:r w:rsidR="00A65E1D">
        <w:rPr>
          <w:sz w:val="24"/>
          <w:szCs w:val="24"/>
        </w:rPr>
        <w:t>this proc</w:t>
      </w:r>
      <w:r w:rsidR="001A0CCD">
        <w:rPr>
          <w:sz w:val="24"/>
          <w:szCs w:val="24"/>
        </w:rPr>
        <w:t xml:space="preserve">ess appears to be remarkably specialized </w:t>
      </w:r>
      <w:r w:rsidR="00B80006">
        <w:rPr>
          <w:sz w:val="24"/>
          <w:szCs w:val="24"/>
        </w:rPr>
        <w:t>for</w:t>
      </w:r>
      <w:r w:rsidR="001A0CCD">
        <w:rPr>
          <w:sz w:val="24"/>
          <w:szCs w:val="24"/>
        </w:rPr>
        <w:t xml:space="preserve"> distinct </w:t>
      </w:r>
      <w:r w:rsidR="00531008">
        <w:rPr>
          <w:sz w:val="24"/>
          <w:szCs w:val="24"/>
        </w:rPr>
        <w:t xml:space="preserve">types of behaviour and </w:t>
      </w:r>
      <w:r w:rsidR="00EB1BAE">
        <w:rPr>
          <w:sz w:val="24"/>
          <w:szCs w:val="24"/>
        </w:rPr>
        <w:t>learning.</w:t>
      </w:r>
    </w:p>
    <w:p w14:paraId="03C14B80" w14:textId="297A2ED7" w:rsidR="00D64DFD" w:rsidRDefault="00D64DFD">
      <w:pPr>
        <w:rPr>
          <w:sz w:val="24"/>
          <w:szCs w:val="24"/>
        </w:rPr>
      </w:pPr>
      <w:r>
        <w:rPr>
          <w:sz w:val="24"/>
          <w:szCs w:val="24"/>
        </w:rPr>
        <w:br w:type="page"/>
      </w:r>
    </w:p>
    <w:p w14:paraId="4F63B091" w14:textId="638E34A4" w:rsidR="00D64DFD" w:rsidRPr="00D64DFD" w:rsidRDefault="00D64DFD" w:rsidP="00D64DFD">
      <w:pPr>
        <w:ind w:firstLine="720"/>
        <w:jc w:val="center"/>
        <w:rPr>
          <w:rFonts w:ascii="Times New Roman" w:hAnsi="Times New Roman" w:cs="Times New Roman"/>
          <w:b/>
          <w:sz w:val="24"/>
          <w:szCs w:val="24"/>
        </w:rPr>
      </w:pPr>
      <w:r w:rsidRPr="00D64DFD">
        <w:rPr>
          <w:rFonts w:ascii="Times New Roman" w:hAnsi="Times New Roman" w:cs="Times New Roman"/>
          <w:b/>
          <w:sz w:val="24"/>
          <w:szCs w:val="24"/>
        </w:rPr>
        <w:lastRenderedPageBreak/>
        <w:t>References</w:t>
      </w:r>
    </w:p>
    <w:p w14:paraId="618670CF" w14:textId="7DA2B15A" w:rsidR="00D64DFD" w:rsidRDefault="00D64DFD" w:rsidP="00C75CA1">
      <w:pPr>
        <w:ind w:firstLine="720"/>
        <w:rPr>
          <w:rFonts w:ascii="Times New Roman" w:hAnsi="Times New Roman" w:cs="Times New Roman"/>
          <w:bCs/>
          <w:sz w:val="24"/>
          <w:szCs w:val="24"/>
        </w:rPr>
      </w:pPr>
    </w:p>
    <w:p w14:paraId="624F1724" w14:textId="3E8C2230" w:rsidR="00D45447" w:rsidRPr="00D45447" w:rsidRDefault="00D64DFD"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bCs/>
          <w:sz w:val="24"/>
          <w:szCs w:val="24"/>
        </w:rPr>
        <w:fldChar w:fldCharType="begin" w:fldLock="1"/>
      </w:r>
      <w:r>
        <w:rPr>
          <w:rFonts w:ascii="Times New Roman" w:hAnsi="Times New Roman" w:cs="Times New Roman"/>
          <w:bCs/>
          <w:sz w:val="24"/>
          <w:szCs w:val="24"/>
        </w:rPr>
        <w:instrText xml:space="preserve">ADDIN Mendeley Bibliography CSL_BIBLIOGRAPHY </w:instrText>
      </w:r>
      <w:r>
        <w:rPr>
          <w:rFonts w:ascii="Times New Roman" w:hAnsi="Times New Roman" w:cs="Times New Roman"/>
          <w:bCs/>
          <w:sz w:val="24"/>
          <w:szCs w:val="24"/>
        </w:rPr>
        <w:fldChar w:fldCharType="separate"/>
      </w:r>
      <w:r w:rsidR="00D45447" w:rsidRPr="00D45447">
        <w:rPr>
          <w:rFonts w:ascii="Times New Roman" w:hAnsi="Times New Roman" w:cs="Times New Roman"/>
          <w:noProof/>
          <w:sz w:val="24"/>
          <w:szCs w:val="24"/>
        </w:rPr>
        <w:t xml:space="preserve">Balleine, B. W., Leung, B. K., &amp; Ostlund, S. B. (2011). The orbitofrontal cortex, predicted value, and choice. </w:t>
      </w:r>
      <w:r w:rsidR="00D45447" w:rsidRPr="00D45447">
        <w:rPr>
          <w:rFonts w:ascii="Times New Roman" w:hAnsi="Times New Roman" w:cs="Times New Roman"/>
          <w:i/>
          <w:iCs/>
          <w:noProof/>
          <w:sz w:val="24"/>
          <w:szCs w:val="24"/>
        </w:rPr>
        <w:t>Ann N Y Acad Sci</w:t>
      </w:r>
      <w:r w:rsidR="00D45447" w:rsidRPr="00D45447">
        <w:rPr>
          <w:rFonts w:ascii="Times New Roman" w:hAnsi="Times New Roman" w:cs="Times New Roman"/>
          <w:noProof/>
          <w:sz w:val="24"/>
          <w:szCs w:val="24"/>
        </w:rPr>
        <w:t xml:space="preserve">, </w:t>
      </w:r>
      <w:r w:rsidR="00D45447" w:rsidRPr="00D45447">
        <w:rPr>
          <w:rFonts w:ascii="Times New Roman" w:hAnsi="Times New Roman" w:cs="Times New Roman"/>
          <w:i/>
          <w:iCs/>
          <w:noProof/>
          <w:sz w:val="24"/>
          <w:szCs w:val="24"/>
        </w:rPr>
        <w:t>1239</w:t>
      </w:r>
      <w:r w:rsidR="00D45447" w:rsidRPr="00D45447">
        <w:rPr>
          <w:rFonts w:ascii="Times New Roman" w:hAnsi="Times New Roman" w:cs="Times New Roman"/>
          <w:noProof/>
          <w:sz w:val="24"/>
          <w:szCs w:val="24"/>
        </w:rPr>
        <w:t>, 43–50. https://doi.org/10.1111/j.1749-6632.2011.06270.x</w:t>
      </w:r>
    </w:p>
    <w:p w14:paraId="0F37ADED"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Barreiros, I. V, Ishii, H., Walton, M. E., &amp; Panayi, M. C. (2021). Defining an orbitofrontal compass: functional and anatomical heterogeneity across anterior-posterior and medial-lateral axes. </w:t>
      </w:r>
      <w:r w:rsidRPr="00D45447">
        <w:rPr>
          <w:rFonts w:ascii="Times New Roman" w:hAnsi="Times New Roman" w:cs="Times New Roman"/>
          <w:i/>
          <w:iCs/>
          <w:noProof/>
          <w:sz w:val="24"/>
          <w:szCs w:val="24"/>
        </w:rPr>
        <w:t>Behavioral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under review</w:t>
      </w:r>
      <w:r w:rsidRPr="00D45447">
        <w:rPr>
          <w:rFonts w:ascii="Times New Roman" w:hAnsi="Times New Roman" w:cs="Times New Roman"/>
          <w:noProof/>
          <w:sz w:val="24"/>
          <w:szCs w:val="24"/>
        </w:rPr>
        <w:t>.</w:t>
      </w:r>
    </w:p>
    <w:p w14:paraId="66181B8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Barreiros, I. V, Panayi, M. C., &amp; Walton, M. E. (2020). Organisation of afferents along the anterior-posterior and medial-lateral axes of the rat OFC. </w:t>
      </w:r>
      <w:r w:rsidRPr="00D45447">
        <w:rPr>
          <w:rFonts w:ascii="Times New Roman" w:hAnsi="Times New Roman" w:cs="Times New Roman"/>
          <w:i/>
          <w:iCs/>
          <w:noProof/>
          <w:sz w:val="24"/>
          <w:szCs w:val="24"/>
        </w:rPr>
        <w:t>BioRxiv</w:t>
      </w:r>
      <w:r w:rsidRPr="00D45447">
        <w:rPr>
          <w:rFonts w:ascii="Times New Roman" w:hAnsi="Times New Roman" w:cs="Times New Roman"/>
          <w:noProof/>
          <w:sz w:val="24"/>
          <w:szCs w:val="24"/>
        </w:rPr>
        <w:t>, 1–44. https://doi.org/https://doi.org/10.1101/2020.08.28.272591</w:t>
      </w:r>
    </w:p>
    <w:p w14:paraId="45E45631"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Baxter, M. G., Parker, A., Lindner, C. C., Izquierdo, A. D., &amp; Murray, E. A. (2000). Control of response selection by reinforcer value requires interaction of amygdala and orbital prefrontal cortex.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20</w:t>
      </w:r>
      <w:r w:rsidRPr="00D45447">
        <w:rPr>
          <w:rFonts w:ascii="Times New Roman" w:hAnsi="Times New Roman" w:cs="Times New Roman"/>
          <w:noProof/>
          <w:sz w:val="24"/>
          <w:szCs w:val="24"/>
        </w:rPr>
        <w:t>(11), 4311–4319. http://www.jneurosci.org/content/20/11/4311.full.pdf</w:t>
      </w:r>
    </w:p>
    <w:p w14:paraId="63CB7B5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Boakes, R. A. (1977). Performance on learning to associate a stimulus with positive reinforcement. In H. Davis &amp; H. M. B. Hurwitz (Eds.), </w:t>
      </w:r>
      <w:r w:rsidRPr="00D45447">
        <w:rPr>
          <w:rFonts w:ascii="Times New Roman" w:hAnsi="Times New Roman" w:cs="Times New Roman"/>
          <w:i/>
          <w:iCs/>
          <w:noProof/>
          <w:sz w:val="24"/>
          <w:szCs w:val="24"/>
        </w:rPr>
        <w:t>Operant-Pavlovian interactions</w:t>
      </w:r>
      <w:r w:rsidRPr="00D45447">
        <w:rPr>
          <w:rFonts w:ascii="Times New Roman" w:hAnsi="Times New Roman" w:cs="Times New Roman"/>
          <w:noProof/>
          <w:sz w:val="24"/>
          <w:szCs w:val="24"/>
        </w:rPr>
        <w:t xml:space="preserve"> (pp. 67–97). L. Erlbaum Associates.</w:t>
      </w:r>
    </w:p>
    <w:p w14:paraId="1047241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Boulougouris, V., Dalley, J. W., &amp; Robbins, T. W. (2007). Effects of orbitofrontal, infralimbic and prelimbic cortical lesions on serial spatial reversal learning in the rat. </w:t>
      </w:r>
      <w:r w:rsidRPr="00D45447">
        <w:rPr>
          <w:rFonts w:ascii="Times New Roman" w:hAnsi="Times New Roman" w:cs="Times New Roman"/>
          <w:i/>
          <w:iCs/>
          <w:noProof/>
          <w:sz w:val="24"/>
          <w:szCs w:val="24"/>
        </w:rPr>
        <w:t>Behavioural Brain Research</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179</w:t>
      </w:r>
      <w:r w:rsidRPr="00D45447">
        <w:rPr>
          <w:rFonts w:ascii="Times New Roman" w:hAnsi="Times New Roman" w:cs="Times New Roman"/>
          <w:noProof/>
          <w:sz w:val="24"/>
          <w:szCs w:val="24"/>
        </w:rPr>
        <w:t>(2), 219–228. https://doi.org/10.1016/j.bbr.2007.02.005</w:t>
      </w:r>
    </w:p>
    <w:p w14:paraId="143FCF96"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Boulougouris, V., &amp; Robbins, T. W. (2009). Pre-surgical training ameliorates orbitofrontal-mediated impairments in spatial reversal learning. </w:t>
      </w:r>
      <w:r w:rsidRPr="00D45447">
        <w:rPr>
          <w:rFonts w:ascii="Times New Roman" w:hAnsi="Times New Roman" w:cs="Times New Roman"/>
          <w:i/>
          <w:iCs/>
          <w:noProof/>
          <w:sz w:val="24"/>
          <w:szCs w:val="24"/>
        </w:rPr>
        <w:t>Behavioural Brain Research</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197</w:t>
      </w:r>
      <w:r w:rsidRPr="00D45447">
        <w:rPr>
          <w:rFonts w:ascii="Times New Roman" w:hAnsi="Times New Roman" w:cs="Times New Roman"/>
          <w:noProof/>
          <w:sz w:val="24"/>
          <w:szCs w:val="24"/>
        </w:rPr>
        <w:t>(2), 469–475. https://doi.org/10.1016/j.bbr.2008.10.005</w:t>
      </w:r>
    </w:p>
    <w:p w14:paraId="6F0B696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Bradfield, L. A., Dezfouli, A., Van Holstein, M., Chieng, B., &amp; Balleine, B. W. (2015). Medial Orbitofrontal Cortex Mediates Outcome Retrieval in Partially Observable Task Situations.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88</w:t>
      </w:r>
      <w:r w:rsidRPr="00D45447">
        <w:rPr>
          <w:rFonts w:ascii="Times New Roman" w:hAnsi="Times New Roman" w:cs="Times New Roman"/>
          <w:noProof/>
          <w:sz w:val="24"/>
          <w:szCs w:val="24"/>
        </w:rPr>
        <w:t>(6), 1268–1280. https://doi.org/10.1016/j.neuron.2015.10.044</w:t>
      </w:r>
    </w:p>
    <w:p w14:paraId="23D8AD2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Bradfield, L. A., &amp; Hart, G. (2020). Rodent medial and lateral orbitofrontal cortices represent unique components of cognitive maps of task space. </w:t>
      </w:r>
      <w:r w:rsidRPr="00D45447">
        <w:rPr>
          <w:rFonts w:ascii="Times New Roman" w:hAnsi="Times New Roman" w:cs="Times New Roman"/>
          <w:i/>
          <w:iCs/>
          <w:noProof/>
          <w:sz w:val="24"/>
          <w:szCs w:val="24"/>
        </w:rPr>
        <w:t>Neuroscience &amp; Biobehavioral Reviews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108</w:t>
      </w:r>
      <w:r w:rsidRPr="00D45447">
        <w:rPr>
          <w:rFonts w:ascii="Times New Roman" w:hAnsi="Times New Roman" w:cs="Times New Roman"/>
          <w:noProof/>
          <w:sz w:val="24"/>
          <w:szCs w:val="24"/>
        </w:rPr>
        <w:t>, 287–294. https://doi.org/10.1016/J.NEUBIOREV.2019.11.009</w:t>
      </w:r>
    </w:p>
    <w:p w14:paraId="4A778550"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Bradfield, L. A., Hart, G., &amp; Balleine, B. W. (2018). Inferring action-dependent outcome representations depends on anterior but not posterior medial orbitofrontal cortex. </w:t>
      </w:r>
      <w:r w:rsidRPr="00D45447">
        <w:rPr>
          <w:rFonts w:ascii="Times New Roman" w:hAnsi="Times New Roman" w:cs="Times New Roman"/>
          <w:i/>
          <w:iCs/>
          <w:noProof/>
          <w:sz w:val="24"/>
          <w:szCs w:val="24"/>
        </w:rPr>
        <w:t>Neurobiology of Learning and Memory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155</w:t>
      </w:r>
      <w:r w:rsidRPr="00D45447">
        <w:rPr>
          <w:rFonts w:ascii="Times New Roman" w:hAnsi="Times New Roman" w:cs="Times New Roman"/>
          <w:noProof/>
          <w:sz w:val="24"/>
          <w:szCs w:val="24"/>
        </w:rPr>
        <w:t>(May), 463–473. https://doi.org/10.1016/j.nlm.2018.09.008</w:t>
      </w:r>
    </w:p>
    <w:p w14:paraId="6642273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Burke, K. A., Franz, T. M., Miller, D. N., &amp; Schoenbaum, G. (2007). Conditioned reinforcement can be mediated by either outcome-specific or general affective representations. </w:t>
      </w:r>
      <w:r w:rsidRPr="00D45447">
        <w:rPr>
          <w:rFonts w:ascii="Times New Roman" w:hAnsi="Times New Roman" w:cs="Times New Roman"/>
          <w:i/>
          <w:iCs/>
          <w:noProof/>
          <w:sz w:val="24"/>
          <w:szCs w:val="24"/>
        </w:rPr>
        <w:t>Frontiers in Integrative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w:t>
      </w:r>
      <w:r w:rsidRPr="00D45447">
        <w:rPr>
          <w:rFonts w:ascii="Times New Roman" w:hAnsi="Times New Roman" w:cs="Times New Roman"/>
          <w:noProof/>
          <w:sz w:val="24"/>
          <w:szCs w:val="24"/>
        </w:rPr>
        <w:t>, 2. https://doi.org/10.3389/neuro.07.002.2007</w:t>
      </w:r>
    </w:p>
    <w:p w14:paraId="12E7BBC2"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Burke, K. A., Franz, T. M., Miller, D. N., &amp; Schoenbaum, G. (2008). The role of the orbitofrontal cortex in the pursuit of happiness and more specific rewards. </w:t>
      </w:r>
      <w:r w:rsidRPr="00D45447">
        <w:rPr>
          <w:rFonts w:ascii="Times New Roman" w:hAnsi="Times New Roman" w:cs="Times New Roman"/>
          <w:i/>
          <w:iCs/>
          <w:noProof/>
          <w:sz w:val="24"/>
          <w:szCs w:val="24"/>
        </w:rPr>
        <w:t>Nature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lastRenderedPageBreak/>
        <w:t>454</w:t>
      </w:r>
      <w:r w:rsidRPr="00D45447">
        <w:rPr>
          <w:rFonts w:ascii="Times New Roman" w:hAnsi="Times New Roman" w:cs="Times New Roman"/>
          <w:noProof/>
          <w:sz w:val="24"/>
          <w:szCs w:val="24"/>
        </w:rPr>
        <w:t>(7202), 340-U45. https://doi.org/Doi 10.1038/Nature06993</w:t>
      </w:r>
    </w:p>
    <w:p w14:paraId="5F1AB33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Burke, K. A., Takahashi, Y. K., Correll, J., Brown, P. L., &amp; Schoenbaum, G. (2009). Orbitofrontal inactivation impairs reversal of Pavlovian learning by interfering with “disinhibition” of responding for previously unrewarded cues. </w:t>
      </w:r>
      <w:r w:rsidRPr="00D45447">
        <w:rPr>
          <w:rFonts w:ascii="Times New Roman" w:hAnsi="Times New Roman" w:cs="Times New Roman"/>
          <w:i/>
          <w:iCs/>
          <w:noProof/>
          <w:sz w:val="24"/>
          <w:szCs w:val="24"/>
        </w:rPr>
        <w:t>European 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30</w:t>
      </w:r>
      <w:r w:rsidRPr="00D45447">
        <w:rPr>
          <w:rFonts w:ascii="Times New Roman" w:hAnsi="Times New Roman" w:cs="Times New Roman"/>
          <w:noProof/>
          <w:sz w:val="24"/>
          <w:szCs w:val="24"/>
        </w:rPr>
        <w:t>(10), 1941–1946. https://doi.org/DOI 10.1111/j.1460-9568.2009.06992.x</w:t>
      </w:r>
    </w:p>
    <w:p w14:paraId="1E5AA94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Butter, C. M. (1969). Perseveration in extinction and in discrimination reversal tasks following selective frontal ablations in Macaca mulatta. </w:t>
      </w:r>
      <w:r w:rsidRPr="00D45447">
        <w:rPr>
          <w:rFonts w:ascii="Times New Roman" w:hAnsi="Times New Roman" w:cs="Times New Roman"/>
          <w:i/>
          <w:iCs/>
          <w:noProof/>
          <w:sz w:val="24"/>
          <w:szCs w:val="24"/>
        </w:rPr>
        <w:t>Physiol. Behav</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4</w:t>
      </w:r>
      <w:r w:rsidRPr="00D45447">
        <w:rPr>
          <w:rFonts w:ascii="Times New Roman" w:hAnsi="Times New Roman" w:cs="Times New Roman"/>
          <w:noProof/>
          <w:sz w:val="24"/>
          <w:szCs w:val="24"/>
        </w:rPr>
        <w:t>, 163–171.</w:t>
      </w:r>
    </w:p>
    <w:p w14:paraId="171D40F8"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Chudasama, Y., &amp; Robbins, T. W. (2003). Dissociable contributions of the orbitofrontal and infralimbic cortex to pavlovian autoshaping and discrimination reversal learning: further evidence for the functional heterogeneity of the rodent frontal cortex.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23</w:t>
      </w:r>
      <w:r w:rsidRPr="00D45447">
        <w:rPr>
          <w:rFonts w:ascii="Times New Roman" w:hAnsi="Times New Roman" w:cs="Times New Roman"/>
          <w:noProof/>
          <w:sz w:val="24"/>
          <w:szCs w:val="24"/>
        </w:rPr>
        <w:t>(25), 8771–8780. https://doi.org/23/25/8771 [pii]</w:t>
      </w:r>
    </w:p>
    <w:p w14:paraId="58522FB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Coutureau, E., &amp; Killcross, A. S. (2003). Inactivation of the infralimbic prefrontal cortex reinstates goal-directed responding in overtrained rats. </w:t>
      </w:r>
      <w:r w:rsidRPr="00D45447">
        <w:rPr>
          <w:rFonts w:ascii="Times New Roman" w:hAnsi="Times New Roman" w:cs="Times New Roman"/>
          <w:i/>
          <w:iCs/>
          <w:noProof/>
          <w:sz w:val="24"/>
          <w:szCs w:val="24"/>
        </w:rPr>
        <w:t>Behavioural Brain Research</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146</w:t>
      </w:r>
      <w:r w:rsidRPr="00D45447">
        <w:rPr>
          <w:rFonts w:ascii="Times New Roman" w:hAnsi="Times New Roman" w:cs="Times New Roman"/>
          <w:noProof/>
          <w:sz w:val="24"/>
          <w:szCs w:val="24"/>
        </w:rPr>
        <w:t>(1–2), 167–174. http://www.sciencedirect.com/science/article/pii/S0166432803003498</w:t>
      </w:r>
    </w:p>
    <w:p w14:paraId="63FCDC6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Delamater, A. R. (2004). Experimental extinction in Pavlovian conditioning: Behavioural and neuroscience perspectives. </w:t>
      </w:r>
      <w:r w:rsidRPr="00D45447">
        <w:rPr>
          <w:rFonts w:ascii="Times New Roman" w:hAnsi="Times New Roman" w:cs="Times New Roman"/>
          <w:i/>
          <w:iCs/>
          <w:noProof/>
          <w:sz w:val="24"/>
          <w:szCs w:val="24"/>
        </w:rPr>
        <w:t>Quarterly Journal of Experimental Psychology Section B-Comparative and Physiological Psychology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57</w:t>
      </w:r>
      <w:r w:rsidRPr="00D45447">
        <w:rPr>
          <w:rFonts w:ascii="Times New Roman" w:hAnsi="Times New Roman" w:cs="Times New Roman"/>
          <w:noProof/>
          <w:sz w:val="24"/>
          <w:szCs w:val="24"/>
        </w:rPr>
        <w:t>(2), 97–132. https://doi.org/Doi 10.1080/02724990344000097</w:t>
      </w:r>
    </w:p>
    <w:p w14:paraId="76A0A80B"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Delamater, A. R. (2007). The role of the orbitofrontal cortex in sensory-specific encoding of associations in Pavlovian and instrumental conditioning. In G. Schoenbaum, J. A. Gottfried, E. A. Murray, &amp; S. J. Ramus (Eds.), </w:t>
      </w:r>
      <w:r w:rsidRPr="00D45447">
        <w:rPr>
          <w:rFonts w:ascii="Times New Roman" w:hAnsi="Times New Roman" w:cs="Times New Roman"/>
          <w:i/>
          <w:iCs/>
          <w:noProof/>
          <w:sz w:val="24"/>
          <w:szCs w:val="24"/>
        </w:rPr>
        <w:t>Linking Affect to Action: Critical Contributions of the Orbitofrontal Cortex</w:t>
      </w:r>
      <w:r w:rsidRPr="00D45447">
        <w:rPr>
          <w:rFonts w:ascii="Times New Roman" w:hAnsi="Times New Roman" w:cs="Times New Roman"/>
          <w:noProof/>
          <w:sz w:val="24"/>
          <w:szCs w:val="24"/>
        </w:rPr>
        <w:t xml:space="preserve"> (Vol. 1121, pp. 152–173). Blackwell Publishing. https://doi.org/10.1196/annals.1401.030</w:t>
      </w:r>
    </w:p>
    <w:p w14:paraId="0C5BB086"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Delamater, A. R., &amp; Holland, P. C. (2008). The influence of CS-US interval on several different indices of learning in appetitive conditioning. </w:t>
      </w:r>
      <w:r w:rsidRPr="00D45447">
        <w:rPr>
          <w:rFonts w:ascii="Times New Roman" w:hAnsi="Times New Roman" w:cs="Times New Roman"/>
          <w:i/>
          <w:iCs/>
          <w:noProof/>
          <w:sz w:val="24"/>
          <w:szCs w:val="24"/>
        </w:rPr>
        <w:t>Journal of Experimental Psychology-Animal Behavior Processes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34</w:t>
      </w:r>
      <w:r w:rsidRPr="00D45447">
        <w:rPr>
          <w:rFonts w:ascii="Times New Roman" w:hAnsi="Times New Roman" w:cs="Times New Roman"/>
          <w:noProof/>
          <w:sz w:val="24"/>
          <w:szCs w:val="24"/>
        </w:rPr>
        <w:t>(2), 202–222. https://doi.org/Doi 10.1037/0097-7403.34.2.202</w:t>
      </w:r>
    </w:p>
    <w:p w14:paraId="348FC85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Delamater, A. R., &amp; Oakeshott, S. (2007). Learning about multiple attributes of reward in Pavlovian conditioning. </w:t>
      </w:r>
      <w:r w:rsidRPr="00D45447">
        <w:rPr>
          <w:rFonts w:ascii="Times New Roman" w:hAnsi="Times New Roman" w:cs="Times New Roman"/>
          <w:i/>
          <w:iCs/>
          <w:noProof/>
          <w:sz w:val="24"/>
          <w:szCs w:val="24"/>
        </w:rPr>
        <w:t>Annals of the New York Academy of Sciences</w:t>
      </w:r>
      <w:r w:rsidRPr="00D45447">
        <w:rPr>
          <w:rFonts w:ascii="Times New Roman" w:hAnsi="Times New Roman" w:cs="Times New Roman"/>
          <w:noProof/>
          <w:sz w:val="24"/>
          <w:szCs w:val="24"/>
        </w:rPr>
        <w:t>. https://doi.org/10.1196/annals.1390.008</w:t>
      </w:r>
    </w:p>
    <w:p w14:paraId="0B058C46"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Dias, R., Robbins, T. W., &amp; Roberts, A. C. (1996). Dissociation in prefrontal cortex of affective and attentional shifts. </w:t>
      </w:r>
      <w:r w:rsidRPr="00D45447">
        <w:rPr>
          <w:rFonts w:ascii="Times New Roman" w:hAnsi="Times New Roman" w:cs="Times New Roman"/>
          <w:i/>
          <w:iCs/>
          <w:noProof/>
          <w:sz w:val="24"/>
          <w:szCs w:val="24"/>
        </w:rPr>
        <w:t>Nature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380</w:t>
      </w:r>
      <w:r w:rsidRPr="00D45447">
        <w:rPr>
          <w:rFonts w:ascii="Times New Roman" w:hAnsi="Times New Roman" w:cs="Times New Roman"/>
          <w:noProof/>
          <w:sz w:val="24"/>
          <w:szCs w:val="24"/>
        </w:rPr>
        <w:t>(6569), 69–72. https://doi.org/10.1038/380069a0</w:t>
      </w:r>
    </w:p>
    <w:p w14:paraId="6EE304A9"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Dickinson, A. (1980). Contemporary animal learning theory. In J. Gray (Ed.), </w:t>
      </w:r>
      <w:r w:rsidRPr="00D45447">
        <w:rPr>
          <w:rFonts w:ascii="Times New Roman" w:hAnsi="Times New Roman" w:cs="Times New Roman"/>
          <w:i/>
          <w:iCs/>
          <w:noProof/>
          <w:sz w:val="24"/>
          <w:szCs w:val="24"/>
        </w:rPr>
        <w:t>Problems in the behavioural sciences</w:t>
      </w:r>
      <w:r w:rsidRPr="00D45447">
        <w:rPr>
          <w:rFonts w:ascii="Times New Roman" w:hAnsi="Times New Roman" w:cs="Times New Roman"/>
          <w:noProof/>
          <w:sz w:val="24"/>
          <w:szCs w:val="24"/>
        </w:rPr>
        <w:t>. Cambridge University Press.</w:t>
      </w:r>
    </w:p>
    <w:p w14:paraId="1636C02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Dickinson, A. (1985). Actions and Habits : The Development of Behavioural Autonomy. </w:t>
      </w:r>
      <w:r w:rsidRPr="00D45447">
        <w:rPr>
          <w:rFonts w:ascii="Times New Roman" w:hAnsi="Times New Roman" w:cs="Times New Roman"/>
          <w:i/>
          <w:iCs/>
          <w:noProof/>
          <w:sz w:val="24"/>
          <w:szCs w:val="24"/>
        </w:rPr>
        <w:t>Philosophical Transactions of the Royal Society of London. Series B, Biological Sciences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308</w:t>
      </w:r>
      <w:r w:rsidRPr="00D45447">
        <w:rPr>
          <w:rFonts w:ascii="Times New Roman" w:hAnsi="Times New Roman" w:cs="Times New Roman"/>
          <w:noProof/>
          <w:sz w:val="24"/>
          <w:szCs w:val="24"/>
        </w:rPr>
        <w:t>(1135), 67–78. http://www.jstor.org/stable/2396284</w:t>
      </w:r>
    </w:p>
    <w:p w14:paraId="4D77770E"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Dickinson, A., &amp; Balleine, B. W. (2002). The Role of Learning in the Operation of Motivational Systems. In </w:t>
      </w:r>
      <w:r w:rsidRPr="00D45447">
        <w:rPr>
          <w:rFonts w:ascii="Times New Roman" w:hAnsi="Times New Roman" w:cs="Times New Roman"/>
          <w:i/>
          <w:iCs/>
          <w:noProof/>
          <w:sz w:val="24"/>
          <w:szCs w:val="24"/>
        </w:rPr>
        <w:t>Stevens’ Handbook of Experimental Psychology</w:t>
      </w:r>
      <w:r w:rsidRPr="00D45447">
        <w:rPr>
          <w:rFonts w:ascii="Times New Roman" w:hAnsi="Times New Roman" w:cs="Times New Roman"/>
          <w:noProof/>
          <w:sz w:val="24"/>
          <w:szCs w:val="24"/>
        </w:rPr>
        <w:t>. John Wiley &amp; Sons, Inc. https://doi.org/10.1002/0471214426.pas0312</w:t>
      </w:r>
    </w:p>
    <w:p w14:paraId="7B1F45D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lastRenderedPageBreak/>
        <w:t xml:space="preserve">Dolan, R. J., &amp; Dayan, P. (2013). Goals and habits in the brain.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80</w:t>
      </w:r>
      <w:r w:rsidRPr="00D45447">
        <w:rPr>
          <w:rFonts w:ascii="Times New Roman" w:hAnsi="Times New Roman" w:cs="Times New Roman"/>
          <w:noProof/>
          <w:sz w:val="24"/>
          <w:szCs w:val="24"/>
        </w:rPr>
        <w:t>(2), 312–325. https://doi.org/10.1016/j.neuron.2013.09.007</w:t>
      </w:r>
    </w:p>
    <w:p w14:paraId="79C6A58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Esber, G. R., &amp; Haselgrove, M. (2011). Reconciling the influence of predictiveness and uncertainty on stimulus salience: a model of attention in associative learning. </w:t>
      </w:r>
      <w:r w:rsidRPr="00D45447">
        <w:rPr>
          <w:rFonts w:ascii="Times New Roman" w:hAnsi="Times New Roman" w:cs="Times New Roman"/>
          <w:i/>
          <w:iCs/>
          <w:noProof/>
          <w:sz w:val="24"/>
          <w:szCs w:val="24"/>
        </w:rPr>
        <w:t>Proceedings of the Royal Society B-Biological Sciences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278</w:t>
      </w:r>
      <w:r w:rsidRPr="00D45447">
        <w:rPr>
          <w:rFonts w:ascii="Times New Roman" w:hAnsi="Times New Roman" w:cs="Times New Roman"/>
          <w:noProof/>
          <w:sz w:val="24"/>
          <w:szCs w:val="24"/>
        </w:rPr>
        <w:t>(1718), 2553–2561. https://doi.org/DOI 10.1098/rspb.2011.0836</w:t>
      </w:r>
    </w:p>
    <w:p w14:paraId="54C8882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Gallagher, M., McMahan, R. W., &amp; Schoenbaum, G. (1999). Orbitofrontal cortex and representation of incentive value in associative learning.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19</w:t>
      </w:r>
      <w:r w:rsidRPr="00D45447">
        <w:rPr>
          <w:rFonts w:ascii="Times New Roman" w:hAnsi="Times New Roman" w:cs="Times New Roman"/>
          <w:noProof/>
          <w:sz w:val="24"/>
          <w:szCs w:val="24"/>
        </w:rPr>
        <w:t>(15), 6610–6614. http://www.jneurosci.org/cgi/reprint/19/15/6610.pdf</w:t>
      </w:r>
    </w:p>
    <w:p w14:paraId="2C1C19DC"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Gardner, M. P. H., Conroy, J. C., Sanchez, D. C., Zhou, J., &amp; Schoenbaum, G. (2019). Real-Time Value Integration during Economic Choice Is Regulated by Orbitofrontal Cortex. </w:t>
      </w:r>
      <w:r w:rsidRPr="00D45447">
        <w:rPr>
          <w:rFonts w:ascii="Times New Roman" w:hAnsi="Times New Roman" w:cs="Times New Roman"/>
          <w:i/>
          <w:iCs/>
          <w:noProof/>
          <w:sz w:val="24"/>
          <w:szCs w:val="24"/>
        </w:rPr>
        <w:t>Current Biology</w:t>
      </w:r>
      <w:r w:rsidRPr="00D45447">
        <w:rPr>
          <w:rFonts w:ascii="Times New Roman" w:hAnsi="Times New Roman" w:cs="Times New Roman"/>
          <w:noProof/>
          <w:sz w:val="24"/>
          <w:szCs w:val="24"/>
        </w:rPr>
        <w:t>. https://doi.org/10.1016/j.cub.2019.10.058</w:t>
      </w:r>
    </w:p>
    <w:p w14:paraId="4D18D0A8"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Gardner, M. P. H., Conroy, J. C., Styer, C. V, Huynh, T., Whitaker, L. R., &amp; Schoenbaum, G. (2018). Medial orbitofrontal inactivation does not affect economic choice. </w:t>
      </w:r>
      <w:r w:rsidRPr="00D45447">
        <w:rPr>
          <w:rFonts w:ascii="Times New Roman" w:hAnsi="Times New Roman" w:cs="Times New Roman"/>
          <w:i/>
          <w:iCs/>
          <w:noProof/>
          <w:sz w:val="24"/>
          <w:szCs w:val="24"/>
        </w:rPr>
        <w:t>ELife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7</w:t>
      </w:r>
      <w:r w:rsidRPr="00D45447">
        <w:rPr>
          <w:rFonts w:ascii="Times New Roman" w:hAnsi="Times New Roman" w:cs="Times New Roman"/>
          <w:noProof/>
          <w:sz w:val="24"/>
          <w:szCs w:val="24"/>
        </w:rPr>
        <w:t>. https://doi.org/10.7554/eLife.38963</w:t>
      </w:r>
    </w:p>
    <w:p w14:paraId="4C099EA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Gardner, M. P. H., Conroy, J. S., Shaham, M. H., Styer, C. V., &amp; Schoenbaum, G. (2017). Lateral Orbitofrontal Inactivation Dissociates Devaluation-Sensitive Behavior and Economic Choice.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0</w:t>
      </w:r>
      <w:r w:rsidRPr="00D45447">
        <w:rPr>
          <w:rFonts w:ascii="Times New Roman" w:hAnsi="Times New Roman" w:cs="Times New Roman"/>
          <w:noProof/>
          <w:sz w:val="24"/>
          <w:szCs w:val="24"/>
        </w:rPr>
        <w:t>(0). https://doi.org/10.1016/j.neuron.2017.10.026</w:t>
      </w:r>
    </w:p>
    <w:p w14:paraId="2818AD3C"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Hall, G. (2002). Associative structures in Pavlovian and instrumental conditioning. In C. R. Gallistel (Ed.), </w:t>
      </w:r>
      <w:r w:rsidRPr="00D45447">
        <w:rPr>
          <w:rFonts w:ascii="Times New Roman" w:hAnsi="Times New Roman" w:cs="Times New Roman"/>
          <w:i/>
          <w:iCs/>
          <w:noProof/>
          <w:sz w:val="24"/>
          <w:szCs w:val="24"/>
        </w:rPr>
        <w:t>Steven’s handbook of experimental psychology</w:t>
      </w:r>
      <w:r w:rsidRPr="00D45447">
        <w:rPr>
          <w:rFonts w:ascii="Times New Roman" w:hAnsi="Times New Roman" w:cs="Times New Roman"/>
          <w:noProof/>
          <w:sz w:val="24"/>
          <w:szCs w:val="24"/>
        </w:rPr>
        <w:t xml:space="preserve"> (Vol. 3, pp. 1–45). John Wiley &amp; Sons.</w:t>
      </w:r>
    </w:p>
    <w:p w14:paraId="55BAA99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Holland, P. C. (1977). Conditioned stimulus as a determinant of the form of the Pavlovian conditioned response. </w:t>
      </w:r>
      <w:r w:rsidRPr="00D45447">
        <w:rPr>
          <w:rFonts w:ascii="Times New Roman" w:hAnsi="Times New Roman" w:cs="Times New Roman"/>
          <w:i/>
          <w:iCs/>
          <w:noProof/>
          <w:sz w:val="24"/>
          <w:szCs w:val="24"/>
        </w:rPr>
        <w:t>J Exp Psychol Anim Behav Process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w:t>
      </w:r>
      <w:r w:rsidRPr="00D45447">
        <w:rPr>
          <w:rFonts w:ascii="Times New Roman" w:hAnsi="Times New Roman" w:cs="Times New Roman"/>
          <w:noProof/>
          <w:sz w:val="24"/>
          <w:szCs w:val="24"/>
        </w:rPr>
        <w:t>(1), 77–104. http://www.ncbi.nlm.nih.gov/pubmed/845545</w:t>
      </w:r>
    </w:p>
    <w:p w14:paraId="7508FB0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Iversen, S. D., &amp; Mishkin, M. (1970). Perseverative interference in monkeys following selective lesions of the inferior prefrontal convexity. </w:t>
      </w:r>
      <w:r w:rsidRPr="00D45447">
        <w:rPr>
          <w:rFonts w:ascii="Times New Roman" w:hAnsi="Times New Roman" w:cs="Times New Roman"/>
          <w:i/>
          <w:iCs/>
          <w:noProof/>
          <w:sz w:val="24"/>
          <w:szCs w:val="24"/>
        </w:rPr>
        <w:t>Experimental Brain Research</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11</w:t>
      </w:r>
      <w:r w:rsidRPr="00D45447">
        <w:rPr>
          <w:rFonts w:ascii="Times New Roman" w:hAnsi="Times New Roman" w:cs="Times New Roman"/>
          <w:noProof/>
          <w:sz w:val="24"/>
          <w:szCs w:val="24"/>
        </w:rPr>
        <w:t>(4), 376–386. http://www.ncbi.nlm.nih.gov/pubmed/4993199</w:t>
      </w:r>
    </w:p>
    <w:p w14:paraId="7493B221"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Izquierdo, A. (2017). Functional Heterogeneity within Rat Orbitofrontal Cortex in Reward Learning and Decision Making. </w:t>
      </w:r>
      <w:r w:rsidRPr="00D45447">
        <w:rPr>
          <w:rFonts w:ascii="Times New Roman" w:hAnsi="Times New Roman" w:cs="Times New Roman"/>
          <w:i/>
          <w:iCs/>
          <w:noProof/>
          <w:sz w:val="24"/>
          <w:szCs w:val="24"/>
        </w:rPr>
        <w:t>The Journal of Neuroscience : The Official Journal of the Society for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37</w:t>
      </w:r>
      <w:r w:rsidRPr="00D45447">
        <w:rPr>
          <w:rFonts w:ascii="Times New Roman" w:hAnsi="Times New Roman" w:cs="Times New Roman"/>
          <w:noProof/>
          <w:sz w:val="24"/>
          <w:szCs w:val="24"/>
        </w:rPr>
        <w:t>(44), 10529–10540. https://doi.org/10.1523/JNEUROSCI.1678-17.2017</w:t>
      </w:r>
    </w:p>
    <w:p w14:paraId="612593CC"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Kamin, L. J. (1969). Predictability, surprise, attention and conditioning. In B. A. Campbell &amp; R. M. Church (Eds.), </w:t>
      </w:r>
      <w:r w:rsidRPr="00D45447">
        <w:rPr>
          <w:rFonts w:ascii="Times New Roman" w:hAnsi="Times New Roman" w:cs="Times New Roman"/>
          <w:i/>
          <w:iCs/>
          <w:noProof/>
          <w:sz w:val="24"/>
          <w:szCs w:val="24"/>
        </w:rPr>
        <w:t>Punishment and aversive behavior</w:t>
      </w:r>
      <w:r w:rsidRPr="00D45447">
        <w:rPr>
          <w:rFonts w:ascii="Times New Roman" w:hAnsi="Times New Roman" w:cs="Times New Roman"/>
          <w:noProof/>
          <w:sz w:val="24"/>
          <w:szCs w:val="24"/>
        </w:rPr>
        <w:t xml:space="preserve"> (pp. 279–96). Appleton-Century-Crofts.</w:t>
      </w:r>
    </w:p>
    <w:p w14:paraId="79A3E40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Killcross, A. S., &amp; Coutureau, E. (2003). Coordination of actions and habits in the medial prefrontal cortex of rats. </w:t>
      </w:r>
      <w:r w:rsidRPr="00D45447">
        <w:rPr>
          <w:rFonts w:ascii="Times New Roman" w:hAnsi="Times New Roman" w:cs="Times New Roman"/>
          <w:i/>
          <w:iCs/>
          <w:noProof/>
          <w:sz w:val="24"/>
          <w:szCs w:val="24"/>
        </w:rPr>
        <w:t>Cerebral Cortex</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13</w:t>
      </w:r>
      <w:r w:rsidRPr="00D45447">
        <w:rPr>
          <w:rFonts w:ascii="Times New Roman" w:hAnsi="Times New Roman" w:cs="Times New Roman"/>
          <w:noProof/>
          <w:sz w:val="24"/>
          <w:szCs w:val="24"/>
        </w:rPr>
        <w:t>(4), 400–408. http://cercor.oxfordjournals.org/cgi/reprint/13/4/400.pdf</w:t>
      </w:r>
    </w:p>
    <w:p w14:paraId="1F6FE87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Klein-Flugge, M. C., Barron, H. C., Brodersen, K. H., Dolan, R. J., &amp; Behrens, T. E. (2013). Segregated encoding of reward-identity and stimulus-reward associations in human orbitofrontal cortex.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33</w:t>
      </w:r>
      <w:r w:rsidRPr="00D45447">
        <w:rPr>
          <w:rFonts w:ascii="Times New Roman" w:hAnsi="Times New Roman" w:cs="Times New Roman"/>
          <w:noProof/>
          <w:sz w:val="24"/>
          <w:szCs w:val="24"/>
        </w:rPr>
        <w:t xml:space="preserve">, 3202–3211. </w:t>
      </w:r>
      <w:r w:rsidRPr="00D45447">
        <w:rPr>
          <w:rFonts w:ascii="Times New Roman" w:hAnsi="Times New Roman" w:cs="Times New Roman"/>
          <w:noProof/>
          <w:sz w:val="24"/>
          <w:szCs w:val="24"/>
        </w:rPr>
        <w:lastRenderedPageBreak/>
        <w:t>http://www.jneurosci.org/content/33/7/3202.full.pdf</w:t>
      </w:r>
    </w:p>
    <w:p w14:paraId="2335E3E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Konorski, J. (1967). </w:t>
      </w:r>
      <w:r w:rsidRPr="00D45447">
        <w:rPr>
          <w:rFonts w:ascii="Times New Roman" w:hAnsi="Times New Roman" w:cs="Times New Roman"/>
          <w:i/>
          <w:iCs/>
          <w:noProof/>
          <w:sz w:val="24"/>
          <w:szCs w:val="24"/>
        </w:rPr>
        <w:t>Integrative activity of the brain; an interdisciplinary approach</w:t>
      </w:r>
      <w:r w:rsidRPr="00D45447">
        <w:rPr>
          <w:rFonts w:ascii="Times New Roman" w:hAnsi="Times New Roman" w:cs="Times New Roman"/>
          <w:noProof/>
          <w:sz w:val="24"/>
          <w:szCs w:val="24"/>
        </w:rPr>
        <w:t>. University of Chicago Press.</w:t>
      </w:r>
    </w:p>
    <w:p w14:paraId="65746051"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Krebs, J. (1977). Optimal foraging: theory and experiment. </w:t>
      </w:r>
      <w:r w:rsidRPr="00D45447">
        <w:rPr>
          <w:rFonts w:ascii="Times New Roman" w:hAnsi="Times New Roman" w:cs="Times New Roman"/>
          <w:i/>
          <w:iCs/>
          <w:noProof/>
          <w:sz w:val="24"/>
          <w:szCs w:val="24"/>
        </w:rPr>
        <w:t>Nature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268</w:t>
      </w:r>
      <w:r w:rsidRPr="00D45447">
        <w:rPr>
          <w:rFonts w:ascii="Times New Roman" w:hAnsi="Times New Roman" w:cs="Times New Roman"/>
          <w:noProof/>
          <w:sz w:val="24"/>
          <w:szCs w:val="24"/>
        </w:rPr>
        <w:t>(5621), 583–584. https://doi.org/10.1038/268583a0</w:t>
      </w:r>
    </w:p>
    <w:p w14:paraId="3C9FEFF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Kringelbach, M. L. (2005). The human orbitofrontal cortex: Linking reward to hedonic experience. </w:t>
      </w:r>
      <w:r w:rsidRPr="00D45447">
        <w:rPr>
          <w:rFonts w:ascii="Times New Roman" w:hAnsi="Times New Roman" w:cs="Times New Roman"/>
          <w:i/>
          <w:iCs/>
          <w:noProof/>
          <w:sz w:val="24"/>
          <w:szCs w:val="24"/>
        </w:rPr>
        <w:t>Nature Reviews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6</w:t>
      </w:r>
      <w:r w:rsidRPr="00D45447">
        <w:rPr>
          <w:rFonts w:ascii="Times New Roman" w:hAnsi="Times New Roman" w:cs="Times New Roman"/>
          <w:noProof/>
          <w:sz w:val="24"/>
          <w:szCs w:val="24"/>
        </w:rPr>
        <w:t>(9), 691–702. https://doi.org/Doi 10.1038/Nrn1747</w:t>
      </w:r>
    </w:p>
    <w:p w14:paraId="5EC6EB0B"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Lenth, R., Singmann, H., Love, J., Buerkner, P., &amp; Herve, M. (2020). emmeans: estimated marginal means. R package version 1.4. 4. In </w:t>
      </w:r>
      <w:r w:rsidRPr="00D45447">
        <w:rPr>
          <w:rFonts w:ascii="Times New Roman" w:hAnsi="Times New Roman" w:cs="Times New Roman"/>
          <w:i/>
          <w:iCs/>
          <w:noProof/>
          <w:sz w:val="24"/>
          <w:szCs w:val="24"/>
        </w:rPr>
        <w:t>The American Statistician</w:t>
      </w:r>
      <w:r w:rsidRPr="00D45447">
        <w:rPr>
          <w:rFonts w:ascii="Times New Roman" w:hAnsi="Times New Roman" w:cs="Times New Roman"/>
          <w:noProof/>
          <w:sz w:val="24"/>
          <w:szCs w:val="24"/>
        </w:rPr>
        <w:t>. https://doi.org/10.1080/00031305.1980.10483031</w:t>
      </w:r>
    </w:p>
    <w:p w14:paraId="1033E3E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LePelley, M. E. (2004). The role of associative history in models of associative learning: A selective review and a hybrid model. </w:t>
      </w:r>
      <w:r w:rsidRPr="00D45447">
        <w:rPr>
          <w:rFonts w:ascii="Times New Roman" w:hAnsi="Times New Roman" w:cs="Times New Roman"/>
          <w:i/>
          <w:iCs/>
          <w:noProof/>
          <w:sz w:val="24"/>
          <w:szCs w:val="24"/>
        </w:rPr>
        <w:t>Quarterly Journal of Experimental Psychology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57B</w:t>
      </w:r>
      <w:r w:rsidRPr="00D45447">
        <w:rPr>
          <w:rFonts w:ascii="Times New Roman" w:hAnsi="Times New Roman" w:cs="Times New Roman"/>
          <w:noProof/>
          <w:sz w:val="24"/>
          <w:szCs w:val="24"/>
        </w:rPr>
        <w:t>, 192–243.</w:t>
      </w:r>
    </w:p>
    <w:p w14:paraId="31BC009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Mackintosh, N. J. (1974). </w:t>
      </w:r>
      <w:r w:rsidRPr="00D45447">
        <w:rPr>
          <w:rFonts w:ascii="Times New Roman" w:hAnsi="Times New Roman" w:cs="Times New Roman"/>
          <w:i/>
          <w:iCs/>
          <w:noProof/>
          <w:sz w:val="24"/>
          <w:szCs w:val="24"/>
        </w:rPr>
        <w:t>The psychology of animal learning</w:t>
      </w:r>
      <w:r w:rsidRPr="00D45447">
        <w:rPr>
          <w:rFonts w:ascii="Times New Roman" w:hAnsi="Times New Roman" w:cs="Times New Roman"/>
          <w:noProof/>
          <w:sz w:val="24"/>
          <w:szCs w:val="24"/>
        </w:rPr>
        <w:t>. Academic Press.</w:t>
      </w:r>
    </w:p>
    <w:p w14:paraId="1470A17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Mackintosh, N. J. (1975). A theory of attention: Variations in the associability of stimuli with reinforcement. </w:t>
      </w:r>
      <w:r w:rsidRPr="00D45447">
        <w:rPr>
          <w:rFonts w:ascii="Times New Roman" w:hAnsi="Times New Roman" w:cs="Times New Roman"/>
          <w:i/>
          <w:iCs/>
          <w:noProof/>
          <w:sz w:val="24"/>
          <w:szCs w:val="24"/>
        </w:rPr>
        <w:t>Psychol Rev</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82</w:t>
      </w:r>
      <w:r w:rsidRPr="00D45447">
        <w:rPr>
          <w:rFonts w:ascii="Times New Roman" w:hAnsi="Times New Roman" w:cs="Times New Roman"/>
          <w:noProof/>
          <w:sz w:val="24"/>
          <w:szCs w:val="24"/>
        </w:rPr>
        <w:t>(4), 279–298. https://doi.org/10.1037/h0076778</w:t>
      </w:r>
    </w:p>
    <w:p w14:paraId="3FEF1391"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McDannald, M. A., Lucantonio, F., Burke, K. A., Niv, Y., &amp; Schoenbaum, G. (2011). Ventral striatum and orbitofrontal cortex are both required for model-based, but not model-free, reinforcement learning.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31</w:t>
      </w:r>
      <w:r w:rsidRPr="00D45447">
        <w:rPr>
          <w:rFonts w:ascii="Times New Roman" w:hAnsi="Times New Roman" w:cs="Times New Roman"/>
          <w:noProof/>
          <w:sz w:val="24"/>
          <w:szCs w:val="24"/>
        </w:rPr>
        <w:t>, 2700–2705. http://www.jneurosci.org/content/31/7/2700.full.pdf</w:t>
      </w:r>
    </w:p>
    <w:p w14:paraId="51CE8A80"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McDannald, M. A., Saddoris, M. P., Gallagher, M., &amp; Holland, P. C. (2005). Lesions of orbitofrontal cortex impair rats’ differential outcome expectancy learning but not conditioned stimulus-potentiated feeding.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25</w:t>
      </w:r>
      <w:r w:rsidRPr="00D45447">
        <w:rPr>
          <w:rFonts w:ascii="Times New Roman" w:hAnsi="Times New Roman" w:cs="Times New Roman"/>
          <w:noProof/>
          <w:sz w:val="24"/>
          <w:szCs w:val="24"/>
        </w:rPr>
        <w:t>(18), 4626–4632. https://doi.org/25/18/4626 [pii] 10.1523/JNEUROSCI.5301-04.2005</w:t>
      </w:r>
    </w:p>
    <w:p w14:paraId="7BA42EC2"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Murray, E. A., O’Doherty, J. P., &amp; Schoenbaum, G. (2007). What we know and do not know about the functions of the orbitofrontal cortex after 20 years of cross-species studies.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27</w:t>
      </w:r>
      <w:r w:rsidRPr="00D45447">
        <w:rPr>
          <w:rFonts w:ascii="Times New Roman" w:hAnsi="Times New Roman" w:cs="Times New Roman"/>
          <w:noProof/>
          <w:sz w:val="24"/>
          <w:szCs w:val="24"/>
        </w:rPr>
        <w:t>(31), 8166–8169. https://doi.org/10.1523/JNEUROSCI.1556-07.2007</w:t>
      </w:r>
    </w:p>
    <w:p w14:paraId="64A2B5A5"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Murray, E. A., &amp; Rudebeck, P. H. (2018). Specializations for reward-guided decision-making in the primate ventral prefrontal cortex. </w:t>
      </w:r>
      <w:r w:rsidRPr="00D45447">
        <w:rPr>
          <w:rFonts w:ascii="Times New Roman" w:hAnsi="Times New Roman" w:cs="Times New Roman"/>
          <w:i/>
          <w:iCs/>
          <w:noProof/>
          <w:sz w:val="24"/>
          <w:szCs w:val="24"/>
        </w:rPr>
        <w:t>Nature Reviews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19</w:t>
      </w:r>
      <w:r w:rsidRPr="00D45447">
        <w:rPr>
          <w:rFonts w:ascii="Times New Roman" w:hAnsi="Times New Roman" w:cs="Times New Roman"/>
          <w:noProof/>
          <w:sz w:val="24"/>
          <w:szCs w:val="24"/>
        </w:rPr>
        <w:t>(7), 404–417. https://doi.org/10.1038/s41583-018-0013-4</w:t>
      </w:r>
    </w:p>
    <w:p w14:paraId="511F6DCE"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Namboodiri, V. M. K., Otis, J. M., van Heeswijk, K., Voets, E. S., Alghorazi, R. A., Rodriguez-Romaguera, J., Mihalas, S., &amp; Stuber, G. D. (2019). Single-cell activity tracking reveals that orbitofrontal neurons acquire and maintain a long-term memory to guide behavioral adaptation.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1. https://doi.org/10.1038/s41593-019-0408-1</w:t>
      </w:r>
    </w:p>
    <w:p w14:paraId="3DC46322"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Nasser, H. M., Calu, D. J., Schoenbaum, G., &amp; Sharpe, M. J. (2017). The Dopamine Prediction Error: Contributions to Associative Models of Reward Learning. </w:t>
      </w:r>
      <w:r w:rsidRPr="00D45447">
        <w:rPr>
          <w:rFonts w:ascii="Times New Roman" w:hAnsi="Times New Roman" w:cs="Times New Roman"/>
          <w:i/>
          <w:iCs/>
          <w:noProof/>
          <w:sz w:val="24"/>
          <w:szCs w:val="24"/>
        </w:rPr>
        <w:t>Frontiers in Psychology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w:t>
      </w:r>
      <w:r w:rsidRPr="00D45447">
        <w:rPr>
          <w:rFonts w:ascii="Times New Roman" w:hAnsi="Times New Roman" w:cs="Times New Roman"/>
          <w:noProof/>
          <w:sz w:val="24"/>
          <w:szCs w:val="24"/>
        </w:rPr>
        <w:t>, 244. https://doi.org/10.3389/fpsyg.2017.00244</w:t>
      </w:r>
    </w:p>
    <w:p w14:paraId="321BED6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lastRenderedPageBreak/>
        <w:t xml:space="preserve">Niv, Y. (2019). Learning task-state representations.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22</w:t>
      </w:r>
      <w:r w:rsidRPr="00D45447">
        <w:rPr>
          <w:rFonts w:ascii="Times New Roman" w:hAnsi="Times New Roman" w:cs="Times New Roman"/>
          <w:noProof/>
          <w:sz w:val="24"/>
          <w:szCs w:val="24"/>
        </w:rPr>
        <w:t>(10), 1544–1553. https://doi.org/10.1038/s41593-019-0470-8</w:t>
      </w:r>
    </w:p>
    <w:p w14:paraId="746EC73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Ogawa, M., van der Meer, M. A. A., Esber, G. R., Cerri, D. H., Stalnaker, T. A., &amp; Schoenbaum, G. (2013). Risk-responsive orbitofrontal neurons track acquired salience.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77</w:t>
      </w:r>
      <w:r w:rsidRPr="00D45447">
        <w:rPr>
          <w:rFonts w:ascii="Times New Roman" w:hAnsi="Times New Roman" w:cs="Times New Roman"/>
          <w:noProof/>
          <w:sz w:val="24"/>
          <w:szCs w:val="24"/>
        </w:rPr>
        <w:t>(2), 251–258. https://doi.org/10.1016/j.neuron.2012.11.006</w:t>
      </w:r>
    </w:p>
    <w:p w14:paraId="58DDFB39"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Ostlund, S. B., &amp; Balleine, B. W. (2007). Orbitofrontal cortex mediates outcome encoding in pavlovian but not instrumental conditioning.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27</w:t>
      </w:r>
      <w:r w:rsidRPr="00D45447">
        <w:rPr>
          <w:rFonts w:ascii="Times New Roman" w:hAnsi="Times New Roman" w:cs="Times New Roman"/>
          <w:noProof/>
          <w:sz w:val="24"/>
          <w:szCs w:val="24"/>
        </w:rPr>
        <w:t>(18), 4819–4825. https://doi.org/Doi 10.1523/Jneurosci.5443-06.2007</w:t>
      </w:r>
    </w:p>
    <w:p w14:paraId="56FB9CFC"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Padoa-Schioppa, C. (2009). Range-adapting representation of economic value in the orbitofrontal cortex.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29</w:t>
      </w:r>
      <w:r w:rsidRPr="00D45447">
        <w:rPr>
          <w:rFonts w:ascii="Times New Roman" w:hAnsi="Times New Roman" w:cs="Times New Roman"/>
          <w:noProof/>
          <w:sz w:val="24"/>
          <w:szCs w:val="24"/>
        </w:rPr>
        <w:t>, 14004–14014. http://www.jneurosci.org/content/29/44/14004.full.pdf</w:t>
      </w:r>
    </w:p>
    <w:p w14:paraId="0DC2633D"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Panayi, M. C., &amp; Killcross, S. (2018). Functional heterogeneity within the rodent lateral orbitofrontal cortex dissociates outcome devaluation and reversal learning deficits. </w:t>
      </w:r>
      <w:r w:rsidRPr="00D45447">
        <w:rPr>
          <w:rFonts w:ascii="Times New Roman" w:hAnsi="Times New Roman" w:cs="Times New Roman"/>
          <w:i/>
          <w:iCs/>
          <w:noProof/>
          <w:sz w:val="24"/>
          <w:szCs w:val="24"/>
        </w:rPr>
        <w:t>ELife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7</w:t>
      </w:r>
      <w:r w:rsidRPr="00D45447">
        <w:rPr>
          <w:rFonts w:ascii="Times New Roman" w:hAnsi="Times New Roman" w:cs="Times New Roman"/>
          <w:noProof/>
          <w:sz w:val="24"/>
          <w:szCs w:val="24"/>
        </w:rPr>
        <w:t>. https://doi.org/10.7554/eLife.37357.001</w:t>
      </w:r>
    </w:p>
    <w:p w14:paraId="7565E00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Pearce, J. M., &amp; Hall, G. (1980). A model for Pavlovian learning: variations in the effectiveness of conditioned but not of unconditioned stimuli. </w:t>
      </w:r>
      <w:r w:rsidRPr="00D45447">
        <w:rPr>
          <w:rFonts w:ascii="Times New Roman" w:hAnsi="Times New Roman" w:cs="Times New Roman"/>
          <w:i/>
          <w:iCs/>
          <w:noProof/>
          <w:sz w:val="24"/>
          <w:szCs w:val="24"/>
        </w:rPr>
        <w:t>Psychol Rev</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87</w:t>
      </w:r>
      <w:r w:rsidRPr="00D45447">
        <w:rPr>
          <w:rFonts w:ascii="Times New Roman" w:hAnsi="Times New Roman" w:cs="Times New Roman"/>
          <w:noProof/>
          <w:sz w:val="24"/>
          <w:szCs w:val="24"/>
        </w:rPr>
        <w:t>(6), 532–552. http://www.ncbi.nlm.nih.gov/pubmed/7443916</w:t>
      </w:r>
    </w:p>
    <w:p w14:paraId="604FF6E2"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Pears, A., Parkinson, J. A., Hopewell, L., Everitt, B. J., &amp; Roberts, A. C. (2003). Lesions of the orbitofrontal but not medial prefrontal cortex disrupt conditioned reinforcement in primates.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23</w:t>
      </w:r>
      <w:r w:rsidRPr="00D45447">
        <w:rPr>
          <w:rFonts w:ascii="Times New Roman" w:hAnsi="Times New Roman" w:cs="Times New Roman"/>
          <w:noProof/>
          <w:sz w:val="24"/>
          <w:szCs w:val="24"/>
        </w:rPr>
        <w:t>(35), 11189–11201. https://doi.org/23/35/11189 [pii]</w:t>
      </w:r>
    </w:p>
    <w:p w14:paraId="76BF18A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Pickens, C. L., Saddoris, M. P., Gallagher, M., &amp; Holland, P. C. (2005). Orbitofrontal lesions impair use of cue-outcome associations in a devaluation task. </w:t>
      </w:r>
      <w:r w:rsidRPr="00D45447">
        <w:rPr>
          <w:rFonts w:ascii="Times New Roman" w:hAnsi="Times New Roman" w:cs="Times New Roman"/>
          <w:i/>
          <w:iCs/>
          <w:noProof/>
          <w:sz w:val="24"/>
          <w:szCs w:val="24"/>
        </w:rPr>
        <w:t>Behav Neurosci</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119</w:t>
      </w:r>
      <w:r w:rsidRPr="00D45447">
        <w:rPr>
          <w:rFonts w:ascii="Times New Roman" w:hAnsi="Times New Roman" w:cs="Times New Roman"/>
          <w:noProof/>
          <w:sz w:val="24"/>
          <w:szCs w:val="24"/>
        </w:rPr>
        <w:t>(1), 317–322. https://doi.org/2005-01705-030 [pii]10.1037/0735-7044.119.1.317</w:t>
      </w:r>
    </w:p>
    <w:p w14:paraId="1C210B92"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Pickens, C. L., Saddoris, M. P., Setlow, B., Gallagher, M., Holland, P. C., &amp; Schoenbaum, G. (2003). Different roles for orbitofrontal cortex and basolateral amygdala in a reinforcer devaluation task. </w:t>
      </w:r>
      <w:r w:rsidRPr="00D45447">
        <w:rPr>
          <w:rFonts w:ascii="Times New Roman" w:hAnsi="Times New Roman" w:cs="Times New Roman"/>
          <w:i/>
          <w:iCs/>
          <w:noProof/>
          <w:sz w:val="24"/>
          <w:szCs w:val="24"/>
        </w:rPr>
        <w:t>Journal of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23</w:t>
      </w:r>
      <w:r w:rsidRPr="00D45447">
        <w:rPr>
          <w:rFonts w:ascii="Times New Roman" w:hAnsi="Times New Roman" w:cs="Times New Roman"/>
          <w:noProof/>
          <w:sz w:val="24"/>
          <w:szCs w:val="24"/>
        </w:rPr>
        <w:t>(35), 11078–11084. http://www.jneurosci.org/content/23/35/11078.full.pdf</w:t>
      </w:r>
    </w:p>
    <w:p w14:paraId="3AC59850"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R Core Team (2020). (2020). R: A language and environment for statistical computing. In </w:t>
      </w:r>
      <w:r w:rsidRPr="00D45447">
        <w:rPr>
          <w:rFonts w:ascii="Times New Roman" w:hAnsi="Times New Roman" w:cs="Times New Roman"/>
          <w:i/>
          <w:iCs/>
          <w:noProof/>
          <w:sz w:val="24"/>
          <w:szCs w:val="24"/>
        </w:rPr>
        <w:t>R: A language and environment for statistical computing. R Foundation for Statistical Computing, Vienna, Austria</w:t>
      </w:r>
      <w:r w:rsidRPr="00D45447">
        <w:rPr>
          <w:rFonts w:ascii="Times New Roman" w:hAnsi="Times New Roman" w:cs="Times New Roman"/>
          <w:noProof/>
          <w:sz w:val="24"/>
          <w:szCs w:val="24"/>
        </w:rPr>
        <w:t>.</w:t>
      </w:r>
    </w:p>
    <w:p w14:paraId="4970F859"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Ramirez, D. R., &amp; Savage, L. M. (2007). Differential involvement of the basolateral amygdala, orbitofrontal cortex, and nucleus accumbens core in the acquisition and use of reward expectancies. </w:t>
      </w:r>
      <w:r w:rsidRPr="00D45447">
        <w:rPr>
          <w:rFonts w:ascii="Times New Roman" w:hAnsi="Times New Roman" w:cs="Times New Roman"/>
          <w:i/>
          <w:iCs/>
          <w:noProof/>
          <w:sz w:val="24"/>
          <w:szCs w:val="24"/>
        </w:rPr>
        <w:t>Behav Neurosci</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121</w:t>
      </w:r>
      <w:r w:rsidRPr="00D45447">
        <w:rPr>
          <w:rFonts w:ascii="Times New Roman" w:hAnsi="Times New Roman" w:cs="Times New Roman"/>
          <w:noProof/>
          <w:sz w:val="24"/>
          <w:szCs w:val="24"/>
        </w:rPr>
        <w:t>(5), 896–906. https://doi.org/10.1037/0735-7044.121.5.896</w:t>
      </w:r>
    </w:p>
    <w:p w14:paraId="0DF44C85"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Rescorla, R. A. (1988). Pavlovian Conditioning - Its Not What You Think It Is. </w:t>
      </w:r>
      <w:r w:rsidRPr="00D45447">
        <w:rPr>
          <w:rFonts w:ascii="Times New Roman" w:hAnsi="Times New Roman" w:cs="Times New Roman"/>
          <w:i/>
          <w:iCs/>
          <w:noProof/>
          <w:sz w:val="24"/>
          <w:szCs w:val="24"/>
        </w:rPr>
        <w:t>American Psychologist</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43</w:t>
      </w:r>
      <w:r w:rsidRPr="00D45447">
        <w:rPr>
          <w:rFonts w:ascii="Times New Roman" w:hAnsi="Times New Roman" w:cs="Times New Roman"/>
          <w:noProof/>
          <w:sz w:val="24"/>
          <w:szCs w:val="24"/>
        </w:rPr>
        <w:t>(3), 151–160. https://doi.org/Doi 10.1037/0003-066x.43.3.151</w:t>
      </w:r>
    </w:p>
    <w:p w14:paraId="70284A2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Rescorla, R. A. (2002a). Comparison of the rates of associative change during acquisition and extinction. </w:t>
      </w:r>
      <w:r w:rsidRPr="00D45447">
        <w:rPr>
          <w:rFonts w:ascii="Times New Roman" w:hAnsi="Times New Roman" w:cs="Times New Roman"/>
          <w:i/>
          <w:iCs/>
          <w:noProof/>
          <w:sz w:val="24"/>
          <w:szCs w:val="24"/>
        </w:rPr>
        <w:t>Journal of Experimental Psychology: Animal Behavior Processes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28</w:t>
      </w:r>
      <w:r w:rsidRPr="00D45447">
        <w:rPr>
          <w:rFonts w:ascii="Times New Roman" w:hAnsi="Times New Roman" w:cs="Times New Roman"/>
          <w:noProof/>
          <w:sz w:val="24"/>
          <w:szCs w:val="24"/>
        </w:rPr>
        <w:t>(4), 406–415. https://doi.org/10.1037/0097-7403.28.4.406</w:t>
      </w:r>
    </w:p>
    <w:p w14:paraId="54B1B11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lastRenderedPageBreak/>
        <w:t xml:space="preserve">Rescorla, R. A. (2002b). Savings tests: Separating differences in rate of learning from differences in initial levels. </w:t>
      </w:r>
      <w:r w:rsidRPr="00D45447">
        <w:rPr>
          <w:rFonts w:ascii="Times New Roman" w:hAnsi="Times New Roman" w:cs="Times New Roman"/>
          <w:i/>
          <w:iCs/>
          <w:noProof/>
          <w:sz w:val="24"/>
          <w:szCs w:val="24"/>
        </w:rPr>
        <w:t>Journal of Experimental Psychology: Animal Behavior Processes</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28</w:t>
      </w:r>
      <w:r w:rsidRPr="00D45447">
        <w:rPr>
          <w:rFonts w:ascii="Times New Roman" w:hAnsi="Times New Roman" w:cs="Times New Roman"/>
          <w:noProof/>
          <w:sz w:val="24"/>
          <w:szCs w:val="24"/>
        </w:rPr>
        <w:t>(4), 369–377. https://doi.org/10.1037/0097-7403.28.4.369</w:t>
      </w:r>
    </w:p>
    <w:p w14:paraId="3FE3304C"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Rescorla, R. A., &amp; Wagner, A. R. (1972). A theory of Pavlovian conditiong: Variations in the effectiveness of   reinforcement and nonreinforcement. In A. H. Black &amp; W. F. Prokesy (Eds.), </w:t>
      </w:r>
      <w:r w:rsidRPr="00D45447">
        <w:rPr>
          <w:rFonts w:ascii="Times New Roman" w:hAnsi="Times New Roman" w:cs="Times New Roman"/>
          <w:i/>
          <w:iCs/>
          <w:noProof/>
          <w:sz w:val="24"/>
          <w:szCs w:val="24"/>
        </w:rPr>
        <w:t>Classical Conditioning II: Current Research and Theory</w:t>
      </w:r>
      <w:r w:rsidRPr="00D45447">
        <w:rPr>
          <w:rFonts w:ascii="Times New Roman" w:hAnsi="Times New Roman" w:cs="Times New Roman"/>
          <w:noProof/>
          <w:sz w:val="24"/>
          <w:szCs w:val="24"/>
        </w:rPr>
        <w:t xml:space="preserve"> (pp. 64–99). Appleton Century Crofts.</w:t>
      </w:r>
    </w:p>
    <w:p w14:paraId="09C099E5"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Rudebeck, P. H., &amp; Murray, E. A. (2014). The Orbitofrontal Oracle: Cortical Mechanisms for the Prediction and Evaluation of Specific Behavioral Outcomes.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84</w:t>
      </w:r>
      <w:r w:rsidRPr="00D45447">
        <w:rPr>
          <w:rFonts w:ascii="Times New Roman" w:hAnsi="Times New Roman" w:cs="Times New Roman"/>
          <w:noProof/>
          <w:sz w:val="24"/>
          <w:szCs w:val="24"/>
        </w:rPr>
        <w:t>(6), 1143–1156. https://doi.org/10.1016/j.neuron.2014.10.049</w:t>
      </w:r>
    </w:p>
    <w:p w14:paraId="3CDCA83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Sadacca, B. F., Wied, H. M., Lopatina, N., Saini, G. K., Nemirovsky, D., &amp; Schoenbaum, G. (2018). Orbitofrontal neurons signal sensory associations underlying model-based inference in a sensory preconditioning task. </w:t>
      </w:r>
      <w:r w:rsidRPr="00D45447">
        <w:rPr>
          <w:rFonts w:ascii="Times New Roman" w:hAnsi="Times New Roman" w:cs="Times New Roman"/>
          <w:i/>
          <w:iCs/>
          <w:noProof/>
          <w:sz w:val="24"/>
          <w:szCs w:val="24"/>
        </w:rPr>
        <w:t>ELife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7</w:t>
      </w:r>
      <w:r w:rsidRPr="00D45447">
        <w:rPr>
          <w:rFonts w:ascii="Times New Roman" w:hAnsi="Times New Roman" w:cs="Times New Roman"/>
          <w:noProof/>
          <w:sz w:val="24"/>
          <w:szCs w:val="24"/>
        </w:rPr>
        <w:t>, e30373. https://doi.org/10.7554/eLife.30373</w:t>
      </w:r>
    </w:p>
    <w:p w14:paraId="782DADB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Schoenbaum, G., Nugent, S. L., Saddoris, M. P., &amp; Setlow, B. (2002). Orbitofrontal lesions in rats impair reversal but not acquisition of go, no-go odor discriminations. </w:t>
      </w:r>
      <w:r w:rsidRPr="00D45447">
        <w:rPr>
          <w:rFonts w:ascii="Times New Roman" w:hAnsi="Times New Roman" w:cs="Times New Roman"/>
          <w:i/>
          <w:iCs/>
          <w:noProof/>
          <w:sz w:val="24"/>
          <w:szCs w:val="24"/>
        </w:rPr>
        <w:t>Neuroreport</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13</w:t>
      </w:r>
      <w:r w:rsidRPr="00D45447">
        <w:rPr>
          <w:rFonts w:ascii="Times New Roman" w:hAnsi="Times New Roman" w:cs="Times New Roman"/>
          <w:noProof/>
          <w:sz w:val="24"/>
          <w:szCs w:val="24"/>
        </w:rPr>
        <w:t>(6), 885–890. http://graphics.tx.ovid.com/ovftpdfs/FPDDMCOKLECKGD00/fs047/ovft/live/gv024/00001756/00001756-200205070-00030.pdf</w:t>
      </w:r>
    </w:p>
    <w:p w14:paraId="0B6DB1EE"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Schoenbaum, G., Roesch, M. R., Stalnaker, T. A., &amp; Takahashi, Y. K. (2009). A new perspective on the role of the orbitofrontal cortex in adaptive behaviour. </w:t>
      </w:r>
      <w:r w:rsidRPr="00D45447">
        <w:rPr>
          <w:rFonts w:ascii="Times New Roman" w:hAnsi="Times New Roman" w:cs="Times New Roman"/>
          <w:i/>
          <w:iCs/>
          <w:noProof/>
          <w:sz w:val="24"/>
          <w:szCs w:val="24"/>
        </w:rPr>
        <w:t>Nature Reviews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10</w:t>
      </w:r>
      <w:r w:rsidRPr="00D45447">
        <w:rPr>
          <w:rFonts w:ascii="Times New Roman" w:hAnsi="Times New Roman" w:cs="Times New Roman"/>
          <w:noProof/>
          <w:sz w:val="24"/>
          <w:szCs w:val="24"/>
        </w:rPr>
        <w:t>(12), 885–892. https://doi.org/Doi 10.1038/Nrn2753</w:t>
      </w:r>
    </w:p>
    <w:p w14:paraId="0A4F9B5B"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Schoenbaum, G., Setlow, B., Nugent, S. L., Saddoris, M. P., &amp; Gallagher, M. (2003). Lesions of orbitofrontal cortex and basolateral amygdala complex disrupt acquisition of odor-guided discriminations and reversals. </w:t>
      </w:r>
      <w:r w:rsidRPr="00D45447">
        <w:rPr>
          <w:rFonts w:ascii="Times New Roman" w:hAnsi="Times New Roman" w:cs="Times New Roman"/>
          <w:i/>
          <w:iCs/>
          <w:noProof/>
          <w:sz w:val="24"/>
          <w:szCs w:val="24"/>
        </w:rPr>
        <w:t>Learning &amp; Memory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10</w:t>
      </w:r>
      <w:r w:rsidRPr="00D45447">
        <w:rPr>
          <w:rFonts w:ascii="Times New Roman" w:hAnsi="Times New Roman" w:cs="Times New Roman"/>
          <w:noProof/>
          <w:sz w:val="24"/>
          <w:szCs w:val="24"/>
        </w:rPr>
        <w:t>(2), 129–140. https://doi.org/Doi 10.1101/Lm.55203</w:t>
      </w:r>
    </w:p>
    <w:p w14:paraId="2B07A5C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Schoenbaum, G., Takahashi, Y. K., Liu, T., &amp; McDannald, M. A. (2011). Does the orbitofrontal cortex signal value? </w:t>
      </w:r>
      <w:r w:rsidRPr="00D45447">
        <w:rPr>
          <w:rFonts w:ascii="Times New Roman" w:hAnsi="Times New Roman" w:cs="Times New Roman"/>
          <w:i/>
          <w:iCs/>
          <w:noProof/>
          <w:sz w:val="24"/>
          <w:szCs w:val="24"/>
        </w:rPr>
        <w:t>Ann N Y Acad Sci</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1239</w:t>
      </w:r>
      <w:r w:rsidRPr="00D45447">
        <w:rPr>
          <w:rFonts w:ascii="Times New Roman" w:hAnsi="Times New Roman" w:cs="Times New Roman"/>
          <w:noProof/>
          <w:sz w:val="24"/>
          <w:szCs w:val="24"/>
        </w:rPr>
        <w:t>(1), 87–99. https://doi.org/10.1111/j.1749-6632.2011.06210.x</w:t>
      </w:r>
    </w:p>
    <w:p w14:paraId="5F6EEA0D"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Schultz, W. (1998). Predictive reward signal of dopamine neurons. </w:t>
      </w:r>
      <w:r w:rsidRPr="00D45447">
        <w:rPr>
          <w:rFonts w:ascii="Times New Roman" w:hAnsi="Times New Roman" w:cs="Times New Roman"/>
          <w:i/>
          <w:iCs/>
          <w:noProof/>
          <w:sz w:val="24"/>
          <w:szCs w:val="24"/>
        </w:rPr>
        <w:t>Journal of Neurophysiology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80</w:t>
      </w:r>
      <w:r w:rsidRPr="00D45447">
        <w:rPr>
          <w:rFonts w:ascii="Times New Roman" w:hAnsi="Times New Roman" w:cs="Times New Roman"/>
          <w:noProof/>
          <w:sz w:val="24"/>
          <w:szCs w:val="24"/>
        </w:rPr>
        <w:t>(1), 1–27.</w:t>
      </w:r>
    </w:p>
    <w:p w14:paraId="3D15E81D"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Sharpe, M. J., Chang, C. Y., Liu, M. A., Batchelor, H. M., Mueller, L. E., Jones, J. L., Niv, Y., &amp; Schoenbaum, G. (2017a). Dopamine transients are sufficient and necessary for acquisition of model-based associations.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https://doi.org/10.1038/nn.4538</w:t>
      </w:r>
    </w:p>
    <w:p w14:paraId="0C766FE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Sharpe, M. J., Chang, C. Y., Liu, M. A., Batchelor, H. M., Mueller, L. E., Jones, J. L., Niv, Y., &amp; Schoenbaum, G. (2017b). Dopamine transients are sufficient and necessary for acquisition of model-based associations.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20</w:t>
      </w:r>
      <w:r w:rsidRPr="00D45447">
        <w:rPr>
          <w:rFonts w:ascii="Times New Roman" w:hAnsi="Times New Roman" w:cs="Times New Roman"/>
          <w:noProof/>
          <w:sz w:val="24"/>
          <w:szCs w:val="24"/>
        </w:rPr>
        <w:t>(5), 735–742. https://doi.org/10.1038/nn.4538</w:t>
      </w:r>
    </w:p>
    <w:p w14:paraId="36AF18A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Sharpe, M. J., Wikenheiser, A. M., Niv, Y., &amp; Schoenbaum, G. (2015). The State of the Orbitofrontal Cortex.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88</w:t>
      </w:r>
      <w:r w:rsidRPr="00D45447">
        <w:rPr>
          <w:rFonts w:ascii="Times New Roman" w:hAnsi="Times New Roman" w:cs="Times New Roman"/>
          <w:noProof/>
          <w:sz w:val="24"/>
          <w:szCs w:val="24"/>
        </w:rPr>
        <w:t>(6), 1075–1077. https://doi.org/10.1016/j.neuron.2015.12.004</w:t>
      </w:r>
    </w:p>
    <w:p w14:paraId="7651998E"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lastRenderedPageBreak/>
        <w:t xml:space="preserve">Shettleworth, S. J. (1994). Commentary: What are behavior systems and what use are they? </w:t>
      </w:r>
      <w:r w:rsidRPr="00D45447">
        <w:rPr>
          <w:rFonts w:ascii="Times New Roman" w:hAnsi="Times New Roman" w:cs="Times New Roman"/>
          <w:i/>
          <w:iCs/>
          <w:noProof/>
          <w:sz w:val="24"/>
          <w:szCs w:val="24"/>
        </w:rPr>
        <w:t>Psychonomic Bulletin &amp; Review</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w:t>
      </w:r>
      <w:r w:rsidRPr="00D45447">
        <w:rPr>
          <w:rFonts w:ascii="Times New Roman" w:hAnsi="Times New Roman" w:cs="Times New Roman"/>
          <w:noProof/>
          <w:sz w:val="24"/>
          <w:szCs w:val="24"/>
        </w:rPr>
        <w:t>(4), 451–456. https://doi.org/10.3758/BF03210949</w:t>
      </w:r>
    </w:p>
    <w:p w14:paraId="337CC317"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Singmann, H., Bolker, B., Westfall, J., Aust, F., Højsgaard, S., Fox, J., Lawrence, M. A., Mertens, U., &amp; Love, J. (2020). afex: analysis of factorial experiments. </w:t>
      </w:r>
      <w:r w:rsidRPr="00D45447">
        <w:rPr>
          <w:rFonts w:ascii="Times New Roman" w:hAnsi="Times New Roman" w:cs="Times New Roman"/>
          <w:i/>
          <w:iCs/>
          <w:noProof/>
          <w:sz w:val="24"/>
          <w:szCs w:val="24"/>
        </w:rPr>
        <w:t>R Package Version 0.27-2</w:t>
      </w:r>
      <w:r w:rsidRPr="00D45447">
        <w:rPr>
          <w:rFonts w:ascii="Times New Roman" w:hAnsi="Times New Roman" w:cs="Times New Roman"/>
          <w:noProof/>
          <w:sz w:val="24"/>
          <w:szCs w:val="24"/>
        </w:rPr>
        <w:t>. https://cran.r-project.org/package=afex</w:t>
      </w:r>
    </w:p>
    <w:p w14:paraId="54550F6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Stalnaker, T. A., Cooch, N. K., McDannald, M. A., Liu, T. L., Wied, H., Schoenbaum, G., Tzu-Lan, L., Wied, H., &amp; Schoenbaum, G. (2014). Orbitofrontal neurons infer the value and identity of predicted outcomes. </w:t>
      </w:r>
      <w:r w:rsidRPr="00D45447">
        <w:rPr>
          <w:rFonts w:ascii="Times New Roman" w:hAnsi="Times New Roman" w:cs="Times New Roman"/>
          <w:i/>
          <w:iCs/>
          <w:noProof/>
          <w:sz w:val="24"/>
          <w:szCs w:val="24"/>
        </w:rPr>
        <w:t>Nat Commun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5</w:t>
      </w:r>
      <w:r w:rsidRPr="00D45447">
        <w:rPr>
          <w:rFonts w:ascii="Times New Roman" w:hAnsi="Times New Roman" w:cs="Times New Roman"/>
          <w:noProof/>
          <w:sz w:val="24"/>
          <w:szCs w:val="24"/>
        </w:rPr>
        <w:t>, 3926. https://doi.org/10.1038/ncomms4926</w:t>
      </w:r>
    </w:p>
    <w:p w14:paraId="5E3D28F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Stalnaker, T. A., Cooch, N. K., &amp; Schoenbaum, G. (2015). What the orbitofrontal cortex does not do. In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https://doi.org/10.1038/nn.3982</w:t>
      </w:r>
    </w:p>
    <w:p w14:paraId="6B59E5F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Stalnaker, T. A., Franz, T. M., Singh, T., &amp; Schoenbaum, G. (2007). Basolateral amygdala lesions abolish orbitofrontal-dependent reversal impairments.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54</w:t>
      </w:r>
      <w:r w:rsidRPr="00D45447">
        <w:rPr>
          <w:rFonts w:ascii="Times New Roman" w:hAnsi="Times New Roman" w:cs="Times New Roman"/>
          <w:noProof/>
          <w:sz w:val="24"/>
          <w:szCs w:val="24"/>
        </w:rPr>
        <w:t>(1), 51–58. https://doi.org/DOI 10.1016/j.neuron.2007.02.014</w:t>
      </w:r>
    </w:p>
    <w:p w14:paraId="72D9460B"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Stalnaker, T. A., Liu, T.-L., Takahashi, Y. K., &amp; Schoenbaum, G. (2018). Orbitofrontal neurons signal reward predictions, not reward prediction errors. </w:t>
      </w:r>
      <w:r w:rsidRPr="00D45447">
        <w:rPr>
          <w:rFonts w:ascii="Times New Roman" w:hAnsi="Times New Roman" w:cs="Times New Roman"/>
          <w:i/>
          <w:iCs/>
          <w:noProof/>
          <w:sz w:val="24"/>
          <w:szCs w:val="24"/>
        </w:rPr>
        <w:t>Neurobiology of Learning and Memory</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153</w:t>
      </w:r>
      <w:r w:rsidRPr="00D45447">
        <w:rPr>
          <w:rFonts w:ascii="Times New Roman" w:hAnsi="Times New Roman" w:cs="Times New Roman"/>
          <w:noProof/>
          <w:sz w:val="24"/>
          <w:szCs w:val="24"/>
        </w:rPr>
        <w:t>, 137–143. https://doi.org/10.1016/J.NLM.2018.01.013</w:t>
      </w:r>
    </w:p>
    <w:p w14:paraId="14610F1B"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Steinberg, E. E., Keiflin, R., Boivin, J. R., Witten, I. B., Deisseroth, K., &amp; Janak, P. H. (2013). A causal link between prediction errors, dopamine neurons and learning.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16</w:t>
      </w:r>
      <w:r w:rsidRPr="00D45447">
        <w:rPr>
          <w:rFonts w:ascii="Times New Roman" w:hAnsi="Times New Roman" w:cs="Times New Roman"/>
          <w:noProof/>
          <w:sz w:val="24"/>
          <w:szCs w:val="24"/>
        </w:rPr>
        <w:t>(7), 966–973. https://doi.org/10.1038/nn.3413</w:t>
      </w:r>
    </w:p>
    <w:p w14:paraId="6A8D4311"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Stephens, D. N., &amp; Krebs, J. (1986). </w:t>
      </w:r>
      <w:r w:rsidRPr="00D45447">
        <w:rPr>
          <w:rFonts w:ascii="Times New Roman" w:hAnsi="Times New Roman" w:cs="Times New Roman"/>
          <w:i/>
          <w:iCs/>
          <w:noProof/>
          <w:sz w:val="24"/>
          <w:szCs w:val="24"/>
        </w:rPr>
        <w:t>Foraging Theory</w:t>
      </w:r>
      <w:r w:rsidRPr="00D45447">
        <w:rPr>
          <w:rFonts w:ascii="Times New Roman" w:hAnsi="Times New Roman" w:cs="Times New Roman"/>
          <w:noProof/>
          <w:sz w:val="24"/>
          <w:szCs w:val="24"/>
        </w:rPr>
        <w:t>. Princeton University Press.</w:t>
      </w:r>
    </w:p>
    <w:p w14:paraId="4852CF39"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Stolyarova, A., &amp; Izquierdo, A. (2017). Complementary contributions of basolateral amygdala and orbitofrontal cortex to value learning under uncertainty. </w:t>
      </w:r>
      <w:r w:rsidRPr="00D45447">
        <w:rPr>
          <w:rFonts w:ascii="Times New Roman" w:hAnsi="Times New Roman" w:cs="Times New Roman"/>
          <w:i/>
          <w:iCs/>
          <w:noProof/>
          <w:sz w:val="24"/>
          <w:szCs w:val="24"/>
        </w:rPr>
        <w:t>ELife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6</w:t>
      </w:r>
      <w:r w:rsidRPr="00D45447">
        <w:rPr>
          <w:rFonts w:ascii="Times New Roman" w:hAnsi="Times New Roman" w:cs="Times New Roman"/>
          <w:noProof/>
          <w:sz w:val="24"/>
          <w:szCs w:val="24"/>
        </w:rPr>
        <w:t>, e27483. https://doi.org/10.7554/eLife.27483</w:t>
      </w:r>
    </w:p>
    <w:p w14:paraId="2BE494B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Sutton, R. S., &amp; Barto, A. G. (1998). </w:t>
      </w:r>
      <w:r w:rsidRPr="00D45447">
        <w:rPr>
          <w:rFonts w:ascii="Times New Roman" w:hAnsi="Times New Roman" w:cs="Times New Roman"/>
          <w:i/>
          <w:iCs/>
          <w:noProof/>
          <w:sz w:val="24"/>
          <w:szCs w:val="24"/>
        </w:rPr>
        <w:t>Reinforccement Learning: An introduction</w:t>
      </w:r>
      <w:r w:rsidRPr="00D45447">
        <w:rPr>
          <w:rFonts w:ascii="Times New Roman" w:hAnsi="Times New Roman" w:cs="Times New Roman"/>
          <w:noProof/>
          <w:sz w:val="24"/>
          <w:szCs w:val="24"/>
        </w:rPr>
        <w:t>. The MIT Press.</w:t>
      </w:r>
    </w:p>
    <w:p w14:paraId="7B296C71"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Takahashi, Y. K., Chang, C. Y., Lucantonio, F., Haney, R. Z., Berg, B. A., Yau, H.-J., Bonci, A., &amp; Schoenbaum, G. (2013). Neural estimates of imagined outcomes in the orbitofrontal cortex drive behavior and learning.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80</w:t>
      </w:r>
      <w:r w:rsidRPr="00D45447">
        <w:rPr>
          <w:rFonts w:ascii="Times New Roman" w:hAnsi="Times New Roman" w:cs="Times New Roman"/>
          <w:noProof/>
          <w:sz w:val="24"/>
          <w:szCs w:val="24"/>
        </w:rPr>
        <w:t>, 507–518. http://ac.els-cdn.com/S0896627313007198/1-s2.0-S0896627313007198-main.pdf?_tid=97ea45dc-cbcc-11e4-9c0e-00000aacb362&amp;acdnat=1426504211_80b43da207445d70382dd3274f8c4f11</w:t>
      </w:r>
    </w:p>
    <w:p w14:paraId="7F322DF2"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Takahashi, Y. K., Roesch, M. R., Stalnaker, T. A., Haney, R. Z., Caiu, D. J., Taylor, A. R., Burke, K. A., Schoenbaum, G., Calu, D. J., Taylor, A. R., Burke, K. A., &amp; Schoenbaum, G. (2009). The Orbitofrontal Cortex and Ventral Tegmental Area Are Necessary for Learning from Unexpected Outcomes.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62</w:t>
      </w:r>
      <w:r w:rsidRPr="00D45447">
        <w:rPr>
          <w:rFonts w:ascii="Times New Roman" w:hAnsi="Times New Roman" w:cs="Times New Roman"/>
          <w:noProof/>
          <w:sz w:val="24"/>
          <w:szCs w:val="24"/>
        </w:rPr>
        <w:t>(2), 269–280. https://doi.org/DOI 10.1016/j.neuron.2009.03.005</w:t>
      </w:r>
    </w:p>
    <w:p w14:paraId="4319A9B4"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Takahashi, Y. K., Roesch, M. R., Wilson, R. C., Toreson, K., O’Donnell, P., Niv, Y., &amp; Schoenbaum, G. (2011). Expectancy-related changes in firing of dopamine neurons depend on orbitofrontal cortex. </w:t>
      </w:r>
      <w:r w:rsidRPr="00D45447">
        <w:rPr>
          <w:rFonts w:ascii="Times New Roman" w:hAnsi="Times New Roman" w:cs="Times New Roman"/>
          <w:i/>
          <w:iCs/>
          <w:noProof/>
          <w:sz w:val="24"/>
          <w:szCs w:val="24"/>
        </w:rPr>
        <w:t>Nature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14</w:t>
      </w:r>
      <w:r w:rsidRPr="00D45447">
        <w:rPr>
          <w:rFonts w:ascii="Times New Roman" w:hAnsi="Times New Roman" w:cs="Times New Roman"/>
          <w:noProof/>
          <w:sz w:val="24"/>
          <w:szCs w:val="24"/>
        </w:rPr>
        <w:t>(12), 1590–1597. https://doi.org/10.1038/nn.2957</w:t>
      </w:r>
    </w:p>
    <w:p w14:paraId="4A9043EB"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Timberlake, W. (1994). Behavior systems, associationism, and Pavlovian conditioning. </w:t>
      </w:r>
      <w:r w:rsidRPr="00D45447">
        <w:rPr>
          <w:rFonts w:ascii="Times New Roman" w:hAnsi="Times New Roman" w:cs="Times New Roman"/>
          <w:i/>
          <w:iCs/>
          <w:noProof/>
          <w:sz w:val="24"/>
          <w:szCs w:val="24"/>
        </w:rPr>
        <w:t xml:space="preserve">Psychon </w:t>
      </w:r>
      <w:r w:rsidRPr="00D45447">
        <w:rPr>
          <w:rFonts w:ascii="Times New Roman" w:hAnsi="Times New Roman" w:cs="Times New Roman"/>
          <w:i/>
          <w:iCs/>
          <w:noProof/>
          <w:sz w:val="24"/>
          <w:szCs w:val="24"/>
        </w:rPr>
        <w:lastRenderedPageBreak/>
        <w:t>Bull Rev</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w:t>
      </w:r>
      <w:r w:rsidRPr="00D45447">
        <w:rPr>
          <w:rFonts w:ascii="Times New Roman" w:hAnsi="Times New Roman" w:cs="Times New Roman"/>
          <w:noProof/>
          <w:sz w:val="24"/>
          <w:szCs w:val="24"/>
        </w:rPr>
        <w:t>(4), 405–420. https://doi.org/10.3758/BF03210945</w:t>
      </w:r>
    </w:p>
    <w:p w14:paraId="1B8A6CE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Wagner, A. R. (1981). SOP: A model of automatic memory processing in animal behavior. In N. E. Spear (Ed.), </w:t>
      </w:r>
      <w:r w:rsidRPr="00D45447">
        <w:rPr>
          <w:rFonts w:ascii="Times New Roman" w:hAnsi="Times New Roman" w:cs="Times New Roman"/>
          <w:i/>
          <w:iCs/>
          <w:noProof/>
          <w:sz w:val="24"/>
          <w:szCs w:val="24"/>
        </w:rPr>
        <w:t>Information processing in animals: Memory mechanisms</w:t>
      </w:r>
      <w:r w:rsidRPr="00D45447">
        <w:rPr>
          <w:rFonts w:ascii="Times New Roman" w:hAnsi="Times New Roman" w:cs="Times New Roman"/>
          <w:noProof/>
          <w:sz w:val="24"/>
          <w:szCs w:val="24"/>
        </w:rPr>
        <w:t xml:space="preserve"> (pp. 5–47). Erlbaum.</w:t>
      </w:r>
    </w:p>
    <w:p w14:paraId="2881C925"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Walton, M. E., Behrens, T. E., Buckley, M. J., Rudebeck, P. H., &amp; Rushworth, M. F. (2010). Separable learning systems in the macaque brain and the role of orbitofrontal cortex in contingent learning.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65</w:t>
      </w:r>
      <w:r w:rsidRPr="00D45447">
        <w:rPr>
          <w:rFonts w:ascii="Times New Roman" w:hAnsi="Times New Roman" w:cs="Times New Roman"/>
          <w:noProof/>
          <w:sz w:val="24"/>
          <w:szCs w:val="24"/>
        </w:rPr>
        <w:t>(6), 927–939. https://doi.org/10.1016/j.neuron.2010.02.027</w:t>
      </w:r>
    </w:p>
    <w:p w14:paraId="160E4C63"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Walton, M. E., Behrens, T. E., Noonan, M. P., &amp; Rushworth, M. F. (2011). Giving credit where credit is due: orbitofrontal cortex and valuation in an uncertain world. </w:t>
      </w:r>
      <w:r w:rsidRPr="00D45447">
        <w:rPr>
          <w:rFonts w:ascii="Times New Roman" w:hAnsi="Times New Roman" w:cs="Times New Roman"/>
          <w:i/>
          <w:iCs/>
          <w:noProof/>
          <w:sz w:val="24"/>
          <w:szCs w:val="24"/>
        </w:rPr>
        <w:t>Ann N Y Acad Sci</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1239</w:t>
      </w:r>
      <w:r w:rsidRPr="00D45447">
        <w:rPr>
          <w:rFonts w:ascii="Times New Roman" w:hAnsi="Times New Roman" w:cs="Times New Roman"/>
          <w:noProof/>
          <w:sz w:val="24"/>
          <w:szCs w:val="24"/>
        </w:rPr>
        <w:t>, 14–24. http://onlinelibrary.wiley.com/doi/10.1111/j.1749-6632.2011.06257.x/abstract</w:t>
      </w:r>
    </w:p>
    <w:p w14:paraId="3D95316E"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Wang, P. Y., Boboila, C., Chin, M., Stein, N. P., Abbott, L. F., Axel, R., Wang, P. Y., Boboila, C., Chin, M., Higashi-howard, A., Shamash, P., &amp; Wu, Z. (2020). </w:t>
      </w:r>
      <w:r w:rsidRPr="00D45447">
        <w:rPr>
          <w:rFonts w:ascii="Times New Roman" w:hAnsi="Times New Roman" w:cs="Times New Roman"/>
          <w:i/>
          <w:iCs/>
          <w:noProof/>
          <w:sz w:val="24"/>
          <w:szCs w:val="24"/>
        </w:rPr>
        <w:t>Article Transient and Persistent Representations of Odor Value in Prefrontal Cortex Article Transient and Persistent Representations of Odor Value in Prefrontal Cortex</w:t>
      </w:r>
      <w:r w:rsidRPr="00D45447">
        <w:rPr>
          <w:rFonts w:ascii="Times New Roman" w:hAnsi="Times New Roman" w:cs="Times New Roman"/>
          <w:noProof/>
          <w:sz w:val="24"/>
          <w:szCs w:val="24"/>
        </w:rPr>
        <w:t>. 1–16.</w:t>
      </w:r>
    </w:p>
    <w:p w14:paraId="1F961D08"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West, E. A., DesJardin, J. T., Gale, K., &amp; Malkova, L. (2011). Transient Inactivation of Orbitofrontal Cortex Blocks Reinforcer Devaluation in Macaques. </w:t>
      </w:r>
      <w:r w:rsidRPr="00D45447">
        <w:rPr>
          <w:rFonts w:ascii="Times New Roman" w:hAnsi="Times New Roman" w:cs="Times New Roman"/>
          <w:i/>
          <w:iCs/>
          <w:noProof/>
          <w:sz w:val="24"/>
          <w:szCs w:val="24"/>
        </w:rPr>
        <w:t>The Journal of Neuroscience : The Official Journal of the Society for Neuroscience</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31</w:t>
      </w:r>
      <w:r w:rsidRPr="00D45447">
        <w:rPr>
          <w:rFonts w:ascii="Times New Roman" w:hAnsi="Times New Roman" w:cs="Times New Roman"/>
          <w:noProof/>
          <w:sz w:val="24"/>
          <w:szCs w:val="24"/>
        </w:rPr>
        <w:t>(42), 15128–15135. https://doi.org/10.1523/JNEUROSCI.3295-11.2011</w:t>
      </w:r>
    </w:p>
    <w:p w14:paraId="5CE48E1A"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West, E. A., Forcelli, P. A., McCue, D. L., &amp; Malkova, L. (2013). Differential effects of serotonin-specific and excitotoxic lesions of OFC on conditioned reinforcer devaluation and extinction in rats. </w:t>
      </w:r>
      <w:r w:rsidRPr="00D45447">
        <w:rPr>
          <w:rFonts w:ascii="Times New Roman" w:hAnsi="Times New Roman" w:cs="Times New Roman"/>
          <w:i/>
          <w:iCs/>
          <w:noProof/>
          <w:sz w:val="24"/>
          <w:szCs w:val="24"/>
        </w:rPr>
        <w:t>Behavioural Brain Research</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246</w:t>
      </w:r>
      <w:r w:rsidRPr="00D45447">
        <w:rPr>
          <w:rFonts w:ascii="Times New Roman" w:hAnsi="Times New Roman" w:cs="Times New Roman"/>
          <w:noProof/>
          <w:sz w:val="24"/>
          <w:szCs w:val="24"/>
        </w:rPr>
        <w:t>, 10–14. https://doi.org/10.1016/j.bbr.2013.02.027</w:t>
      </w:r>
    </w:p>
    <w:p w14:paraId="472C5F40"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szCs w:val="24"/>
        </w:rPr>
      </w:pPr>
      <w:r w:rsidRPr="00D45447">
        <w:rPr>
          <w:rFonts w:ascii="Times New Roman" w:hAnsi="Times New Roman" w:cs="Times New Roman"/>
          <w:noProof/>
          <w:sz w:val="24"/>
          <w:szCs w:val="24"/>
        </w:rPr>
        <w:t xml:space="preserve">Wilson, R. C., Takahashi, Y. K., Schoenbaum, G., &amp; Niv, Y. (2014). Orbitofrontal cortex as a cognitive map of task space. </w:t>
      </w:r>
      <w:r w:rsidRPr="00D45447">
        <w:rPr>
          <w:rFonts w:ascii="Times New Roman" w:hAnsi="Times New Roman" w:cs="Times New Roman"/>
          <w:i/>
          <w:iCs/>
          <w:noProof/>
          <w:sz w:val="24"/>
          <w:szCs w:val="24"/>
        </w:rPr>
        <w:t>Neuron</w:t>
      </w:r>
      <w:r w:rsidRPr="00D45447">
        <w:rPr>
          <w:rFonts w:ascii="Times New Roman" w:hAnsi="Times New Roman" w:cs="Times New Roman"/>
          <w:noProof/>
          <w:sz w:val="24"/>
          <w:szCs w:val="24"/>
        </w:rPr>
        <w:t xml:space="preserve">, </w:t>
      </w:r>
      <w:r w:rsidRPr="00D45447">
        <w:rPr>
          <w:rFonts w:ascii="Times New Roman" w:hAnsi="Times New Roman" w:cs="Times New Roman"/>
          <w:i/>
          <w:iCs/>
          <w:noProof/>
          <w:sz w:val="24"/>
          <w:szCs w:val="24"/>
        </w:rPr>
        <w:t>81</w:t>
      </w:r>
      <w:r w:rsidRPr="00D45447">
        <w:rPr>
          <w:rFonts w:ascii="Times New Roman" w:hAnsi="Times New Roman" w:cs="Times New Roman"/>
          <w:noProof/>
          <w:sz w:val="24"/>
          <w:szCs w:val="24"/>
        </w:rPr>
        <w:t>(2), 267–279. https://doi.org/10.1016/j.neuron.2013.11.005</w:t>
      </w:r>
    </w:p>
    <w:p w14:paraId="0C4EF1FF" w14:textId="77777777" w:rsidR="00D45447" w:rsidRPr="00D45447" w:rsidRDefault="00D45447" w:rsidP="00D45447">
      <w:pPr>
        <w:widowControl w:val="0"/>
        <w:autoSpaceDE w:val="0"/>
        <w:autoSpaceDN w:val="0"/>
        <w:adjustRightInd w:val="0"/>
        <w:spacing w:line="240" w:lineRule="auto"/>
        <w:ind w:left="480" w:hanging="480"/>
        <w:rPr>
          <w:rFonts w:ascii="Times New Roman" w:hAnsi="Times New Roman" w:cs="Times New Roman"/>
          <w:noProof/>
          <w:sz w:val="24"/>
        </w:rPr>
      </w:pPr>
      <w:r w:rsidRPr="00D45447">
        <w:rPr>
          <w:rFonts w:ascii="Times New Roman" w:hAnsi="Times New Roman" w:cs="Times New Roman"/>
          <w:noProof/>
          <w:sz w:val="24"/>
          <w:szCs w:val="24"/>
        </w:rPr>
        <w:t xml:space="preserve">Zhou, J., Gardner, M. P. H., Stalnaker, T. A., Ramus, S. J., Wikenheiser, A. M., Niv, Y., &amp; Schoenbaum, G. (2019). Rat Orbitofrontal Ensemble Activity Contains Multiplexed but Dissociable Representations of Value and Task Structure in an Odor Sequence Task. </w:t>
      </w:r>
      <w:r w:rsidRPr="00D45447">
        <w:rPr>
          <w:rFonts w:ascii="Times New Roman" w:hAnsi="Times New Roman" w:cs="Times New Roman"/>
          <w:i/>
          <w:iCs/>
          <w:noProof/>
          <w:sz w:val="24"/>
          <w:szCs w:val="24"/>
        </w:rPr>
        <w:t>Current Biology</w:t>
      </w:r>
      <w:r w:rsidRPr="00D45447">
        <w:rPr>
          <w:rFonts w:ascii="Times New Roman" w:hAnsi="Times New Roman" w:cs="Times New Roman"/>
          <w:noProof/>
          <w:sz w:val="24"/>
          <w:szCs w:val="24"/>
        </w:rPr>
        <w:t>. https://doi.org/10.1016/j.cub.2019.01.048</w:t>
      </w:r>
    </w:p>
    <w:p w14:paraId="657AC912" w14:textId="2D739792" w:rsidR="00D64DFD" w:rsidRDefault="00D64DFD" w:rsidP="00C75CA1">
      <w:pPr>
        <w:ind w:firstLine="720"/>
        <w:rPr>
          <w:rFonts w:ascii="Times New Roman" w:hAnsi="Times New Roman" w:cs="Times New Roman"/>
          <w:bCs/>
          <w:sz w:val="24"/>
          <w:szCs w:val="24"/>
        </w:rPr>
      </w:pPr>
      <w:r>
        <w:rPr>
          <w:rFonts w:ascii="Times New Roman" w:hAnsi="Times New Roman" w:cs="Times New Roman"/>
          <w:bCs/>
          <w:sz w:val="24"/>
          <w:szCs w:val="24"/>
        </w:rPr>
        <w:fldChar w:fldCharType="end"/>
      </w:r>
    </w:p>
    <w:p w14:paraId="2DF70006" w14:textId="77777777" w:rsidR="007F67D5" w:rsidRDefault="007F67D5" w:rsidP="007F67D5">
      <w:pPr>
        <w:rPr>
          <w:rFonts w:ascii="Times New Roman" w:hAnsi="Times New Roman" w:cs="Times New Roman"/>
          <w:bCs/>
          <w:sz w:val="24"/>
          <w:szCs w:val="24"/>
        </w:rPr>
      </w:pPr>
    </w:p>
    <w:p w14:paraId="77C8C0B1" w14:textId="77777777" w:rsidR="007F67D5" w:rsidRDefault="007F67D5" w:rsidP="007F67D5">
      <w:pPr>
        <w:rPr>
          <w:rFonts w:ascii="Times New Roman" w:hAnsi="Times New Roman" w:cs="Times New Roman"/>
          <w:bCs/>
          <w:sz w:val="24"/>
          <w:szCs w:val="24"/>
        </w:rPr>
      </w:pPr>
    </w:p>
    <w:p w14:paraId="7FEB8C73" w14:textId="0A7817E9" w:rsidR="006B4DE6" w:rsidRDefault="006B4DE6" w:rsidP="00F56CB9">
      <w:pPr>
        <w:pStyle w:val="BodyText"/>
        <w:rPr>
          <w:b/>
          <w:bCs/>
        </w:rPr>
      </w:pPr>
    </w:p>
    <w:p w14:paraId="3C3A0110" w14:textId="18479E3A" w:rsidR="006B4DE6" w:rsidRDefault="006B4DE6">
      <w:pPr>
        <w:rPr>
          <w:b/>
          <w:bCs/>
          <w:sz w:val="24"/>
          <w:szCs w:val="24"/>
        </w:rPr>
      </w:pPr>
      <w:r>
        <w:rPr>
          <w:b/>
          <w:bCs/>
        </w:rPr>
        <w:br w:type="page"/>
      </w:r>
    </w:p>
    <w:p w14:paraId="741586B2" w14:textId="77777777" w:rsidR="006B4DE6" w:rsidRPr="006E359C" w:rsidRDefault="006B4DE6" w:rsidP="006B4DE6">
      <w:pPr>
        <w:spacing w:line="360" w:lineRule="auto"/>
        <w:rPr>
          <w:rFonts w:ascii="Times New Roman" w:hAnsi="Times New Roman" w:cs="Times New Roman"/>
          <w:b/>
          <w:bCs/>
          <w:sz w:val="24"/>
          <w:szCs w:val="24"/>
        </w:rPr>
      </w:pPr>
      <w:r w:rsidRPr="006E359C">
        <w:rPr>
          <w:rFonts w:ascii="Times New Roman" w:hAnsi="Times New Roman" w:cs="Times New Roman"/>
          <w:b/>
          <w:bCs/>
          <w:sz w:val="24"/>
          <w:szCs w:val="24"/>
        </w:rPr>
        <w:lastRenderedPageBreak/>
        <w:t>Methods and materials</w:t>
      </w:r>
    </w:p>
    <w:p w14:paraId="78DD571E" w14:textId="77777777" w:rsidR="006B4DE6" w:rsidRPr="00CB3771" w:rsidRDefault="006B4DE6" w:rsidP="006B4DE6">
      <w:pPr>
        <w:spacing w:after="240"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Animals.</w:t>
      </w:r>
      <w:r w:rsidRPr="00CB3771">
        <w:rPr>
          <w:rFonts w:ascii="Times New Roman" w:hAnsi="Times New Roman" w:cs="Times New Roman"/>
          <w:sz w:val="24"/>
          <w:szCs w:val="24"/>
        </w:rPr>
        <w:t xml:space="preserve"> Subjects were male Long Evans rats (Monash Animal Services, Gippsland, Victoria, Australia) approximately 4 months old. Rats were housed four per cage in ventilated Plexiglass cages in a temperature regulated (22 ± 1</w:t>
      </w:r>
      <w:r w:rsidRPr="00CB3771">
        <w:rPr>
          <w:rFonts w:ascii="Times New Roman" w:hAnsi="Times New Roman" w:cs="Times New Roman"/>
          <w:sz w:val="24"/>
          <w:szCs w:val="24"/>
        </w:rPr>
        <w:softHyphen/>
        <w:t>°C) and light regulated (12h light/dark cycle, lights on at 7:00 AM) colony room. At least one week prior to behavioural testing, feeding was restricted to ensure that weight was approximately 95% of ad libitum feeding weight, and never dropped below 85%. 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5E640EDC" w14:textId="77777777"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Apparatus.</w:t>
      </w:r>
      <w:r w:rsidRPr="00CB3771">
        <w:rPr>
          <w:rFonts w:ascii="Times New Roman" w:hAnsi="Times New Roman" w:cs="Times New Roman"/>
          <w:sz w:val="24"/>
          <w:szCs w:val="24"/>
        </w:rPr>
        <w:t xml:space="preserve"> Behavioural testing was conducted in eight identical operant chambers (30.5 x 32.5 x 29.5 cm; Med Associates) individually housed within ventilated sound attenuating cabinets. Each chamber was fitted with a 3-W house light that was centrally located at the top of the left-hand wall. Food pellets could be delivered into a recessed magazine, centrally located at the bottom of the right-hand wall. Delivery of up to two separate liquid rewards via rubber tubing into the magazine was achieved using peristaltic pumps located above the testing chamber. The top of the magazine contained a white LED light that could serve as a visual stimulus. Access to the magazine was measured by infrared detectors at the mouth of the recess. Two retractable levers were located on either side of the magazine on the right-hand wall. A speaker located to the right of the house light could provide auditory stimuli to the chamber. In addition, a 5-Hz train of clicks produced by a heavy-duty relay placed outside the chamber at the back-right corner of the cabinet was used as an auditory stimulus. The chambers were wiped down with ethanol (80% v/v) between each session. A computer equipped with Med-PC software </w:t>
      </w:r>
      <w:r w:rsidRPr="00CB3771">
        <w:rPr>
          <w:rFonts w:ascii="Times New Roman" w:hAnsi="Times New Roman" w:cs="Times New Roman"/>
          <w:color w:val="000000"/>
          <w:sz w:val="24"/>
          <w:szCs w:val="24"/>
        </w:rPr>
        <w:t>(Med Associates Inc., St. Albans, VT, USA)</w:t>
      </w:r>
      <w:r w:rsidRPr="00CB3771">
        <w:rPr>
          <w:rFonts w:ascii="Times New Roman" w:hAnsi="Times New Roman" w:cs="Times New Roman"/>
          <w:sz w:val="24"/>
          <w:szCs w:val="24"/>
        </w:rPr>
        <w:t xml:space="preserve"> was used to control the experimental procedures and record data.</w:t>
      </w:r>
    </w:p>
    <w:p w14:paraId="3F9AFC97" w14:textId="77777777"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Consumption chambers.</w:t>
      </w:r>
      <w:r w:rsidRPr="00CB3771">
        <w:rPr>
          <w:rFonts w:ascii="Times New Roman" w:hAnsi="Times New Roman" w:cs="Times New Roman"/>
          <w:sz w:val="24"/>
          <w:szCs w:val="24"/>
        </w:rPr>
        <w:t xml:space="preserve"> To provide individual access to reinforcers during the satiety and devaluation procedures, rats were individually placed into an individual cage (33 x 18 x 14 cm clear Perspex cage with a wireframe top). Pellet reinforcers were presented in small glass ramekins inside the box and liquid reinforcers were presented in water bottles with a sipper tube. 1 day prior to the target procedure, all rats were exposed to the individual cages and given 30 </w:t>
      </w:r>
      <w:r w:rsidRPr="00CB3771">
        <w:rPr>
          <w:rFonts w:ascii="Times New Roman" w:hAnsi="Times New Roman" w:cs="Times New Roman"/>
          <w:sz w:val="24"/>
          <w:szCs w:val="24"/>
        </w:rPr>
        <w:lastRenderedPageBreak/>
        <w:t>mins of free access to home cage food and water to reduce novelty to the context and consuming from the ramekin and water bottles.</w:t>
      </w:r>
    </w:p>
    <w:p w14:paraId="37D9118F" w14:textId="77777777" w:rsidR="006B4DE6" w:rsidRPr="00CB3771" w:rsidRDefault="006B4DE6" w:rsidP="006B4DE6">
      <w:pPr>
        <w:spacing w:line="360" w:lineRule="auto"/>
        <w:ind w:firstLine="720"/>
        <w:rPr>
          <w:rFonts w:ascii="Times New Roman" w:hAnsi="Times New Roman" w:cs="Times New Roman"/>
          <w:i/>
          <w:sz w:val="24"/>
          <w:szCs w:val="24"/>
        </w:rPr>
      </w:pPr>
      <w:r w:rsidRPr="00CB3771">
        <w:rPr>
          <w:rFonts w:ascii="Times New Roman" w:hAnsi="Times New Roman" w:cs="Times New Roman"/>
          <w:i/>
          <w:sz w:val="24"/>
          <w:szCs w:val="24"/>
        </w:rPr>
        <w:t xml:space="preserve">Locomotor activity. </w:t>
      </w:r>
      <w:r w:rsidRPr="00CB3771">
        <w:rPr>
          <w:rFonts w:ascii="Times New Roman" w:hAnsi="Times New Roman" w:cs="Times New Roman"/>
          <w:sz w:val="24"/>
          <w:szCs w:val="24"/>
        </w:rPr>
        <w:t>Locomotor activity was assessed in eight identical boxes measuring 50 x 36x 18 cm (length x width x height), housed in a sound attenuated room. Each box consisted of 4 opaque white polyurethane walls and floor and a removable roof. In the center of the roof was an 18x40 cm grid of 3x3 mm ventilation holes. Two custom pairs of infrared beam detectors spanned the width of the box to detect locomotor activity and were located 15 cm from each end of the box. Beam breaks, corresponding to activity within the box, were recorded on a computer equipped with Med-PC software (Med Associates Inc.).</w:t>
      </w:r>
    </w:p>
    <w:p w14:paraId="1D837996" w14:textId="00709FB8"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Surgery.</w:t>
      </w:r>
      <w:r w:rsidRPr="00CB3771">
        <w:rPr>
          <w:rFonts w:ascii="Times New Roman" w:hAnsi="Times New Roman" w:cs="Times New Roman"/>
          <w:sz w:val="24"/>
          <w:szCs w:val="24"/>
        </w:rPr>
        <w:t xml:space="preserve"> Excitotoxic lesions targeting the lateral OFC were performed in </w:t>
      </w:r>
      <w:r w:rsidR="00D1493D">
        <w:rPr>
          <w:rFonts w:ascii="Times New Roman" w:hAnsi="Times New Roman" w:cs="Times New Roman"/>
          <w:sz w:val="24"/>
          <w:szCs w:val="24"/>
        </w:rPr>
        <w:t>E</w:t>
      </w:r>
      <w:r w:rsidRPr="00CB3771">
        <w:rPr>
          <w:rFonts w:ascii="Times New Roman" w:hAnsi="Times New Roman" w:cs="Times New Roman"/>
          <w:sz w:val="24"/>
          <w:szCs w:val="24"/>
        </w:rPr>
        <w:t>xperiment</w:t>
      </w:r>
      <w:r w:rsidR="00D1493D">
        <w:rPr>
          <w:rFonts w:ascii="Times New Roman" w:hAnsi="Times New Roman" w:cs="Times New Roman"/>
          <w:sz w:val="24"/>
          <w:szCs w:val="24"/>
        </w:rPr>
        <w:t xml:space="preserve"> 1 and 3</w:t>
      </w:r>
      <w:r w:rsidRPr="00CB3771">
        <w:rPr>
          <w:rFonts w:ascii="Times New Roman" w:hAnsi="Times New Roman" w:cs="Times New Roman"/>
          <w:sz w:val="24"/>
          <w:szCs w:val="24"/>
        </w:rPr>
        <w:t>. Rats were anesthetized with isoflurane, their heads shaved, and placed in a stereotaxic frame (World Precision Instruments, Inc., Sarasota, FL, USA). The scalp was incised, and the skull exposed and adjusted to flat skull position. Two small holes were drilled into the skull and the dura mater was severed to reveal the underlying cortical parenchyma. A 1-µL Hamilton needle (Hamilton Company, Reno, NV, USA) was lowered through the two holes targeting the lateral OFC (co-ordinates specified below). Stereotaxic co-ordinates were AP: +3.5 mm; ML: ±2.2 mm; D-V: -5.0 mm from bregma. At each site the needle was first left to rest for 1 min. Then an infusion of N-methyl-D-aspartic acid (NMDA; Sigma-Aldrich, Switzerland), dissolved in phosphate buffered saline (pH 7.4) to achieve a concentration of 10μg/μL, was infused for 3 mins at a rate of 0.1 µ/min. Finally, the needle was left in situ for a further 4 mins to allow the solution to diffuse into the tissue. Following the diffusion period, the syringe was retracted, and the scalp cleaned and sutured. Sham lesions proceeded identically to excitotoxic lesions except that no drugs were infused during the infusion period. After a minimum of 1 week of postoperative recovery, rats were returned to food restriction for 2 days prior to further training.</w:t>
      </w:r>
    </w:p>
    <w:p w14:paraId="57DC32C7" w14:textId="3EAC088A"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sz w:val="24"/>
          <w:szCs w:val="24"/>
        </w:rPr>
        <w:t xml:space="preserve">In </w:t>
      </w:r>
      <w:r w:rsidR="00D1493D">
        <w:rPr>
          <w:rFonts w:ascii="Times New Roman" w:hAnsi="Times New Roman" w:cs="Times New Roman"/>
          <w:sz w:val="24"/>
          <w:szCs w:val="24"/>
        </w:rPr>
        <w:t>Experiments 2, 4, 5, and 6,</w:t>
      </w:r>
      <w:r w:rsidRPr="00CB3771">
        <w:rPr>
          <w:rFonts w:ascii="Times New Roman" w:hAnsi="Times New Roman" w:cs="Times New Roman"/>
          <w:color w:val="FF0000"/>
          <w:sz w:val="24"/>
          <w:szCs w:val="24"/>
        </w:rPr>
        <w:t xml:space="preserve"> </w:t>
      </w:r>
      <w:r w:rsidRPr="00CB3771">
        <w:rPr>
          <w:rFonts w:ascii="Times New Roman" w:hAnsi="Times New Roman" w:cs="Times New Roman"/>
          <w:sz w:val="24"/>
          <w:szCs w:val="24"/>
        </w:rPr>
        <w:t xml:space="preserve">bilateral guide cannulae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w:t>
      </w:r>
      <w:r w:rsidRPr="00CB3771">
        <w:rPr>
          <w:rFonts w:ascii="Times New Roman" w:hAnsi="Times New Roman" w:cs="Times New Roman"/>
          <w:sz w:val="24"/>
          <w:szCs w:val="24"/>
        </w:rPr>
        <w:lastRenderedPageBreak/>
        <w:t>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After one week of postoperative recovery, rats were returned to food restriction for 2 days prior to further testing.</w:t>
      </w:r>
    </w:p>
    <w:p w14:paraId="3594DA7B" w14:textId="6E039B13" w:rsidR="006B4DE6" w:rsidRPr="00CB3771" w:rsidRDefault="006B4DE6" w:rsidP="006B4DE6">
      <w:pPr>
        <w:spacing w:line="360" w:lineRule="auto"/>
        <w:ind w:firstLine="720"/>
        <w:rPr>
          <w:rFonts w:ascii="Times New Roman" w:hAnsi="Times New Roman" w:cs="Times New Roman"/>
          <w:i/>
          <w:sz w:val="24"/>
          <w:szCs w:val="24"/>
        </w:rPr>
      </w:pPr>
      <w:r w:rsidRPr="00CB3771">
        <w:rPr>
          <w:rFonts w:ascii="Times New Roman" w:hAnsi="Times New Roman" w:cs="Times New Roman"/>
          <w:i/>
          <w:sz w:val="24"/>
          <w:szCs w:val="24"/>
        </w:rPr>
        <w:t xml:space="preserve">Drugs and infusions. </w:t>
      </w:r>
      <w:r w:rsidRPr="00CB3771">
        <w:rPr>
          <w:rFonts w:ascii="Times New Roman" w:hAnsi="Times New Roman" w:cs="Times New Roman"/>
          <w:sz w:val="24"/>
          <w:szCs w:val="24"/>
        </w:rPr>
        <w:t>The GABA</w:t>
      </w:r>
      <w:r w:rsidRPr="00CB3771">
        <w:rPr>
          <w:rFonts w:ascii="Times New Roman" w:hAnsi="Times New Roman" w:cs="Times New Roman"/>
          <w:sz w:val="24"/>
          <w:szCs w:val="24"/>
          <w:vertAlign w:val="subscript"/>
        </w:rPr>
        <w:t>A</w:t>
      </w:r>
      <w:r w:rsidRPr="00CB3771">
        <w:rPr>
          <w:rFonts w:ascii="Times New Roman" w:hAnsi="Times New Roman" w:cs="Times New Roman"/>
          <w:sz w:val="24"/>
          <w:szCs w:val="24"/>
        </w:rPr>
        <w:t xml:space="preserve"> agonist muscimol (Sigma-Aldrich, Switzerland) was dissolved in 0.9% (w/v) non-pyrogenic saline to obtain a final concentration of 0.5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g/0.5 </w:t>
      </w:r>
      <w:r w:rsidRPr="00CB3771">
        <w:rPr>
          <w:rFonts w:ascii="Times New Roman" w:hAnsi="Times New Roman" w:cs="Times New Roman"/>
          <w:i/>
          <w:sz w:val="24"/>
          <w:szCs w:val="24"/>
        </w:rPr>
        <w:t>μ</w:t>
      </w:r>
      <w:r w:rsidRPr="00CB3771">
        <w:rPr>
          <w:rFonts w:ascii="Times New Roman" w:hAnsi="Times New Roman" w:cs="Times New Roman"/>
          <w:sz w:val="24"/>
          <w:szCs w:val="24"/>
        </w:rPr>
        <w:t>l. Non-pyrogenic saline 0.9% (w/v) was used as the saline control.</w:t>
      </w:r>
      <w:r w:rsidRPr="00CB3771">
        <w:rPr>
          <w:rFonts w:ascii="Times New Roman" w:hAnsi="Times New Roman" w:cs="Times New Roman"/>
          <w:i/>
          <w:sz w:val="24"/>
          <w:szCs w:val="24"/>
        </w:rPr>
        <w:t xml:space="preserve"> </w:t>
      </w:r>
      <w:r w:rsidRPr="00CB3771">
        <w:rPr>
          <w:rFonts w:ascii="Times New Roman" w:hAnsi="Times New Roman" w:cs="Times New Roman"/>
          <w:sz w:val="24"/>
          <w:szCs w:val="24"/>
        </w:rPr>
        <w:t xml:space="preserve">During infusions, muscimol or saline was infused bilaterally into the lateral OFC by inserting a </w:t>
      </w:r>
      <w:r w:rsidR="00306800" w:rsidRPr="00CB3771">
        <w:rPr>
          <w:rFonts w:ascii="Times New Roman" w:hAnsi="Times New Roman" w:cs="Times New Roman"/>
          <w:sz w:val="24"/>
          <w:szCs w:val="24"/>
        </w:rPr>
        <w:t>33-gauge</w:t>
      </w:r>
      <w:r w:rsidRPr="00CB3771">
        <w:rPr>
          <w:rFonts w:ascii="Times New Roman" w:hAnsi="Times New Roman" w:cs="Times New Roman"/>
          <w:sz w:val="24"/>
          <w:szCs w:val="24"/>
        </w:rPr>
        <w:t xml:space="preserve"> internal cannula into the guide cannula which extended 1 mm ventral to the guide tip. The internal cannula was connected to a 25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l glass syringe (Hamilton Company, Reno, NV, USA) attached to a microinfusion pump (World Precision Instruments, Inc., Sarasota, FL, USA). A total volume of 0.5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l was delivered to each side at a rate of 0.25 </w:t>
      </w:r>
      <w:r w:rsidRPr="00CB3771">
        <w:rPr>
          <w:rFonts w:ascii="Times New Roman" w:hAnsi="Times New Roman" w:cs="Times New Roman"/>
          <w:i/>
          <w:sz w:val="24"/>
          <w:szCs w:val="24"/>
        </w:rPr>
        <w:t>μ</w:t>
      </w:r>
      <w:r w:rsidRPr="00CB3771">
        <w:rPr>
          <w:rFonts w:ascii="Times New Roman" w:hAnsi="Times New Roman" w:cs="Times New Roman"/>
          <w:sz w:val="24"/>
          <w:szCs w:val="24"/>
        </w:rPr>
        <w:t xml:space="preserve">l/min. The internal cannula remained in place for an additional 1 min after the infusion and then removed. During the infusion procedure animals were allowed to move freely in a bucket to minimize stress. Dummy cannulae were removed prior to, and replaced immediately after, infusions. For the two training sessions prior to infusions, all animals received dummy infusions which were identical to the infusion procedure, except that no liquids were infused. These dummy infusions were performed to familiarize the rats with the microinfusion procedure and thereby minimize stress. Dummy infusions were also conducted on test sessions after the infusions to minimise differences in handling between experimental stages. </w:t>
      </w:r>
    </w:p>
    <w:p w14:paraId="2A8E6086" w14:textId="77777777" w:rsidR="006B4DE6" w:rsidRPr="00CB3771" w:rsidRDefault="006B4DE6" w:rsidP="006B4DE6">
      <w:pPr>
        <w:spacing w:line="360" w:lineRule="auto"/>
        <w:ind w:firstLine="720"/>
        <w:rPr>
          <w:rFonts w:ascii="Times New Roman" w:hAnsi="Times New Roman" w:cs="Times New Roman"/>
          <w:sz w:val="24"/>
          <w:szCs w:val="24"/>
        </w:rPr>
      </w:pPr>
      <w:r w:rsidRPr="00CB3771">
        <w:rPr>
          <w:rFonts w:ascii="Times New Roman" w:hAnsi="Times New Roman" w:cs="Times New Roman"/>
          <w:i/>
          <w:sz w:val="24"/>
          <w:szCs w:val="24"/>
        </w:rPr>
        <w:t>Reinforcers</w:t>
      </w:r>
      <w:r w:rsidRPr="00CB3771">
        <w:rPr>
          <w:rFonts w:ascii="Times New Roman" w:hAnsi="Times New Roman" w:cs="Times New Roman"/>
          <w:b/>
          <w:sz w:val="24"/>
          <w:szCs w:val="24"/>
        </w:rPr>
        <w:t xml:space="preserve">. </w:t>
      </w:r>
      <w:r w:rsidRPr="00CB3771">
        <w:rPr>
          <w:rFonts w:ascii="Times New Roman" w:hAnsi="Times New Roman" w:cs="Times New Roman"/>
          <w:sz w:val="24"/>
          <w:szCs w:val="24"/>
        </w:rPr>
        <w:t xml:space="preserve">The reinforcers used were a single grain pellet (45 mg dustless precision grain-based pellets; Bio-serv, Frenchtown, NJ, USA), 20% w/v sucrose solution and 20% w/v maltodextrin solution (Myopure, Petersham, NSW, Australia). Liquid reinforcers were flavoured with either 0.4% v/v concentrated lemon juice (Berri, Melbourne, Victoria, Australia) or 0.2% v/v peppermint extract (Queen Fine Foods, Alderley, QLD, Australia) to provide unique sensory properties to each reinforcer. Liquids were delivered over a period of 0.33 s via a peristaltic pump which corresponded to a volume of 0.2 mL. The volume and concentration of liquid reinforcers was chosen to match the calorific value of the corresponding grain pellet reward and have been found to elicit similar rates of Pavlovian and instrumental responding as a pellet </w:t>
      </w:r>
      <w:r w:rsidRPr="00CB3771">
        <w:rPr>
          <w:rFonts w:ascii="Times New Roman" w:hAnsi="Times New Roman" w:cs="Times New Roman"/>
          <w:sz w:val="24"/>
          <w:szCs w:val="24"/>
        </w:rPr>
        <w:lastRenderedPageBreak/>
        <w:t>reward in other experiments conducted in this lab. In all experiments involving liquids, the magazine was scrubbed with warm water and thoroughly dried between sessions to remove residual traces of the liquid reinforcer. To reduce neophobia to the reinforcers, one day prior to magazine training sessions all animals were pre-exposed to the reinforcers (10 g of pellets per animal and 25 ml of liquid reinforcer per animal) in their home cage.</w:t>
      </w:r>
    </w:p>
    <w:p w14:paraId="3319C53B" w14:textId="77777777" w:rsidR="006B4DE6" w:rsidRPr="00CB3771" w:rsidRDefault="006B4DE6" w:rsidP="006B4DE6">
      <w:pPr>
        <w:spacing w:line="360" w:lineRule="auto"/>
        <w:rPr>
          <w:rFonts w:ascii="Times New Roman" w:hAnsi="Times New Roman" w:cs="Times New Roman"/>
          <w:sz w:val="24"/>
          <w:szCs w:val="24"/>
        </w:rPr>
      </w:pPr>
      <w:r w:rsidRPr="00CB3771">
        <w:rPr>
          <w:rFonts w:ascii="Times New Roman" w:hAnsi="Times New Roman" w:cs="Times New Roman"/>
          <w:i/>
          <w:sz w:val="24"/>
          <w:szCs w:val="24"/>
        </w:rPr>
        <w:t xml:space="preserve">Magazine training. </w:t>
      </w:r>
      <w:r w:rsidRPr="00CB3771">
        <w:rPr>
          <w:rFonts w:ascii="Times New Roman" w:hAnsi="Times New Roman" w:cs="Times New Roman"/>
          <w:sz w:val="24"/>
          <w:szCs w:val="24"/>
        </w:rPr>
        <w:t>All animals received one session of magazine training for each experimental reinforcer with the following parameters: reward delivery was on an RT60 s schedule for 16 rewards. When necessary, sessions were separated by at least 2 hours and the order of reinforcer identity was counterbalanced between groups.</w:t>
      </w:r>
    </w:p>
    <w:p w14:paraId="7EB02605" w14:textId="08503593" w:rsidR="006B4DE6" w:rsidRPr="00CB3771" w:rsidRDefault="006B4DE6" w:rsidP="006B4DE6">
      <w:pPr>
        <w:spacing w:line="360" w:lineRule="auto"/>
        <w:rPr>
          <w:rFonts w:ascii="Times New Roman" w:hAnsi="Times New Roman" w:cs="Times New Roman"/>
          <w:i/>
          <w:sz w:val="24"/>
          <w:szCs w:val="24"/>
        </w:rPr>
      </w:pPr>
      <w:r w:rsidRPr="00CB3771">
        <w:rPr>
          <w:rFonts w:ascii="Times New Roman" w:hAnsi="Times New Roman" w:cs="Times New Roman"/>
          <w:i/>
          <w:sz w:val="24"/>
          <w:szCs w:val="24"/>
        </w:rPr>
        <w:t xml:space="preserve">Behaviour. </w:t>
      </w:r>
      <w:r w:rsidRPr="00CB3771">
        <w:rPr>
          <w:rFonts w:ascii="Times New Roman" w:hAnsi="Times New Roman" w:cs="Times New Roman"/>
          <w:sz w:val="24"/>
          <w:szCs w:val="24"/>
        </w:rPr>
        <w:t xml:space="preserve">CS responding was operationalized as the number of magazine entries during the CS period. PreCS responding was operationalized as the frequency of responding during the immediately preceding the CS </w:t>
      </w:r>
      <w:r w:rsidR="0091270B" w:rsidRPr="00CB3771">
        <w:rPr>
          <w:rFonts w:ascii="Times New Roman" w:hAnsi="Times New Roman" w:cs="Times New Roman"/>
          <w:sz w:val="24"/>
          <w:szCs w:val="24"/>
        </w:rPr>
        <w:t>period and</w:t>
      </w:r>
      <w:r w:rsidRPr="00CB3771">
        <w:rPr>
          <w:rFonts w:ascii="Times New Roman" w:hAnsi="Times New Roman" w:cs="Times New Roman"/>
          <w:sz w:val="24"/>
          <w:szCs w:val="24"/>
        </w:rPr>
        <w:t xml:space="preserve"> was used as a measure of baseline responding to the testing context. PreCS responding was analysed separately, and any group differences identified and reported. Data were presented as CS – PreCS difference scores, which reflect discriminative responding to the CS. All data were analysed with mixed ANOVAs using </w:t>
      </w:r>
      <w:r w:rsidR="00D45447">
        <w:rPr>
          <w:rFonts w:ascii="Times New Roman" w:hAnsi="Times New Roman" w:cs="Times New Roman"/>
          <w:sz w:val="24"/>
          <w:szCs w:val="24"/>
        </w:rPr>
        <w:t>R</w:t>
      </w:r>
      <w:r w:rsidRPr="00CB3771">
        <w:rPr>
          <w:rFonts w:ascii="Times New Roman" w:hAnsi="Times New Roman" w:cs="Times New Roman"/>
          <w:sz w:val="24"/>
          <w:szCs w:val="24"/>
        </w:rPr>
        <w:t xml:space="preserve"> statistical software</w:t>
      </w:r>
      <w:r w:rsidR="00D45447">
        <w:rPr>
          <w:rFonts w:ascii="Times New Roman" w:hAnsi="Times New Roman" w:cs="Times New Roman"/>
          <w:sz w:val="24"/>
          <w:szCs w:val="24"/>
        </w:rPr>
        <w:t xml:space="preserve"> </w:t>
      </w:r>
      <w:r w:rsidR="00D45447">
        <w:rPr>
          <w:rFonts w:ascii="Times New Roman" w:hAnsi="Times New Roman" w:cs="Times New Roman"/>
          <w:sz w:val="24"/>
          <w:szCs w:val="24"/>
        </w:rPr>
        <w:fldChar w:fldCharType="begin" w:fldLock="1"/>
      </w:r>
      <w:r w:rsidR="00D45447">
        <w:rPr>
          <w:rFonts w:ascii="Times New Roman" w:hAnsi="Times New Roman" w:cs="Times New Roman"/>
          <w:sz w:val="24"/>
          <w:szCs w:val="24"/>
        </w:rPr>
        <w:instrText>ADDIN CSL_CITATION {"citationItems":[{"id":"ITEM-1","itemData":{"abstract":"Henrik Singmann, Ben Bolker, Jake Westfall and Frederik Aust (2016). afex: Analysis of Factorial Experiments. R package version 0.16-1. https://CRAN.R-project.org/package=afex","author":[{"dropping-particle":"","family":"Singmann","given":"H.","non-dropping-particle":"","parse-names":false,"suffix":""},{"dropping-particle":"","family":"Bolker","given":"B.","non-dropping-particle":"","parse-names":false,"suffix":""},{"dropping-particle":"","family":"Westfall","given":"J.","non-dropping-particle":"","parse-names":false,"suffix":""},{"dropping-particle":"","family":"Aust","given":"F.","non-dropping-particle":"","parse-names":false,"suffix":""},{"dropping-particle":"","family":"Højsgaard","given":"S.","non-dropping-particle":"","parse-names":false,"suffix":""},{"dropping-particle":"","family":"Fox","given":"J.","non-dropping-particle":"","parse-names":false,"suffix":""},{"dropping-particle":"","family":"Lawrence","given":"M. A.","non-dropping-particle":"","parse-names":false,"suffix":""},{"dropping-particle":"","family":"Mertens","given":"U.","non-dropping-particle":"","parse-names":false,"suffix":""},{"dropping-particle":"","family":"Love","given":"J.","non-dropping-particle":"","parse-names":false,"suffix":""}],"container-title":"R package version 0.27-2","id":"ITEM-1","issued":{"date-parts":[["2020"]]},"title":"afex: analysis of factorial experiments","type":"article-journal"},"uris":["http://www.mendeley.com/documents/?uuid=286dfe56-45e5-4c18-a8c3-026f504007be"]},{"id":"ITEM-2","itemData":{"ISBN":"3_900051_00_3","ISSN":"3-900051-07-0","abstract":"R: A language and environment for statistical computing. R Foundation for Statistical Computing, Vienna, Austria.","author":[{"dropping-particle":"","family":"R Core Team (2020)","given":"","non-dropping-particle":"","parse-names":false,"suffix":""}],"container-title":"R: A language and environment for statistical computing. R Foundation for Statistical Computing, Vienna, Austria","id":"ITEM-2","issued":{"date-parts":[["2020"]]},"title":"R: A language and environment for statistical computing.","type":"article"},"uris":["http://www.mendeley.com/documents/?uuid=e5062613-19cd-4a95-aba0-a57652698eef"]},{"id":"ITEM-3","itemData":{"DOI":"10.1080/00031305.1980.10483031","abstract":"Description Obtain estimated marginal means (EMMs) for many linear, generalized linear, and mixed models. Compute contrasts or linear functions of EMMs, trends, and comparisons of slopes. Plots and compact letter displays. Least-squares means are discussed, and the term ``estimated marginal means'' is suggested, in Searle, Speed, and Milliken (1980) Population marginal means in the linear model: An alternative to least squares means","author":[{"dropping-particle":"","family":"Lenth","given":"Russell","non-dropping-particle":"","parse-names":false,"suffix":""},{"dropping-particle":"","family":"Singmann","given":"H","non-dropping-particle":"","parse-names":false,"suffix":""},{"dropping-particle":"","family":"Love","given":"J","non-dropping-particle":"","parse-names":false,"suffix":""},{"dropping-particle":"","family":"Buerkner","given":"P","non-dropping-particle":"","parse-names":false,"suffix":""},{"dropping-particle":"","family":"Herve","given":"M","non-dropping-particle":"","parse-names":false,"suffix":""}],"container-title":"The American Statistician","id":"ITEM-3","issued":{"date-parts":[["2020"]]},"title":"emmeans: estimated marginal means. R package version 1.4. 4","type":"article"},"uris":["http://www.mendeley.com/documents/?uuid=671c56af-6e89-4fcc-843b-e124936d83a0"]}],"mendeley":{"formattedCitation":"(Lenth et al., 2020; R Core Team (2020), 2020; Singmann et al., 2020)","plainTextFormattedCitation":"(Lenth et al., 2020; R Core Team (2020), 2020; Singmann et al., 2020)"},"properties":{"noteIndex":0},"schema":"https://github.com/citation-style-language/schema/raw/master/csl-citation.json"}</w:instrText>
      </w:r>
      <w:r w:rsidR="00D45447">
        <w:rPr>
          <w:rFonts w:ascii="Times New Roman" w:hAnsi="Times New Roman" w:cs="Times New Roman"/>
          <w:sz w:val="24"/>
          <w:szCs w:val="24"/>
        </w:rPr>
        <w:fldChar w:fldCharType="separate"/>
      </w:r>
      <w:r w:rsidR="00D45447" w:rsidRPr="00D45447">
        <w:rPr>
          <w:rFonts w:ascii="Times New Roman" w:hAnsi="Times New Roman" w:cs="Times New Roman"/>
          <w:noProof/>
          <w:sz w:val="24"/>
          <w:szCs w:val="24"/>
        </w:rPr>
        <w:t>(Lenth et al., 2020; R Core Team (2020), 2020; Singmann et al., 2020)</w:t>
      </w:r>
      <w:r w:rsidR="00D45447">
        <w:rPr>
          <w:rFonts w:ascii="Times New Roman" w:hAnsi="Times New Roman" w:cs="Times New Roman"/>
          <w:sz w:val="24"/>
          <w:szCs w:val="24"/>
        </w:rPr>
        <w:fldChar w:fldCharType="end"/>
      </w:r>
      <w:r w:rsidRPr="00CB3771">
        <w:rPr>
          <w:rFonts w:ascii="Times New Roman" w:hAnsi="Times New Roman" w:cs="Times New Roman"/>
          <w:sz w:val="24"/>
          <w:szCs w:val="24"/>
        </w:rPr>
        <w:t>, and significant interactions of interest were followed u</w:t>
      </w:r>
      <w:r>
        <w:rPr>
          <w:rFonts w:ascii="Times New Roman" w:hAnsi="Times New Roman" w:cs="Times New Roman"/>
          <w:sz w:val="24"/>
          <w:szCs w:val="24"/>
        </w:rPr>
        <w:t>p</w:t>
      </w:r>
      <w:r w:rsidRPr="00CB3771">
        <w:rPr>
          <w:rFonts w:ascii="Times New Roman" w:hAnsi="Times New Roman" w:cs="Times New Roman"/>
          <w:sz w:val="24"/>
          <w:szCs w:val="24"/>
        </w:rPr>
        <w:t xml:space="preserve"> with ANOVAs on the relevant subset of data</w:t>
      </w:r>
      <w:r w:rsidR="00D7738F">
        <w:rPr>
          <w:rFonts w:ascii="Times New Roman" w:hAnsi="Times New Roman" w:cs="Times New Roman"/>
          <w:sz w:val="24"/>
          <w:szCs w:val="24"/>
        </w:rPr>
        <w:t xml:space="preserve">, and simple effects with a Tukey </w:t>
      </w:r>
      <w:r w:rsidR="00A56A19">
        <w:rPr>
          <w:rFonts w:ascii="Times New Roman" w:hAnsi="Times New Roman" w:cs="Times New Roman"/>
          <w:sz w:val="24"/>
          <w:szCs w:val="24"/>
        </w:rPr>
        <w:t xml:space="preserve">family-wise error rate </w:t>
      </w:r>
      <w:r w:rsidR="000206A4">
        <w:rPr>
          <w:rFonts w:ascii="Times New Roman" w:hAnsi="Times New Roman" w:cs="Times New Roman"/>
          <w:sz w:val="24"/>
          <w:szCs w:val="24"/>
        </w:rPr>
        <w:t>correction</w:t>
      </w:r>
      <w:r w:rsidRPr="00CB3771">
        <w:rPr>
          <w:rFonts w:ascii="Times New Roman" w:hAnsi="Times New Roman" w:cs="Times New Roman"/>
          <w:sz w:val="24"/>
          <w:szCs w:val="24"/>
        </w:rPr>
        <w:t xml:space="preserve">. </w:t>
      </w:r>
      <w:r w:rsidR="000206A4">
        <w:rPr>
          <w:rFonts w:ascii="Times New Roman" w:hAnsi="Times New Roman" w:cs="Times New Roman"/>
          <w:sz w:val="24"/>
          <w:szCs w:val="24"/>
        </w:rPr>
        <w:t>Where relevant</w:t>
      </w:r>
      <w:r w:rsidR="00767F48">
        <w:rPr>
          <w:rFonts w:ascii="Times New Roman" w:hAnsi="Times New Roman" w:cs="Times New Roman"/>
          <w:sz w:val="24"/>
          <w:szCs w:val="24"/>
        </w:rPr>
        <w:t>,</w:t>
      </w:r>
      <w:r w:rsidRPr="00CB3771">
        <w:rPr>
          <w:rFonts w:ascii="Times New Roman" w:hAnsi="Times New Roman" w:cs="Times New Roman"/>
          <w:sz w:val="24"/>
          <w:szCs w:val="24"/>
        </w:rPr>
        <w:t xml:space="preserve"> </w:t>
      </w:r>
      <w:r w:rsidRPr="00767F48">
        <w:rPr>
          <w:rFonts w:ascii="Times New Roman" w:hAnsi="Times New Roman" w:cs="Times New Roman"/>
          <w:sz w:val="24"/>
          <w:szCs w:val="24"/>
        </w:rPr>
        <w:t>planned linear and quadratic orthogonal trend contrasts and their interactions between groups were analysed to assess differences in rates of responding.</w:t>
      </w:r>
    </w:p>
    <w:p w14:paraId="652E1379" w14:textId="36461808" w:rsidR="00E06D4B" w:rsidRPr="00CB3771" w:rsidRDefault="00E06D4B" w:rsidP="00E06D4B">
      <w:pPr>
        <w:spacing w:line="360" w:lineRule="auto"/>
        <w:jc w:val="center"/>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 xml:space="preserve">Experiment 1: </w:t>
      </w:r>
      <w:r w:rsidRPr="00CB3771">
        <w:rPr>
          <w:rFonts w:ascii="Times New Roman" w:eastAsia="Times New Roman" w:hAnsi="Times New Roman" w:cs="Times New Roman"/>
          <w:b/>
          <w:color w:val="000000"/>
          <w:sz w:val="24"/>
          <w:szCs w:val="24"/>
          <w:lang w:eastAsia="en-AU"/>
        </w:rPr>
        <w:t>Pre-training</w:t>
      </w:r>
      <w:r>
        <w:rPr>
          <w:rFonts w:ascii="Times New Roman" w:eastAsia="Times New Roman" w:hAnsi="Times New Roman" w:cs="Times New Roman"/>
          <w:b/>
          <w:color w:val="000000"/>
          <w:sz w:val="24"/>
          <w:szCs w:val="24"/>
          <w:lang w:eastAsia="en-AU"/>
        </w:rPr>
        <w:t xml:space="preserve"> OFC</w:t>
      </w:r>
      <w:r w:rsidRPr="00CB3771">
        <w:rPr>
          <w:rFonts w:ascii="Times New Roman" w:eastAsia="Times New Roman" w:hAnsi="Times New Roman" w:cs="Times New Roman"/>
          <w:b/>
          <w:color w:val="000000"/>
          <w:sz w:val="24"/>
          <w:szCs w:val="24"/>
          <w:lang w:eastAsia="en-AU"/>
        </w:rPr>
        <w:t xml:space="preserve"> lesions</w:t>
      </w:r>
    </w:p>
    <w:p w14:paraId="59AE5321" w14:textId="77777777" w:rsidR="006B4DE6" w:rsidRPr="00CB3771" w:rsidRDefault="006B4DE6" w:rsidP="006B4DE6">
      <w:pPr>
        <w:spacing w:after="240" w:line="360" w:lineRule="auto"/>
        <w:rPr>
          <w:rFonts w:ascii="Times New Roman" w:hAnsi="Times New Roman" w:cs="Times New Roman"/>
          <w:b/>
          <w:sz w:val="24"/>
          <w:szCs w:val="24"/>
        </w:rPr>
      </w:pPr>
      <w:r w:rsidRPr="00CB3771">
        <w:rPr>
          <w:rFonts w:ascii="Times New Roman" w:hAnsi="Times New Roman" w:cs="Times New Roman"/>
          <w:b/>
          <w:sz w:val="24"/>
          <w:szCs w:val="24"/>
        </w:rPr>
        <w:t>Subjects.</w:t>
      </w:r>
    </w:p>
    <w:p w14:paraId="0FB7FA66" w14:textId="77777777" w:rsidR="006B4DE6" w:rsidRPr="00CB3771" w:rsidRDefault="006B4DE6" w:rsidP="006B4DE6">
      <w:pPr>
        <w:spacing w:after="240" w:line="360" w:lineRule="auto"/>
        <w:ind w:firstLine="720"/>
        <w:rPr>
          <w:rFonts w:ascii="Times New Roman" w:hAnsi="Times New Roman" w:cs="Times New Roman"/>
          <w:sz w:val="24"/>
          <w:szCs w:val="24"/>
        </w:rPr>
      </w:pPr>
      <w:r w:rsidRPr="00CB3771">
        <w:rPr>
          <w:rFonts w:ascii="Times New Roman" w:hAnsi="Times New Roman" w:cs="Times New Roman"/>
          <w:sz w:val="24"/>
          <w:szCs w:val="24"/>
        </w:rPr>
        <w:t xml:space="preserve">Subjects were forty-eight (N = 48) rats, tested in two cohorts. Cohort 1, n = 16 rats weighing between 280-361 g (M = 312.2 g) and cohort 2, n = 32 rats weighing between 271-328 g (M = 296.3 g). </w:t>
      </w:r>
    </w:p>
    <w:p w14:paraId="200DD3A1" w14:textId="77777777" w:rsidR="006B4DE6" w:rsidRPr="00CB3771" w:rsidRDefault="006B4DE6" w:rsidP="006B4DE6">
      <w:pPr>
        <w:pStyle w:val="2Marioslevel2"/>
        <w:rPr>
          <w:szCs w:val="24"/>
        </w:rPr>
      </w:pPr>
      <w:bookmarkStart w:id="1" w:name="_Toc417304981"/>
      <w:r w:rsidRPr="00CB3771">
        <w:rPr>
          <w:szCs w:val="24"/>
        </w:rPr>
        <w:t>Training</w:t>
      </w:r>
      <w:bookmarkEnd w:id="1"/>
    </w:p>
    <w:p w14:paraId="4D7C8049" w14:textId="77777777" w:rsidR="006B4DE6" w:rsidRPr="00CB3771" w:rsidRDefault="006B4DE6" w:rsidP="006B4DE6">
      <w:pPr>
        <w:pStyle w:val="3MariosLevel3"/>
      </w:pPr>
      <w:bookmarkStart w:id="2" w:name="_Toc417304984"/>
      <w:r w:rsidRPr="00CB3771">
        <w:t>Pavlovian Acquisition</w:t>
      </w:r>
      <w:bookmarkEnd w:id="2"/>
    </w:p>
    <w:p w14:paraId="3C523E39"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lastRenderedPageBreak/>
        <w:t>Following magazine training, all rats received 21 sessions of Pavlovian acquisition training. Each session consisted of 16 presentations of a single auditory CS (a 15 s train of clicks) presented on a VT90s schedule (ranging from 60 to 120 s). A single pellet (US) was delivered at the termination of each CS. The session duration was 28 mins and animals were left in the chamber for an additional 2 mins before being removed. Animals received either one session per day, or two sessions per day separated by at least 2 hours.</w:t>
      </w:r>
      <w:bookmarkStart w:id="3" w:name="_Toc417304985"/>
    </w:p>
    <w:p w14:paraId="3A29D20C" w14:textId="77777777" w:rsidR="006B4DE6" w:rsidRPr="00CB3771" w:rsidRDefault="006B4DE6" w:rsidP="006B4DE6">
      <w:pPr>
        <w:pStyle w:val="3MariosLevel3"/>
      </w:pPr>
      <w:r w:rsidRPr="00CB3771">
        <w:t>Subgroup 1: General Satiety Pre-Feeding</w:t>
      </w:r>
      <w:bookmarkEnd w:id="3"/>
    </w:p>
    <w:p w14:paraId="716BD8D1" w14:textId="77777777" w:rsidR="006B4DE6" w:rsidRPr="00CB3771" w:rsidRDefault="006B4DE6" w:rsidP="006B4DE6">
      <w:pPr>
        <w:pStyle w:val="NormalWeb"/>
        <w:spacing w:before="0" w:beforeAutospacing="0" w:after="0" w:afterAutospacing="0" w:line="360" w:lineRule="auto"/>
        <w:rPr>
          <w:color w:val="000000"/>
        </w:rPr>
      </w:pPr>
      <w:r w:rsidRPr="00CB3771">
        <w:rPr>
          <w:color w:val="000000"/>
        </w:rPr>
        <w:t>At the end of acquisition training on day 21, a subgroup of animals (sham n = 8, lesion n = 8) were taken off food restriction and given 24 hours free access to their home cage food before further acquisition training on day 22. This session was rewarded as per acquisition training. At the end of day 22 animals were put back on food restriction and continued acquisition training.</w:t>
      </w:r>
    </w:p>
    <w:p w14:paraId="5169CE8C" w14:textId="77777777" w:rsidR="006B4DE6" w:rsidRPr="00CB3771" w:rsidRDefault="006B4DE6" w:rsidP="006B4DE6">
      <w:pPr>
        <w:pStyle w:val="NormalWeb"/>
        <w:spacing w:before="0" w:beforeAutospacing="0" w:after="0" w:afterAutospacing="0" w:line="360" w:lineRule="auto"/>
      </w:pPr>
    </w:p>
    <w:p w14:paraId="6325BE2E" w14:textId="77777777" w:rsidR="006B4DE6" w:rsidRPr="00CB3771" w:rsidRDefault="006B4DE6" w:rsidP="006B4DE6">
      <w:pPr>
        <w:spacing w:after="240" w:line="360" w:lineRule="auto"/>
        <w:rPr>
          <w:rFonts w:ascii="Times New Roman" w:hAnsi="Times New Roman" w:cs="Times New Roman"/>
          <w:b/>
          <w:i/>
          <w:sz w:val="24"/>
          <w:szCs w:val="24"/>
        </w:rPr>
      </w:pPr>
      <w:r w:rsidRPr="00CB3771">
        <w:rPr>
          <w:rFonts w:ascii="Times New Roman" w:hAnsi="Times New Roman" w:cs="Times New Roman"/>
          <w:sz w:val="24"/>
          <w:szCs w:val="24"/>
        </w:rPr>
        <w:tab/>
      </w:r>
      <w:r w:rsidRPr="00CB3771">
        <w:rPr>
          <w:rFonts w:ascii="Times New Roman" w:hAnsi="Times New Roman" w:cs="Times New Roman"/>
          <w:b/>
          <w:i/>
          <w:sz w:val="24"/>
          <w:szCs w:val="24"/>
        </w:rPr>
        <w:t xml:space="preserve">Subgroup 2: Devaluation </w:t>
      </w:r>
    </w:p>
    <w:p w14:paraId="39FDC513"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Following initial Pavlovian acquisition of a single CS-US association, a subgroup of animals (sham n = 8, lesion n = 8) were re-trained with two novel unique CS-US associations intended to test devaluation in a taste aversion procedure.</w:t>
      </w:r>
    </w:p>
    <w:p w14:paraId="577E45FD" w14:textId="77777777" w:rsidR="006B4DE6" w:rsidRPr="00CB3771" w:rsidRDefault="006B4DE6" w:rsidP="006B4DE6">
      <w:pPr>
        <w:pStyle w:val="3MariosLevel3"/>
      </w:pPr>
      <w:bookmarkStart w:id="4" w:name="_Toc417305005"/>
      <w:r w:rsidRPr="00CB3771">
        <w:t>Novel Acquisition</w:t>
      </w:r>
      <w:bookmarkEnd w:id="4"/>
    </w:p>
    <w:p w14:paraId="224FDDD1"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Novel acquisition of two unique CS-US associations was conducted with identical parameters to initial acquisition training</w:t>
      </w:r>
      <w:bookmarkStart w:id="5" w:name="OLE_LINK2"/>
      <w:r w:rsidRPr="00CB3771">
        <w:rPr>
          <w:rFonts w:ascii="Times New Roman" w:hAnsi="Times New Roman" w:cs="Times New Roman"/>
          <w:sz w:val="24"/>
          <w:szCs w:val="24"/>
        </w:rPr>
        <w:t>, 2 session per day for 14 days</w:t>
      </w:r>
      <w:bookmarkEnd w:id="5"/>
      <w:r w:rsidRPr="00CB3771">
        <w:rPr>
          <w:rFonts w:ascii="Times New Roman" w:hAnsi="Times New Roman" w:cs="Times New Roman"/>
          <w:sz w:val="24"/>
          <w:szCs w:val="24"/>
        </w:rPr>
        <w:t>, each session consisting of 16 trials consisting of a 15s CS co-terminating with reward with a vITI90s. Unlike initial acquisition the two CSs were an 80dB white noise and a 2800 Hz, 80 dB tone followed by either a single pellet or 20% w/v maltodextrin liquid (CS-US identities counterbalanced between animals).</w:t>
      </w:r>
    </w:p>
    <w:p w14:paraId="6CFD6BC5" w14:textId="77777777" w:rsidR="006B4DE6" w:rsidRPr="00CB3771" w:rsidRDefault="006B4DE6" w:rsidP="006B4DE6">
      <w:pPr>
        <w:pStyle w:val="3MariosLevel3"/>
      </w:pPr>
      <w:bookmarkStart w:id="6" w:name="_Toc417305006"/>
      <w:r w:rsidRPr="00CB3771">
        <w:t>Taste Aversion</w:t>
      </w:r>
      <w:bookmarkEnd w:id="6"/>
    </w:p>
    <w:p w14:paraId="511C6465" w14:textId="4EFC8C56"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Taste aversion took place in the devaluation chambers and involved 30 mins exposure to one US every day, alternating each day for 4 days. Following fee access to a US</w:t>
      </w:r>
      <w:r w:rsidR="00C708CA">
        <w:rPr>
          <w:rFonts w:ascii="Times New Roman" w:hAnsi="Times New Roman" w:cs="Times New Roman"/>
          <w:sz w:val="24"/>
          <w:szCs w:val="24"/>
        </w:rPr>
        <w:t>,</w:t>
      </w:r>
      <w:r w:rsidRPr="00CB3771">
        <w:rPr>
          <w:rFonts w:ascii="Times New Roman" w:hAnsi="Times New Roman" w:cs="Times New Roman"/>
          <w:sz w:val="24"/>
          <w:szCs w:val="24"/>
        </w:rPr>
        <w:t xml:space="preserve"> animals were immediately injected i.p. with either 0.15M LiCl or 0.9% saline (15 mL/Kg). The outcome paired with nausea induced by injection of LiCl was designated the devalued outcome and the </w:t>
      </w:r>
      <w:r w:rsidRPr="00CB3771">
        <w:rPr>
          <w:rFonts w:ascii="Times New Roman" w:hAnsi="Times New Roman" w:cs="Times New Roman"/>
          <w:sz w:val="24"/>
          <w:szCs w:val="24"/>
        </w:rPr>
        <w:lastRenderedPageBreak/>
        <w:t>outcome paired with neutral saline injections was designated the non-devalued outcome (counterbalanced between animals). Following the final day of injections all animals were given a day of rest in their home cage to allow hunger levels to return to normal after taste aversion training.</w:t>
      </w:r>
    </w:p>
    <w:p w14:paraId="49444C09" w14:textId="77777777" w:rsidR="006B4DE6" w:rsidRPr="00CB3771" w:rsidRDefault="006B4DE6" w:rsidP="006B4DE6">
      <w:pPr>
        <w:pStyle w:val="3MariosLevel3"/>
      </w:pPr>
      <w:bookmarkStart w:id="7" w:name="_Toc417305007"/>
      <w:r w:rsidRPr="00CB3771">
        <w:t>Devaluation Test</w:t>
      </w:r>
      <w:bookmarkEnd w:id="7"/>
    </w:p>
    <w:p w14:paraId="5C25CAD6" w14:textId="77777777" w:rsidR="006B4DE6" w:rsidRPr="00CB3771" w:rsidRDefault="006B4DE6" w:rsidP="006B4DE6">
      <w:pPr>
        <w:spacing w:after="240" w:line="360" w:lineRule="auto"/>
        <w:rPr>
          <w:rFonts w:ascii="Times New Roman" w:hAnsi="Times New Roman" w:cs="Times New Roman"/>
          <w:sz w:val="24"/>
          <w:szCs w:val="24"/>
        </w:rPr>
      </w:pPr>
      <w:r w:rsidRPr="00CB3771">
        <w:rPr>
          <w:rFonts w:ascii="Times New Roman" w:hAnsi="Times New Roman" w:cs="Times New Roman"/>
          <w:sz w:val="24"/>
          <w:szCs w:val="24"/>
        </w:rPr>
        <w:t>Animals were tested with a single session of CS training except that no rewards were delivered i.e. in extinction. The magazine frequency measure that was available was not as sensitive to devaluation as a measure of duration, so only data from the first trial was analysed at test.</w:t>
      </w:r>
    </w:p>
    <w:p w14:paraId="30E35E37" w14:textId="77777777" w:rsidR="006B4DE6" w:rsidRPr="00CB3771" w:rsidRDefault="006B4DE6" w:rsidP="006B4DE6">
      <w:pPr>
        <w:pStyle w:val="3MariosLevel3"/>
      </w:pPr>
      <w:bookmarkStart w:id="8" w:name="_Toc417304986"/>
      <w:r w:rsidRPr="00CB3771">
        <w:t>Locomotor Activity</w:t>
      </w:r>
      <w:bookmarkEnd w:id="8"/>
    </w:p>
    <w:p w14:paraId="1DA24218" w14:textId="77777777" w:rsidR="006B4DE6" w:rsidRPr="00CB3771" w:rsidRDefault="006B4DE6" w:rsidP="006B4DE6">
      <w:pPr>
        <w:pStyle w:val="3MariosLevel3"/>
        <w:ind w:left="0"/>
      </w:pPr>
      <w:r w:rsidRPr="00CB3771">
        <w:rPr>
          <w:b w:val="0"/>
          <w:i w:val="0"/>
        </w:rPr>
        <w:t>At the end of the experimental procedures, all animals were assessed for locomotor activity over a 1-hour period.</w:t>
      </w:r>
      <w:r w:rsidRPr="00CB3771">
        <w:t xml:space="preserve"> </w:t>
      </w:r>
    </w:p>
    <w:p w14:paraId="74CE4B96"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Histology and Group Allocation</w:t>
      </w:r>
    </w:p>
    <w:p w14:paraId="2936B487" w14:textId="18C25FDE" w:rsidR="006B4DE6" w:rsidRPr="00CB3771" w:rsidRDefault="006B4DE6" w:rsidP="006B4DE6">
      <w:pPr>
        <w:spacing w:line="360" w:lineRule="auto"/>
        <w:rPr>
          <w:rFonts w:ascii="Times New Roman" w:eastAsia="Times New Roman" w:hAnsi="Times New Roman" w:cs="Times New Roman"/>
          <w:color w:val="000000"/>
          <w:sz w:val="24"/>
          <w:szCs w:val="24"/>
          <w:lang w:val="en-AU" w:eastAsia="en-AU"/>
        </w:rPr>
      </w:pPr>
      <w:r w:rsidRPr="00CB3771">
        <w:rPr>
          <w:rFonts w:ascii="Times New Roman" w:eastAsia="Calibri" w:hAnsi="Times New Roman" w:cs="Times New Roman"/>
          <w:color w:val="000000"/>
          <w:sz w:val="24"/>
          <w:szCs w:val="24"/>
          <w:lang w:val="en-AU"/>
        </w:rPr>
        <w:t xml:space="preserve">Lesion damage is depicted in Figure </w:t>
      </w:r>
      <w:r w:rsidR="00954928">
        <w:rPr>
          <w:rFonts w:ascii="Times New Roman" w:eastAsia="Calibri" w:hAnsi="Times New Roman" w:cs="Times New Roman"/>
          <w:color w:val="000000"/>
          <w:sz w:val="24"/>
          <w:szCs w:val="24"/>
          <w:lang w:val="en-AU"/>
        </w:rPr>
        <w:t>1-figure supplement 1</w:t>
      </w:r>
      <w:r w:rsidRPr="00CB3771">
        <w:rPr>
          <w:rFonts w:ascii="Times New Roman" w:eastAsia="Calibri" w:hAnsi="Times New Roman" w:cs="Times New Roman"/>
          <w:color w:val="000000"/>
          <w:sz w:val="24"/>
          <w:szCs w:val="24"/>
          <w:lang w:val="en-AU"/>
        </w:rPr>
        <w:t xml:space="preserve">. </w:t>
      </w:r>
      <w:r w:rsidRPr="00CB3771">
        <w:rPr>
          <w:rFonts w:ascii="Times New Roman" w:eastAsia="Calibri" w:hAnsi="Times New Roman" w:cs="Times New Roman"/>
          <w:sz w:val="24"/>
          <w:szCs w:val="24"/>
          <w:lang w:val="en-AU"/>
        </w:rPr>
        <w:t xml:space="preserve">Lesion </w:t>
      </w:r>
      <w:r w:rsidRPr="00CB3771">
        <w:rPr>
          <w:rFonts w:ascii="Times New Roman" w:eastAsia="Calibri" w:hAnsi="Times New Roman" w:cs="Times New Roman"/>
          <w:color w:val="000000"/>
          <w:sz w:val="24"/>
          <w:szCs w:val="24"/>
          <w:lang w:val="en-AU"/>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CB3771">
        <w:rPr>
          <w:rFonts w:ascii="Times New Roman" w:eastAsia="Times New Roman" w:hAnsi="Times New Roman" w:cs="Times New Roman"/>
          <w:color w:val="000000"/>
          <w:sz w:val="24"/>
          <w:szCs w:val="24"/>
          <w:lang w:val="en-AU" w:eastAsia="en-AU"/>
        </w:rPr>
        <w:t>dorsal part of the anterior olfactory nucleus ventral to LO/DLO or if there was extensive damage to the white matter of the forceps minor of the corpus callosum. One lesioned animal did not recover from surgery, four lesion animals had only unilateral OFC damage, and one lesioned animal had extensive white matter damage. Forty-two animals were retained (N = 42, sham n = 24, lesion n = 18), of which subgroup 1 contained fifteen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15; sham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8, lesion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7) and subgroup 2 contained thirteen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13; sham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8, lesion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5).</w:t>
      </w:r>
    </w:p>
    <w:p w14:paraId="32B85C69" w14:textId="77777777" w:rsidR="006B4DE6" w:rsidRPr="00CB3771" w:rsidRDefault="006B4DE6" w:rsidP="006B4DE6">
      <w:pPr>
        <w:spacing w:line="360" w:lineRule="auto"/>
        <w:rPr>
          <w:rFonts w:ascii="Times New Roman" w:eastAsia="Times New Roman" w:hAnsi="Times New Roman" w:cs="Times New Roman"/>
          <w:b/>
          <w:color w:val="000000"/>
          <w:sz w:val="24"/>
          <w:szCs w:val="24"/>
          <w:lang w:eastAsia="en-AU"/>
        </w:rPr>
      </w:pPr>
      <w:r w:rsidRPr="00CB3771">
        <w:rPr>
          <w:rFonts w:ascii="Times New Roman" w:eastAsia="Times New Roman" w:hAnsi="Times New Roman" w:cs="Times New Roman"/>
          <w:b/>
          <w:color w:val="000000"/>
          <w:sz w:val="24"/>
          <w:szCs w:val="24"/>
          <w:lang w:eastAsia="en-AU"/>
        </w:rPr>
        <w:t>PreCS Analysis</w:t>
      </w:r>
    </w:p>
    <w:p w14:paraId="65BDF8EA" w14:textId="77777777" w:rsidR="006B4DE6" w:rsidRPr="00CB3771" w:rsidRDefault="006B4DE6" w:rsidP="006B4DE6">
      <w:pPr>
        <w:spacing w:line="360" w:lineRule="auto"/>
        <w:rPr>
          <w:rFonts w:ascii="Times New Roman" w:eastAsia="Times New Roman" w:hAnsi="Times New Roman" w:cs="Times New Roman"/>
          <w:color w:val="000000"/>
          <w:sz w:val="24"/>
          <w:szCs w:val="24"/>
          <w:lang w:eastAsia="en-AU"/>
        </w:rPr>
      </w:pPr>
      <w:r w:rsidRPr="00CB3771">
        <w:rPr>
          <w:rFonts w:ascii="Times New Roman" w:eastAsia="Times New Roman" w:hAnsi="Times New Roman" w:cs="Times New Roman"/>
          <w:color w:val="000000"/>
          <w:sz w:val="24"/>
          <w:szCs w:val="24"/>
          <w:lang w:eastAsia="en-AU"/>
        </w:rPr>
        <w:t xml:space="preserve">Analysis of the PreCS period using a Group (sham, lesion) x Block (1-7) mixed ANOVA revealed that responding was significantly higher in the lesion group than the sham group (main effect of Group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(1, 40)</w:t>
      </w:r>
      <w:r w:rsidRPr="00CB3771">
        <w:rPr>
          <w:rFonts w:ascii="Times New Roman" w:eastAsia="Times New Roman" w:hAnsi="Times New Roman" w:cs="Times New Roman"/>
          <w:color w:val="000000"/>
          <w:sz w:val="24"/>
          <w:szCs w:val="24"/>
          <w:lang w:eastAsia="en-AU"/>
        </w:rPr>
        <w:t xml:space="preserve"> = 7.24,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.01). Furthermore, while responding increased over blocks (main effect of Block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(6, 240)</w:t>
      </w:r>
      <w:r w:rsidRPr="00CB3771">
        <w:rPr>
          <w:rFonts w:ascii="Times New Roman" w:eastAsia="Times New Roman" w:hAnsi="Times New Roman" w:cs="Times New Roman"/>
          <w:color w:val="000000"/>
          <w:sz w:val="24"/>
          <w:szCs w:val="24"/>
          <w:lang w:eastAsia="en-AU"/>
        </w:rPr>
        <w:t xml:space="preserve"> = 20.37,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&lt; .001; positive linear trend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(1, 40)</w:t>
      </w:r>
      <w:r w:rsidRPr="00CB3771">
        <w:rPr>
          <w:rFonts w:ascii="Times New Roman" w:eastAsia="Times New Roman" w:hAnsi="Times New Roman" w:cs="Times New Roman"/>
          <w:color w:val="000000"/>
          <w:sz w:val="24"/>
          <w:szCs w:val="24"/>
          <w:lang w:eastAsia="en-AU"/>
        </w:rPr>
        <w:t xml:space="preserve"> = 33.18,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&lt; .001), </w:t>
      </w:r>
      <w:r w:rsidRPr="00CB3771">
        <w:rPr>
          <w:rFonts w:ascii="Times New Roman" w:eastAsia="Times New Roman" w:hAnsi="Times New Roman" w:cs="Times New Roman"/>
          <w:color w:val="000000"/>
          <w:sz w:val="24"/>
          <w:szCs w:val="24"/>
          <w:lang w:eastAsia="en-AU"/>
        </w:rPr>
        <w:lastRenderedPageBreak/>
        <w:t xml:space="preserve">this increase was greater in the lesion than the sham group (Block x Group interaction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(6, 240)</w:t>
      </w:r>
      <w:r w:rsidRPr="00CB3771">
        <w:rPr>
          <w:rFonts w:ascii="Times New Roman" w:eastAsia="Times New Roman" w:hAnsi="Times New Roman" w:cs="Times New Roman"/>
          <w:color w:val="000000"/>
          <w:sz w:val="24"/>
          <w:szCs w:val="24"/>
          <w:lang w:eastAsia="en-AU"/>
        </w:rPr>
        <w:t xml:space="preserve"> = 2.52,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.02; linear trend interaction </w:t>
      </w:r>
      <w:r w:rsidRPr="00CB3771">
        <w:rPr>
          <w:rFonts w:ascii="Times New Roman" w:eastAsia="Times New Roman" w:hAnsi="Times New Roman" w:cs="Times New Roman"/>
          <w:i/>
          <w:color w:val="000000"/>
          <w:sz w:val="24"/>
          <w:szCs w:val="24"/>
          <w:lang w:eastAsia="en-AU"/>
        </w:rPr>
        <w:t>F</w:t>
      </w:r>
      <w:r w:rsidRPr="00CB3771">
        <w:rPr>
          <w:rFonts w:ascii="Times New Roman" w:eastAsia="Times New Roman" w:hAnsi="Times New Roman" w:cs="Times New Roman"/>
          <w:color w:val="000000"/>
          <w:sz w:val="24"/>
          <w:szCs w:val="24"/>
          <w:vertAlign w:val="subscript"/>
          <w:lang w:eastAsia="en-AU"/>
        </w:rPr>
        <w:t>(1, 40)</w:t>
      </w:r>
      <w:r w:rsidRPr="00CB3771">
        <w:rPr>
          <w:rFonts w:ascii="Times New Roman" w:eastAsia="Times New Roman" w:hAnsi="Times New Roman" w:cs="Times New Roman"/>
          <w:color w:val="000000"/>
          <w:sz w:val="24"/>
          <w:szCs w:val="24"/>
          <w:lang w:eastAsia="en-AU"/>
        </w:rPr>
        <w:t xml:space="preserve"> = 5.34, </w:t>
      </w:r>
      <w:r w:rsidRPr="00CB3771">
        <w:rPr>
          <w:rFonts w:ascii="Times New Roman" w:eastAsia="Times New Roman" w:hAnsi="Times New Roman" w:cs="Times New Roman"/>
          <w:i/>
          <w:color w:val="000000"/>
          <w:sz w:val="24"/>
          <w:szCs w:val="24"/>
          <w:lang w:eastAsia="en-AU"/>
        </w:rPr>
        <w:t>p</w:t>
      </w:r>
      <w:r w:rsidRPr="00CB3771">
        <w:rPr>
          <w:rFonts w:ascii="Times New Roman" w:eastAsia="Times New Roman" w:hAnsi="Times New Roman" w:cs="Times New Roman"/>
          <w:color w:val="000000"/>
          <w:sz w:val="24"/>
          <w:szCs w:val="24"/>
          <w:lang w:eastAsia="en-AU"/>
        </w:rPr>
        <w:t xml:space="preserve"> = .03). During the first block PreCS responding was similar between groups (Sham M = 2.07, SD = 0.60; Lesion M = 2.13, SD = 0.90), by the final block PreCS responding was higher in the Lesion group (M = 4.30, SD = 1.95) than the sham group (M = 2.76, SD = 2.30).</w:t>
      </w:r>
    </w:p>
    <w:p w14:paraId="55656157" w14:textId="77777777" w:rsidR="004A5A4E" w:rsidRDefault="004A5A4E" w:rsidP="004A5A4E">
      <w:pPr>
        <w:pStyle w:val="BodyText"/>
        <w:jc w:val="center"/>
      </w:pPr>
      <w:bookmarkStart w:id="9" w:name="_Toc417305020"/>
      <w:r>
        <w:rPr>
          <w:b/>
        </w:rPr>
        <w:t>Experiment 2: Post-training muscimol inactivation</w:t>
      </w:r>
    </w:p>
    <w:p w14:paraId="5EBA85C8" w14:textId="77777777" w:rsidR="006B4DE6" w:rsidRPr="00CB3771" w:rsidRDefault="006B4DE6" w:rsidP="006B4DE6">
      <w:pPr>
        <w:spacing w:line="360" w:lineRule="auto"/>
        <w:rPr>
          <w:rFonts w:ascii="Times New Roman" w:eastAsia="Calibri" w:hAnsi="Times New Roman" w:cs="Times New Roman"/>
          <w:b/>
          <w:color w:val="000000"/>
          <w:sz w:val="24"/>
          <w:szCs w:val="24"/>
          <w:highlight w:val="yellow"/>
          <w:lang w:val="en-AU"/>
        </w:rPr>
      </w:pPr>
      <w:r w:rsidRPr="00CB3771">
        <w:rPr>
          <w:rFonts w:ascii="Times New Roman" w:eastAsia="Calibri" w:hAnsi="Times New Roman" w:cs="Times New Roman"/>
          <w:b/>
          <w:color w:val="000000"/>
          <w:sz w:val="24"/>
          <w:szCs w:val="24"/>
          <w:lang w:val="en-AU"/>
        </w:rPr>
        <w:t>Subjects</w:t>
      </w:r>
      <w:bookmarkEnd w:id="9"/>
    </w:p>
    <w:p w14:paraId="34AB3BA0" w14:textId="49A08C31" w:rsidR="006B4DE6" w:rsidRPr="00CB3771" w:rsidRDefault="006B4DE6" w:rsidP="006B4DE6">
      <w:pPr>
        <w:spacing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Subjects were thirty-two (total N = 32) male Long Evans rats (Monash Animal Services, Gippsland, Victoria, Australia) approximately 4 months old, weighing between 285-350 g (M = 319.7 g).</w:t>
      </w:r>
    </w:p>
    <w:p w14:paraId="281B272B"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10" w:name="_Toc417305025"/>
      <w:r w:rsidRPr="00CB3771">
        <w:rPr>
          <w:rFonts w:ascii="Times New Roman" w:eastAsia="Times New Roman" w:hAnsi="Times New Roman" w:cs="Times New Roman"/>
          <w:b/>
          <w:i/>
          <w:color w:val="000000"/>
          <w:sz w:val="24"/>
          <w:szCs w:val="24"/>
          <w:lang w:val="en-AU"/>
        </w:rPr>
        <w:t>Pavlovian Acquisition</w:t>
      </w:r>
      <w:bookmarkEnd w:id="10"/>
    </w:p>
    <w:p w14:paraId="34BA5F62"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Animals were given 9</w:t>
      </w:r>
      <w:r w:rsidRPr="00CB3771">
        <w:rPr>
          <w:rFonts w:ascii="Times New Roman" w:eastAsia="Calibri" w:hAnsi="Times New Roman" w:cs="Times New Roman"/>
          <w:b/>
          <w:color w:val="000000"/>
          <w:sz w:val="24"/>
          <w:szCs w:val="24"/>
          <w:lang w:val="en-AU"/>
        </w:rPr>
        <w:t xml:space="preserve"> </w:t>
      </w:r>
      <w:r w:rsidRPr="00CB3771">
        <w:rPr>
          <w:rFonts w:ascii="Times New Roman" w:eastAsia="Calibri" w:hAnsi="Times New Roman" w:cs="Times New Roman"/>
          <w:color w:val="000000"/>
          <w:sz w:val="24"/>
          <w:szCs w:val="24"/>
          <w:lang w:val="en-AU"/>
        </w:rPr>
        <w:t xml:space="preserve">sessions, 1 session per day, of Pavlovian acquisition training with session parameters identical to those described in Experiment 3a. This number of session was chosen because the effect of pre-training lesions appeared after around 9 session in Experiments 3a and 3b. Briefly, each session consisted of a VT90s ITI with 16 trials consisting of a 15s click CS co-terminating with a single pellet US. Following the final day of training all animals were taken off food restriction and received surgical implantation of guide cannulae. </w:t>
      </w:r>
    </w:p>
    <w:p w14:paraId="6CEA065E"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1" w:name="_Toc417305026"/>
      <w:r w:rsidRPr="00CB3771">
        <w:rPr>
          <w:rFonts w:ascii="Times New Roman" w:eastAsia="Calibri" w:hAnsi="Times New Roman" w:cs="Times New Roman"/>
          <w:b/>
          <w:color w:val="000000"/>
          <w:sz w:val="24"/>
          <w:szCs w:val="24"/>
          <w:lang w:val="en-AU"/>
        </w:rPr>
        <w:t>Post-Training</w:t>
      </w:r>
      <w:bookmarkEnd w:id="11"/>
    </w:p>
    <w:p w14:paraId="69034732"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12" w:name="_Toc417305027"/>
      <w:r w:rsidRPr="00CB3771">
        <w:rPr>
          <w:rFonts w:ascii="Times New Roman" w:eastAsia="Times New Roman" w:hAnsi="Times New Roman" w:cs="Times New Roman"/>
          <w:b/>
          <w:i/>
          <w:color w:val="000000"/>
          <w:sz w:val="24"/>
          <w:szCs w:val="24"/>
          <w:lang w:val="en-AU"/>
        </w:rPr>
        <w:t>Pre-Infusion</w:t>
      </w:r>
      <w:bookmarkEnd w:id="12"/>
    </w:p>
    <w:p w14:paraId="3DCF3D87"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Following post-operative recovery animals were returned to food restriction for a day before receiving a further 2 days of acquisition training as per pre-training. However, immediately prior to entering the chamber all animals received a dummy infusion. </w:t>
      </w:r>
    </w:p>
    <w:p w14:paraId="52784141"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13" w:name="_Toc417305028"/>
      <w:r w:rsidRPr="00CB3771">
        <w:rPr>
          <w:rFonts w:ascii="Times New Roman" w:eastAsia="Times New Roman" w:hAnsi="Times New Roman" w:cs="Times New Roman"/>
          <w:b/>
          <w:i/>
          <w:color w:val="000000"/>
          <w:sz w:val="24"/>
          <w:szCs w:val="24"/>
          <w:lang w:val="en-AU"/>
        </w:rPr>
        <w:t>Infusion</w:t>
      </w:r>
      <w:bookmarkEnd w:id="13"/>
    </w:p>
    <w:p w14:paraId="6A6C32F4"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Animals were assigned to one of two infusion groups such that performance there were no differences between groups on the final day of pre-infusion acquisition. For the next 4 days, all animals received an infusion of saline or Muscimol immediately prior to entering the testing chamber for a Pavlovian acquisition session.</w:t>
      </w:r>
    </w:p>
    <w:p w14:paraId="53EB9A66"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14" w:name="_Toc417305029"/>
      <w:r w:rsidRPr="00CB3771">
        <w:rPr>
          <w:rFonts w:ascii="Times New Roman" w:eastAsia="Times New Roman" w:hAnsi="Times New Roman" w:cs="Times New Roman"/>
          <w:b/>
          <w:i/>
          <w:color w:val="000000"/>
          <w:sz w:val="24"/>
          <w:szCs w:val="24"/>
          <w:lang w:val="en-AU"/>
        </w:rPr>
        <w:lastRenderedPageBreak/>
        <w:t>Post-Infusion</w:t>
      </w:r>
      <w:bookmarkEnd w:id="14"/>
    </w:p>
    <w:p w14:paraId="108F1A24"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the final 2 days of training all animals received a further 2 days of acquisition training immediately preceded by a dummy infusion.</w:t>
      </w:r>
    </w:p>
    <w:p w14:paraId="5CEA9DCF"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5" w:name="_Toc417305032"/>
      <w:r w:rsidRPr="00CB3771">
        <w:rPr>
          <w:rFonts w:ascii="Times New Roman" w:eastAsia="Calibri" w:hAnsi="Times New Roman" w:cs="Times New Roman"/>
          <w:b/>
          <w:color w:val="000000"/>
          <w:sz w:val="24"/>
          <w:szCs w:val="24"/>
          <w:lang w:val="en-AU"/>
        </w:rPr>
        <w:t>Histology and Group Allocation</w:t>
      </w:r>
      <w:bookmarkEnd w:id="15"/>
    </w:p>
    <w:p w14:paraId="2FB4FA06" w14:textId="6C75D9A5" w:rsidR="006B4DE6" w:rsidRPr="00CB3771" w:rsidRDefault="006B4DE6" w:rsidP="006B4DE6">
      <w:pPr>
        <w:spacing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Cannulae placements are illustrated </w:t>
      </w:r>
      <w:r w:rsidRPr="00CB3771">
        <w:rPr>
          <w:rFonts w:ascii="Times New Roman" w:eastAsia="Calibri" w:hAnsi="Times New Roman" w:cs="Times New Roman"/>
          <w:sz w:val="24"/>
          <w:szCs w:val="24"/>
          <w:lang w:val="en-AU"/>
        </w:rPr>
        <w:t xml:space="preserve">in </w:t>
      </w:r>
      <w:r w:rsidR="00D26418" w:rsidRPr="00CB3771">
        <w:rPr>
          <w:rFonts w:ascii="Times New Roman" w:eastAsia="Calibri" w:hAnsi="Times New Roman" w:cs="Times New Roman"/>
          <w:color w:val="000000"/>
          <w:sz w:val="24"/>
          <w:szCs w:val="24"/>
          <w:lang w:val="en-AU"/>
        </w:rPr>
        <w:t xml:space="preserve">Figure </w:t>
      </w:r>
      <w:r w:rsidR="00D26418">
        <w:rPr>
          <w:rFonts w:ascii="Times New Roman" w:eastAsia="Calibri" w:hAnsi="Times New Roman" w:cs="Times New Roman"/>
          <w:color w:val="000000"/>
          <w:sz w:val="24"/>
          <w:szCs w:val="24"/>
          <w:lang w:val="en-AU"/>
        </w:rPr>
        <w:t>2</w:t>
      </w:r>
      <w:r w:rsidR="00D26418">
        <w:rPr>
          <w:rFonts w:ascii="Times New Roman" w:eastAsia="Calibri" w:hAnsi="Times New Roman" w:cs="Times New Roman"/>
          <w:color w:val="000000"/>
          <w:sz w:val="24"/>
          <w:szCs w:val="24"/>
          <w:lang w:val="en-AU"/>
        </w:rPr>
        <w:t xml:space="preserve">-figure supplement </w:t>
      </w:r>
      <w:r w:rsidR="00D26418">
        <w:rPr>
          <w:rFonts w:ascii="Times New Roman" w:eastAsia="Calibri" w:hAnsi="Times New Roman" w:cs="Times New Roman"/>
          <w:color w:val="000000"/>
          <w:sz w:val="24"/>
          <w:szCs w:val="24"/>
          <w:lang w:val="en-AU"/>
        </w:rPr>
        <w:t>2</w:t>
      </w:r>
      <w:r w:rsidRPr="00CB3771">
        <w:rPr>
          <w:rFonts w:ascii="Times New Roman" w:eastAsia="Calibri" w:hAnsi="Times New Roman" w:cs="Times New Roman"/>
          <w:sz w:val="24"/>
          <w:szCs w:val="24"/>
          <w:lang w:val="en-AU"/>
        </w:rPr>
        <w:t xml:space="preserve">. One animal </w:t>
      </w:r>
      <w:r w:rsidRPr="00CB3771">
        <w:rPr>
          <w:rFonts w:ascii="Times New Roman" w:eastAsia="Calibri" w:hAnsi="Times New Roman" w:cs="Times New Roman"/>
          <w:color w:val="000000"/>
          <w:sz w:val="24"/>
          <w:szCs w:val="24"/>
          <w:lang w:val="en-AU"/>
        </w:rPr>
        <w:t xml:space="preserve">did not recover from surgery and was excluded. Three animals were excluded as a result of the cannulae assembly detaching from the skull. A further 3 animals were excluded as a result of failing to consume the pellets after recovery from surgery. One animal from the muscimol group was excluded from analysis as a result of a cannula tip embedded within the white matter of the forceps minor of the corpus callosum. Therefore, a total of 8 animals were excluded leaving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xml:space="preserve"> = 24 (saline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xml:space="preserve"> = 12, muscimol </w:t>
      </w:r>
      <w:r w:rsidRPr="00CB3771">
        <w:rPr>
          <w:rFonts w:ascii="Times New Roman" w:eastAsia="Calibri" w:hAnsi="Times New Roman" w:cs="Times New Roman"/>
          <w:i/>
          <w:color w:val="000000"/>
          <w:sz w:val="24"/>
          <w:szCs w:val="24"/>
          <w:lang w:val="en-AU"/>
        </w:rPr>
        <w:t>n</w:t>
      </w:r>
      <w:r w:rsidRPr="00CB3771">
        <w:rPr>
          <w:rFonts w:ascii="Times New Roman" w:eastAsia="Calibri" w:hAnsi="Times New Roman" w:cs="Times New Roman"/>
          <w:color w:val="000000"/>
          <w:sz w:val="24"/>
          <w:szCs w:val="24"/>
          <w:lang w:val="en-AU"/>
        </w:rPr>
        <w:t xml:space="preserve"> = 12).</w:t>
      </w:r>
    </w:p>
    <w:p w14:paraId="4CE87A44"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16" w:name="_Toc417305033"/>
      <w:r w:rsidRPr="00CB3771">
        <w:rPr>
          <w:rFonts w:ascii="Times New Roman" w:eastAsia="Calibri" w:hAnsi="Times New Roman" w:cs="Times New Roman"/>
          <w:b/>
          <w:color w:val="000000"/>
          <w:sz w:val="24"/>
          <w:szCs w:val="24"/>
          <w:lang w:val="en-AU"/>
        </w:rPr>
        <w:t>PreCS Rates</w:t>
      </w:r>
      <w:bookmarkEnd w:id="16"/>
    </w:p>
    <w:p w14:paraId="0DA7647D"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PreCS baseline responding did not differ between infusion groups across training and justified the use of CS-preCS difference scores for analyses of discriminative responding. In particular, during the infusion period a Group x Day (4 days) mixed ANOVA on preCS responses revealed a significant effect of Day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(3, 66)</w:t>
      </w:r>
      <w:r w:rsidRPr="00CB3771">
        <w:rPr>
          <w:rFonts w:ascii="Times New Roman" w:eastAsia="Calibri" w:hAnsi="Times New Roman" w:cs="Times New Roman"/>
          <w:color w:val="000000"/>
          <w:sz w:val="24"/>
          <w:szCs w:val="24"/>
          <w:lang w:val="en-AU"/>
        </w:rPr>
        <w:t xml:space="preserve"> = 5.95,</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.001</w:t>
      </w:r>
      <w:r w:rsidRPr="00CB3771">
        <w:rPr>
          <w:rFonts w:ascii="Times New Roman" w:eastAsia="Times New Roman" w:hAnsi="Times New Roman" w:cs="Times New Roman"/>
          <w:color w:val="000000"/>
          <w:sz w:val="24"/>
          <w:szCs w:val="24"/>
          <w:lang w:val="en-AU"/>
        </w:rPr>
        <w:t xml:space="preserve">) but no significant effect of Group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(1, 22)</w:t>
      </w:r>
      <w:r w:rsidRPr="00CB3771">
        <w:rPr>
          <w:rFonts w:ascii="Times New Roman" w:eastAsia="Calibri" w:hAnsi="Times New Roman" w:cs="Times New Roman"/>
          <w:color w:val="000000"/>
          <w:sz w:val="24"/>
          <w:szCs w:val="24"/>
          <w:lang w:val="en-AU"/>
        </w:rPr>
        <w:t xml:space="preserve"> = 0.01,</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.93</w:t>
      </w:r>
      <w:r w:rsidRPr="00CB3771">
        <w:rPr>
          <w:rFonts w:ascii="Times New Roman" w:eastAsia="Times New Roman" w:hAnsi="Times New Roman" w:cs="Times New Roman"/>
          <w:color w:val="000000"/>
          <w:sz w:val="24"/>
          <w:szCs w:val="24"/>
          <w:lang w:val="en-AU"/>
        </w:rPr>
        <w:t xml:space="preserve">) or Group x Day interaction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(3, 66)</w:t>
      </w:r>
      <w:r w:rsidRPr="00CB3771">
        <w:rPr>
          <w:rFonts w:ascii="Times New Roman" w:eastAsia="Calibri" w:hAnsi="Times New Roman" w:cs="Times New Roman"/>
          <w:color w:val="000000"/>
          <w:sz w:val="24"/>
          <w:szCs w:val="24"/>
          <w:lang w:val="en-AU"/>
        </w:rPr>
        <w:t xml:space="preserve"> = 0.41,</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 .741</w:t>
      </w:r>
      <w:r w:rsidRPr="00CB3771">
        <w:rPr>
          <w:rFonts w:ascii="Times New Roman" w:eastAsia="Times New Roman" w:hAnsi="Times New Roman" w:cs="Times New Roman"/>
          <w:color w:val="000000"/>
          <w:sz w:val="24"/>
          <w:szCs w:val="24"/>
          <w:lang w:val="en-AU"/>
        </w:rPr>
        <w:t xml:space="preserve">). PreCS response rates on these days were, saline </w:t>
      </w:r>
      <w:r w:rsidRPr="00CB3771">
        <w:rPr>
          <w:rFonts w:ascii="Times New Roman" w:eastAsia="Times New Roman" w:hAnsi="Times New Roman" w:cs="Times New Roman"/>
          <w:i/>
          <w:color w:val="000000"/>
          <w:sz w:val="24"/>
          <w:szCs w:val="24"/>
          <w:lang w:val="en-AU"/>
        </w:rPr>
        <w:t>M</w:t>
      </w:r>
      <w:r w:rsidRPr="00CB3771">
        <w:rPr>
          <w:rFonts w:ascii="Times New Roman" w:eastAsia="Times New Roman" w:hAnsi="Times New Roman" w:cs="Times New Roman"/>
          <w:color w:val="000000"/>
          <w:sz w:val="24"/>
          <w:szCs w:val="24"/>
          <w:lang w:val="en-AU"/>
        </w:rPr>
        <w:t xml:space="preserve"> = 0.70, </w:t>
      </w:r>
      <w:r w:rsidRPr="00CB3771">
        <w:rPr>
          <w:rFonts w:ascii="Times New Roman" w:eastAsia="Times New Roman" w:hAnsi="Times New Roman" w:cs="Times New Roman"/>
          <w:i/>
          <w:color w:val="000000"/>
          <w:sz w:val="24"/>
          <w:szCs w:val="24"/>
          <w:lang w:val="en-AU"/>
        </w:rPr>
        <w:t xml:space="preserve">SD </w:t>
      </w:r>
      <w:r w:rsidRPr="00CB3771">
        <w:rPr>
          <w:rFonts w:ascii="Times New Roman" w:eastAsia="Times New Roman" w:hAnsi="Times New Roman" w:cs="Times New Roman"/>
          <w:color w:val="000000"/>
          <w:sz w:val="24"/>
          <w:szCs w:val="24"/>
          <w:lang w:val="en-AU"/>
        </w:rPr>
        <w:t>= .48, muscimol</w:t>
      </w:r>
      <w:r w:rsidRPr="00CB3771">
        <w:rPr>
          <w:rFonts w:ascii="Times New Roman" w:eastAsia="Times New Roman" w:hAnsi="Times New Roman" w:cs="Times New Roman"/>
          <w:i/>
          <w:color w:val="000000"/>
          <w:sz w:val="24"/>
          <w:szCs w:val="24"/>
          <w:lang w:val="en-AU"/>
        </w:rPr>
        <w:t xml:space="preserve"> M</w:t>
      </w:r>
      <w:r w:rsidRPr="00CB3771">
        <w:rPr>
          <w:rFonts w:ascii="Times New Roman" w:eastAsia="Times New Roman" w:hAnsi="Times New Roman" w:cs="Times New Roman"/>
          <w:color w:val="000000"/>
          <w:sz w:val="24"/>
          <w:szCs w:val="24"/>
          <w:lang w:val="en-AU"/>
        </w:rPr>
        <w:t xml:space="preserve"> = 0.72, </w:t>
      </w:r>
      <w:r w:rsidRPr="00CB3771">
        <w:rPr>
          <w:rFonts w:ascii="Times New Roman" w:eastAsia="Times New Roman" w:hAnsi="Times New Roman" w:cs="Times New Roman"/>
          <w:i/>
          <w:color w:val="000000"/>
          <w:sz w:val="24"/>
          <w:szCs w:val="24"/>
          <w:lang w:val="en-AU"/>
        </w:rPr>
        <w:t xml:space="preserve">SD </w:t>
      </w:r>
      <w:r w:rsidRPr="00CB3771">
        <w:rPr>
          <w:rFonts w:ascii="Times New Roman" w:eastAsia="Times New Roman" w:hAnsi="Times New Roman" w:cs="Times New Roman"/>
          <w:color w:val="000000"/>
          <w:sz w:val="24"/>
          <w:szCs w:val="24"/>
          <w:lang w:val="en-AU"/>
        </w:rPr>
        <w:t>= .48.</w:t>
      </w:r>
    </w:p>
    <w:p w14:paraId="1C235FDE" w14:textId="77777777" w:rsidR="000847C6" w:rsidRDefault="000847C6" w:rsidP="000847C6">
      <w:pPr>
        <w:pStyle w:val="BodyText"/>
        <w:jc w:val="center"/>
      </w:pPr>
      <w:r>
        <w:rPr>
          <w:b/>
        </w:rPr>
        <w:t>Experiment 3: Post-Training OFC lesions</w:t>
      </w:r>
    </w:p>
    <w:p w14:paraId="69C6C475" w14:textId="06B9ACB5" w:rsidR="006B4DE6" w:rsidRPr="00CB3771" w:rsidRDefault="006B4DE6" w:rsidP="006B4DE6">
      <w:pPr>
        <w:spacing w:line="360" w:lineRule="auto"/>
        <w:jc w:val="center"/>
        <w:rPr>
          <w:rFonts w:ascii="Times New Roman" w:eastAsia="Calibri" w:hAnsi="Times New Roman" w:cs="Times New Roman"/>
          <w:b/>
          <w:color w:val="000000"/>
          <w:sz w:val="24"/>
          <w:szCs w:val="24"/>
          <w:lang w:val="en-AU"/>
        </w:rPr>
      </w:pPr>
    </w:p>
    <w:p w14:paraId="096BAD6D" w14:textId="77777777" w:rsidR="006B4DE6" w:rsidRPr="00CB3771" w:rsidRDefault="006B4DE6" w:rsidP="006B4DE6">
      <w:pPr>
        <w:spacing w:line="360" w:lineRule="auto"/>
        <w:jc w:val="center"/>
        <w:rPr>
          <w:rFonts w:ascii="Times New Roman" w:eastAsia="Calibri" w:hAnsi="Times New Roman" w:cs="Times New Roman"/>
          <w:b/>
          <w:color w:val="000000"/>
          <w:sz w:val="24"/>
          <w:szCs w:val="24"/>
          <w:lang w:val="en-AU"/>
        </w:rPr>
      </w:pPr>
      <w:bookmarkStart w:id="17" w:name="_Toc417305042"/>
      <w:bookmarkStart w:id="18" w:name="_Toc417312604"/>
      <w:r w:rsidRPr="00CB3771">
        <w:rPr>
          <w:rFonts w:ascii="Times New Roman" w:eastAsia="Calibri" w:hAnsi="Times New Roman" w:cs="Times New Roman"/>
          <w:b/>
          <w:color w:val="000000"/>
          <w:sz w:val="24"/>
          <w:szCs w:val="24"/>
          <w:lang w:val="en-AU"/>
        </w:rPr>
        <w:t>Methods</w:t>
      </w:r>
      <w:bookmarkEnd w:id="17"/>
      <w:bookmarkEnd w:id="18"/>
    </w:p>
    <w:p w14:paraId="02E8D7D0" w14:textId="77777777" w:rsidR="006B4DE6" w:rsidRPr="00CB3771" w:rsidRDefault="006B4DE6" w:rsidP="006B4DE6">
      <w:pPr>
        <w:spacing w:line="360" w:lineRule="auto"/>
        <w:rPr>
          <w:rFonts w:ascii="Times New Roman" w:eastAsia="Calibri" w:hAnsi="Times New Roman" w:cs="Times New Roman"/>
          <w:b/>
          <w:color w:val="000000"/>
          <w:sz w:val="24"/>
          <w:szCs w:val="24"/>
          <w:highlight w:val="yellow"/>
          <w:lang w:val="en-AU"/>
        </w:rPr>
      </w:pPr>
      <w:bookmarkStart w:id="19" w:name="_Toc417305043"/>
      <w:r w:rsidRPr="00CB3771">
        <w:rPr>
          <w:rFonts w:ascii="Times New Roman" w:eastAsia="Calibri" w:hAnsi="Times New Roman" w:cs="Times New Roman"/>
          <w:b/>
          <w:color w:val="000000"/>
          <w:sz w:val="24"/>
          <w:szCs w:val="24"/>
          <w:lang w:val="en-AU"/>
        </w:rPr>
        <w:t>Subjects</w:t>
      </w:r>
      <w:bookmarkEnd w:id="19"/>
    </w:p>
    <w:p w14:paraId="39ABF64B"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Subjects were twenty-four (total N = 24) male Long Evans rats (Monash Animal Services, Gippsland, Victoria, Australia) approximately 4 months old, weighing between 317-369 g (M = 338.9 g). </w:t>
      </w:r>
    </w:p>
    <w:p w14:paraId="151469C7"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20" w:name="_Toc417305046"/>
      <w:r w:rsidRPr="00CB3771">
        <w:rPr>
          <w:rFonts w:ascii="Times New Roman" w:eastAsia="Calibri" w:hAnsi="Times New Roman" w:cs="Times New Roman"/>
          <w:b/>
          <w:color w:val="000000"/>
          <w:sz w:val="24"/>
          <w:szCs w:val="24"/>
          <w:lang w:val="en-AU"/>
        </w:rPr>
        <w:t>Pre-lesion Training</w:t>
      </w:r>
      <w:bookmarkEnd w:id="20"/>
    </w:p>
    <w:p w14:paraId="4B2AA932"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21" w:name="_Toc417305048"/>
      <w:r w:rsidRPr="00CB3771">
        <w:rPr>
          <w:rFonts w:ascii="Times New Roman" w:eastAsia="Times New Roman" w:hAnsi="Times New Roman" w:cs="Times New Roman"/>
          <w:b/>
          <w:i/>
          <w:color w:val="000000"/>
          <w:sz w:val="24"/>
          <w:szCs w:val="24"/>
          <w:lang w:val="en-AU"/>
        </w:rPr>
        <w:lastRenderedPageBreak/>
        <w:t>Pavlovian Acquisition</w:t>
      </w:r>
      <w:bookmarkEnd w:id="21"/>
    </w:p>
    <w:p w14:paraId="3EA9BBF4"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All animals received 9 days of Pavlovian acquisition training, 1 session per day. On the final day of training all animals were removed from food restriction for at least 24 hours before receiving sham or excitotoxic lesions of the OFC. Lesion conditions were pseudo-randomly assigned to animals such that group performance was matched on the final day of acquisition and an equal number of animals were assigned to each lesion condition in each homecage.</w:t>
      </w:r>
    </w:p>
    <w:p w14:paraId="109C62D9"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22" w:name="_Toc417305049"/>
      <w:r w:rsidRPr="00CB3771">
        <w:rPr>
          <w:rFonts w:ascii="Times New Roman" w:eastAsia="Calibri" w:hAnsi="Times New Roman" w:cs="Times New Roman"/>
          <w:b/>
          <w:color w:val="000000"/>
          <w:sz w:val="24"/>
          <w:szCs w:val="24"/>
          <w:lang w:val="en-AU"/>
        </w:rPr>
        <w:t>Post-lesion Training</w:t>
      </w:r>
      <w:bookmarkEnd w:id="22"/>
    </w:p>
    <w:p w14:paraId="5A88E530"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23" w:name="_Toc417305050"/>
      <w:r w:rsidRPr="00CB3771">
        <w:rPr>
          <w:rFonts w:ascii="Times New Roman" w:eastAsia="Times New Roman" w:hAnsi="Times New Roman" w:cs="Times New Roman"/>
          <w:b/>
          <w:i/>
          <w:color w:val="000000"/>
          <w:sz w:val="24"/>
          <w:szCs w:val="24"/>
          <w:lang w:val="en-AU"/>
        </w:rPr>
        <w:t>Pavlovian Acquisition</w:t>
      </w:r>
      <w:bookmarkEnd w:id="23"/>
    </w:p>
    <w:p w14:paraId="50CD51C8"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Following post-operative recovery all animals were returned to food restriction for 24 hrs before receiving an additional 9 days of acquisition training.</w:t>
      </w:r>
    </w:p>
    <w:p w14:paraId="6FC73C58"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24" w:name="_Toc417305053"/>
      <w:r w:rsidRPr="00CB3771">
        <w:rPr>
          <w:rFonts w:ascii="Times New Roman" w:eastAsia="Calibri" w:hAnsi="Times New Roman" w:cs="Times New Roman"/>
          <w:b/>
          <w:color w:val="000000"/>
          <w:sz w:val="24"/>
          <w:szCs w:val="24"/>
          <w:lang w:val="en-AU"/>
        </w:rPr>
        <w:t>Histology and Group Allocation</w:t>
      </w:r>
      <w:bookmarkEnd w:id="24"/>
    </w:p>
    <w:p w14:paraId="4963023D" w14:textId="7CFC3AD2" w:rsidR="006B4DE6" w:rsidRPr="00CB3771" w:rsidRDefault="006B4DE6" w:rsidP="006B4DE6">
      <w:pPr>
        <w:spacing w:after="240" w:line="360" w:lineRule="auto"/>
        <w:rPr>
          <w:rFonts w:ascii="Times New Roman" w:eastAsia="Times New Roman" w:hAnsi="Times New Roman" w:cs="Times New Roman"/>
          <w:color w:val="000000"/>
          <w:sz w:val="24"/>
          <w:szCs w:val="24"/>
          <w:lang w:val="en-AU" w:eastAsia="en-AU"/>
        </w:rPr>
      </w:pPr>
      <w:r w:rsidRPr="00CB3771">
        <w:rPr>
          <w:rFonts w:ascii="Times New Roman" w:eastAsia="Calibri" w:hAnsi="Times New Roman" w:cs="Times New Roman"/>
          <w:color w:val="000000"/>
          <w:sz w:val="24"/>
          <w:szCs w:val="24"/>
          <w:lang w:val="en-AU"/>
        </w:rPr>
        <w:t xml:space="preserve">Lesion damage is depicted </w:t>
      </w:r>
      <w:r w:rsidRPr="00CB3771">
        <w:rPr>
          <w:rFonts w:ascii="Times New Roman" w:eastAsia="Calibri" w:hAnsi="Times New Roman" w:cs="Times New Roman"/>
          <w:sz w:val="24"/>
          <w:szCs w:val="24"/>
          <w:lang w:val="en-AU"/>
        </w:rPr>
        <w:t xml:space="preserve">in </w:t>
      </w:r>
      <w:r w:rsidR="006C019A" w:rsidRPr="00CB3771">
        <w:rPr>
          <w:rFonts w:ascii="Times New Roman" w:eastAsia="Calibri" w:hAnsi="Times New Roman" w:cs="Times New Roman"/>
          <w:color w:val="000000"/>
          <w:sz w:val="24"/>
          <w:szCs w:val="24"/>
          <w:lang w:val="en-AU"/>
        </w:rPr>
        <w:t xml:space="preserve">Figure </w:t>
      </w:r>
      <w:r w:rsidR="006C019A">
        <w:rPr>
          <w:rFonts w:ascii="Times New Roman" w:eastAsia="Calibri" w:hAnsi="Times New Roman" w:cs="Times New Roman"/>
          <w:color w:val="000000"/>
          <w:sz w:val="24"/>
          <w:szCs w:val="24"/>
          <w:lang w:val="en-AU"/>
        </w:rPr>
        <w:t xml:space="preserve">2-figure supplement </w:t>
      </w:r>
      <w:r w:rsidR="006C019A">
        <w:rPr>
          <w:rFonts w:ascii="Times New Roman" w:eastAsia="Calibri" w:hAnsi="Times New Roman" w:cs="Times New Roman"/>
          <w:color w:val="000000"/>
          <w:sz w:val="24"/>
          <w:szCs w:val="24"/>
          <w:lang w:val="en-AU"/>
        </w:rPr>
        <w:t>3</w:t>
      </w:r>
      <w:r w:rsidRPr="00CB3771">
        <w:rPr>
          <w:rFonts w:ascii="Times New Roman" w:eastAsia="Calibri" w:hAnsi="Times New Roman" w:cs="Times New Roman"/>
          <w:sz w:val="24"/>
          <w:szCs w:val="24"/>
          <w:lang w:val="en-AU"/>
        </w:rPr>
        <w:t xml:space="preserve">. Lesion </w:t>
      </w:r>
      <w:r w:rsidRPr="00CB3771">
        <w:rPr>
          <w:rFonts w:ascii="Times New Roman" w:eastAsia="Calibri" w:hAnsi="Times New Roman" w:cs="Times New Roman"/>
          <w:color w:val="000000"/>
          <w:sz w:val="24"/>
          <w:szCs w:val="24"/>
          <w:lang w:val="en-AU"/>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CB3771">
        <w:rPr>
          <w:rFonts w:ascii="Times New Roman" w:eastAsia="Times New Roman" w:hAnsi="Times New Roman" w:cs="Times New Roman"/>
          <w:color w:val="000000"/>
          <w:sz w:val="24"/>
          <w:szCs w:val="24"/>
          <w:lang w:val="en-AU" w:eastAsia="en-AU"/>
        </w:rPr>
        <w:t xml:space="preserve">dorsal part of the anterior olfactory nucleus ventral to LO/DLO or if there was extensive damage to the white matter of the forceps minor of the corpus callosum. Three lesion animals had only unilateral OFC damage and were excluded from analysis (final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21; sham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12, lesion </w:t>
      </w:r>
      <w:r w:rsidRPr="00CB3771">
        <w:rPr>
          <w:rFonts w:ascii="Times New Roman" w:eastAsia="Times New Roman" w:hAnsi="Times New Roman" w:cs="Times New Roman"/>
          <w:i/>
          <w:color w:val="000000"/>
          <w:sz w:val="24"/>
          <w:szCs w:val="24"/>
          <w:lang w:val="en-AU" w:eastAsia="en-AU"/>
        </w:rPr>
        <w:t>n</w:t>
      </w:r>
      <w:r w:rsidRPr="00CB3771">
        <w:rPr>
          <w:rFonts w:ascii="Times New Roman" w:eastAsia="Times New Roman" w:hAnsi="Times New Roman" w:cs="Times New Roman"/>
          <w:color w:val="000000"/>
          <w:sz w:val="24"/>
          <w:szCs w:val="24"/>
          <w:lang w:val="en-AU" w:eastAsia="en-AU"/>
        </w:rPr>
        <w:t xml:space="preserve"> = 9).</w:t>
      </w:r>
    </w:p>
    <w:p w14:paraId="7659CB2E"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25" w:name="_Toc417305054"/>
      <w:r w:rsidRPr="00CB3771">
        <w:rPr>
          <w:rFonts w:ascii="Times New Roman" w:eastAsia="Calibri" w:hAnsi="Times New Roman" w:cs="Times New Roman"/>
          <w:b/>
          <w:color w:val="000000"/>
          <w:sz w:val="24"/>
          <w:szCs w:val="24"/>
          <w:lang w:val="en-AU"/>
        </w:rPr>
        <w:t>PreCS Responding</w:t>
      </w:r>
      <w:bookmarkEnd w:id="25"/>
    </w:p>
    <w:p w14:paraId="6DD48890"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PreCS levels of responding did not differ between groups across days of training, and on the final block of 3 days (post-operative) response rates (15s) were sham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2.55,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2.03, lesion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2.74,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0.94. A mixed Group x DayBlock (6 blocks of 3 days) ANOVA on preCS responding supported this observation with only a significant main effect of DayBlock </w:t>
      </w:r>
      <w:r w:rsidRPr="00CB3771">
        <w:rPr>
          <w:rFonts w:ascii="Times New Roman" w:eastAsia="Times New Roman" w:hAnsi="Times New Roman" w:cs="Times New Roman"/>
          <w:color w:val="000000"/>
          <w:sz w:val="24"/>
          <w:szCs w:val="24"/>
          <w:lang w:val="en-AU" w:eastAsia="en-AU"/>
        </w:rPr>
        <w:t>(</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(5, 95)</w:t>
      </w:r>
      <w:r w:rsidRPr="00CB3771">
        <w:rPr>
          <w:rFonts w:ascii="Times New Roman" w:eastAsia="Calibri" w:hAnsi="Times New Roman" w:cs="Times New Roman"/>
          <w:color w:val="000000"/>
          <w:sz w:val="24"/>
          <w:szCs w:val="24"/>
          <w:lang w:val="en-AU"/>
        </w:rPr>
        <w:t xml:space="preserve"> = 11.52,</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&lt; .001</w:t>
      </w:r>
      <w:r w:rsidRPr="00CB3771">
        <w:rPr>
          <w:rFonts w:ascii="Times New Roman" w:eastAsia="Times New Roman" w:hAnsi="Times New Roman" w:cs="Times New Roman"/>
          <w:color w:val="000000"/>
          <w:sz w:val="24"/>
          <w:szCs w:val="24"/>
          <w:lang w:val="en-AU"/>
        </w:rPr>
        <w:t xml:space="preserve">, effect of Group and Group x DayBlock interaction </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lang w:val="en-AU"/>
        </w:rPr>
        <w:t xml:space="preserve"> &lt; 1.00,</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&gt; .81</w:t>
      </w:r>
      <w:r w:rsidRPr="00CB3771">
        <w:rPr>
          <w:rFonts w:ascii="Times New Roman" w:eastAsia="Times New Roman" w:hAnsi="Times New Roman" w:cs="Times New Roman"/>
          <w:color w:val="000000"/>
          <w:sz w:val="24"/>
          <w:szCs w:val="24"/>
          <w:lang w:val="en-AU"/>
        </w:rPr>
        <w:t>)</w:t>
      </w:r>
      <w:r w:rsidRPr="00CB3771">
        <w:rPr>
          <w:rFonts w:ascii="Times New Roman" w:eastAsia="Calibri" w:hAnsi="Times New Roman" w:cs="Times New Roman"/>
          <w:color w:val="000000"/>
          <w:sz w:val="24"/>
          <w:szCs w:val="24"/>
          <w:lang w:val="en-AU"/>
        </w:rPr>
        <w:t xml:space="preserve">. </w:t>
      </w:r>
    </w:p>
    <w:p w14:paraId="6AA97FC6" w14:textId="77777777" w:rsidR="001D4A25" w:rsidRDefault="001D4A25" w:rsidP="001D4A25">
      <w:pPr>
        <w:pStyle w:val="BodyText"/>
        <w:jc w:val="center"/>
      </w:pPr>
      <w:bookmarkStart w:id="26" w:name="_Toc417305061"/>
      <w:r>
        <w:rPr>
          <w:b/>
        </w:rPr>
        <w:t>Experiment 4: OFC inactivation early in acquisition</w:t>
      </w:r>
    </w:p>
    <w:p w14:paraId="3203C753" w14:textId="77777777" w:rsidR="006B4DE6" w:rsidRPr="00CB3771" w:rsidRDefault="006B4DE6" w:rsidP="006B4DE6">
      <w:pPr>
        <w:spacing w:line="360" w:lineRule="auto"/>
        <w:rPr>
          <w:rFonts w:ascii="Times New Roman" w:eastAsia="Calibri" w:hAnsi="Times New Roman" w:cs="Times New Roman"/>
          <w:b/>
          <w:color w:val="000000"/>
          <w:sz w:val="24"/>
          <w:szCs w:val="24"/>
          <w:highlight w:val="yellow"/>
          <w:lang w:val="en-AU"/>
        </w:rPr>
      </w:pPr>
      <w:r w:rsidRPr="00CB3771">
        <w:rPr>
          <w:rFonts w:ascii="Times New Roman" w:eastAsia="Calibri" w:hAnsi="Times New Roman" w:cs="Times New Roman"/>
          <w:b/>
          <w:color w:val="000000"/>
          <w:sz w:val="24"/>
          <w:szCs w:val="24"/>
          <w:lang w:val="en-AU"/>
        </w:rPr>
        <w:t>Subjects</w:t>
      </w:r>
      <w:bookmarkEnd w:id="26"/>
    </w:p>
    <w:p w14:paraId="560298D0"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 xml:space="preserve">Subjects were thirty-two (total N = 16) male Long Evans rats (Monash Animal Services, Gippsland, Victoria, Australia) approximately 4 months old, weighing between 321-399 g (M = 357.4 g). </w:t>
      </w:r>
    </w:p>
    <w:p w14:paraId="3CAD3F5A"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27" w:name="_Toc417305063"/>
      <w:r w:rsidRPr="00CB3771">
        <w:rPr>
          <w:rFonts w:ascii="Times New Roman" w:eastAsia="Calibri" w:hAnsi="Times New Roman" w:cs="Times New Roman"/>
          <w:b/>
          <w:color w:val="000000"/>
          <w:sz w:val="24"/>
          <w:szCs w:val="24"/>
          <w:lang w:val="en-AU"/>
        </w:rPr>
        <w:t>Surgery</w:t>
      </w:r>
      <w:bookmarkEnd w:id="27"/>
    </w:p>
    <w:p w14:paraId="5D6426BA"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Surgical implantation of cannulae occurred prior to any behavioural training.</w:t>
      </w:r>
    </w:p>
    <w:p w14:paraId="662E8EE6"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r w:rsidRPr="00CB3771">
        <w:rPr>
          <w:rFonts w:ascii="Times New Roman" w:eastAsia="Times New Roman" w:hAnsi="Times New Roman" w:cs="Times New Roman"/>
          <w:b/>
          <w:i/>
          <w:color w:val="000000"/>
          <w:sz w:val="24"/>
          <w:szCs w:val="24"/>
          <w:lang w:val="en-AU"/>
        </w:rPr>
        <w:t>Pavlovian Acquisition</w:t>
      </w:r>
    </w:p>
    <w:p w14:paraId="232D0BE3" w14:textId="2EF1BE23"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Animals were given 10</w:t>
      </w:r>
      <w:r w:rsidRPr="00CB3771">
        <w:rPr>
          <w:rFonts w:ascii="Times New Roman" w:eastAsia="Calibri" w:hAnsi="Times New Roman" w:cs="Times New Roman"/>
          <w:b/>
          <w:color w:val="000000"/>
          <w:sz w:val="24"/>
          <w:szCs w:val="24"/>
          <w:lang w:val="en-AU"/>
        </w:rPr>
        <w:t xml:space="preserve"> </w:t>
      </w:r>
      <w:r w:rsidRPr="00CB3771">
        <w:rPr>
          <w:rFonts w:ascii="Times New Roman" w:eastAsia="Calibri" w:hAnsi="Times New Roman" w:cs="Times New Roman"/>
          <w:color w:val="000000"/>
          <w:sz w:val="24"/>
          <w:szCs w:val="24"/>
          <w:lang w:val="en-AU"/>
        </w:rPr>
        <w:t xml:space="preserve">sessions, 1 session per day. Briefly, each session consisted of a VI 200s ITI with 16 trials consisting of a 10s light CS (illumination of the house light at the back of the </w:t>
      </w:r>
      <w:r w:rsidR="00C708CA" w:rsidRPr="00CB3771">
        <w:rPr>
          <w:rFonts w:ascii="Times New Roman" w:eastAsia="Calibri" w:hAnsi="Times New Roman" w:cs="Times New Roman"/>
          <w:color w:val="000000"/>
          <w:sz w:val="24"/>
          <w:szCs w:val="24"/>
          <w:lang w:val="en-AU"/>
        </w:rPr>
        <w:t>chamber</w:t>
      </w:r>
      <w:r w:rsidRPr="00CB3771">
        <w:rPr>
          <w:rFonts w:ascii="Times New Roman" w:eastAsia="Calibri" w:hAnsi="Times New Roman" w:cs="Times New Roman"/>
          <w:color w:val="000000"/>
          <w:sz w:val="24"/>
          <w:szCs w:val="24"/>
          <w:lang w:val="en-AU"/>
        </w:rPr>
        <w:t>) co-terminating with a single pellet US. Subjects received mock infusions on days 3 and 4, and either Saline or Muscimol was infused prior to entering the chamber on days 5-9. On day 10 all animals received a mock infusion.</w:t>
      </w:r>
    </w:p>
    <w:p w14:paraId="122DC062" w14:textId="77777777" w:rsidR="006B4DE6" w:rsidRPr="00CB3771" w:rsidRDefault="006B4DE6" w:rsidP="006B4DE6">
      <w:pPr>
        <w:spacing w:after="240"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Histology and exclusions</w:t>
      </w:r>
    </w:p>
    <w:p w14:paraId="003A3CEF" w14:textId="3D66840C" w:rsidR="006B4DE6" w:rsidRPr="00CB3771" w:rsidRDefault="00FD1247" w:rsidP="006B4DE6">
      <w:pPr>
        <w:spacing w:line="360" w:lineRule="auto"/>
        <w:rPr>
          <w:rFonts w:ascii="Times New Roman" w:eastAsia="Calibri" w:hAnsi="Times New Roman" w:cs="Times New Roman"/>
          <w:sz w:val="24"/>
          <w:szCs w:val="24"/>
        </w:rPr>
      </w:pPr>
      <w:r w:rsidRPr="00CB3771">
        <w:rPr>
          <w:rFonts w:ascii="Times New Roman" w:eastAsia="Calibri" w:hAnsi="Times New Roman" w:cs="Times New Roman"/>
          <w:color w:val="000000"/>
          <w:sz w:val="24"/>
          <w:szCs w:val="24"/>
          <w:lang w:val="en-AU"/>
        </w:rPr>
        <w:t xml:space="preserve">Cannulae placements are illustrated </w:t>
      </w:r>
      <w:r w:rsidRPr="00CB3771">
        <w:rPr>
          <w:rFonts w:ascii="Times New Roman" w:eastAsia="Calibri" w:hAnsi="Times New Roman" w:cs="Times New Roman"/>
          <w:sz w:val="24"/>
          <w:szCs w:val="24"/>
          <w:lang w:val="en-AU"/>
        </w:rPr>
        <w:t xml:space="preserve">in </w:t>
      </w:r>
      <w:r w:rsidRPr="00CB3771">
        <w:rPr>
          <w:rFonts w:ascii="Times New Roman" w:eastAsia="Calibri" w:hAnsi="Times New Roman" w:cs="Times New Roman"/>
          <w:color w:val="000000"/>
          <w:sz w:val="24"/>
          <w:szCs w:val="24"/>
          <w:lang w:val="en-AU"/>
        </w:rPr>
        <w:t xml:space="preserve">Figure </w:t>
      </w:r>
      <w:r>
        <w:rPr>
          <w:rFonts w:ascii="Times New Roman" w:eastAsia="Calibri" w:hAnsi="Times New Roman" w:cs="Times New Roman"/>
          <w:color w:val="000000"/>
          <w:sz w:val="24"/>
          <w:szCs w:val="24"/>
          <w:lang w:val="en-AU"/>
        </w:rPr>
        <w:t xml:space="preserve">2-figure supplement </w:t>
      </w:r>
      <w:r>
        <w:rPr>
          <w:rFonts w:ascii="Times New Roman" w:eastAsia="Calibri" w:hAnsi="Times New Roman" w:cs="Times New Roman"/>
          <w:color w:val="000000"/>
          <w:sz w:val="24"/>
          <w:szCs w:val="24"/>
          <w:lang w:val="en-AU"/>
        </w:rPr>
        <w:t>4</w:t>
      </w:r>
      <w:r w:rsidRPr="00CB3771">
        <w:rPr>
          <w:rFonts w:ascii="Times New Roman" w:eastAsia="Calibri" w:hAnsi="Times New Roman" w:cs="Times New Roman"/>
          <w:sz w:val="24"/>
          <w:szCs w:val="24"/>
          <w:lang w:val="en-AU"/>
        </w:rPr>
        <w:t xml:space="preserve">. </w:t>
      </w:r>
      <w:r w:rsidR="006B4DE6" w:rsidRPr="00CB3771">
        <w:rPr>
          <w:rFonts w:ascii="Times New Roman" w:eastAsia="Calibri" w:hAnsi="Times New Roman" w:cs="Times New Roman"/>
          <w:sz w:val="24"/>
          <w:szCs w:val="24"/>
        </w:rPr>
        <w:t>One rat in the Muscimol condition had a blocked guide cannulae and was excluded from experimental analysis. Final numbers N = 15 (Muscimol n = 7, Saline n = 8).</w:t>
      </w:r>
    </w:p>
    <w:p w14:paraId="55403B52" w14:textId="77777777" w:rsidR="006B4DE6" w:rsidRPr="00CB3771" w:rsidRDefault="006B4DE6" w:rsidP="006B4DE6">
      <w:pPr>
        <w:spacing w:line="360" w:lineRule="auto"/>
        <w:rPr>
          <w:rFonts w:ascii="Times New Roman" w:eastAsia="Calibri" w:hAnsi="Times New Roman" w:cs="Times New Roman"/>
          <w:b/>
          <w:sz w:val="24"/>
          <w:szCs w:val="24"/>
        </w:rPr>
      </w:pPr>
      <w:r w:rsidRPr="00CB3771">
        <w:rPr>
          <w:rFonts w:ascii="Times New Roman" w:eastAsia="Calibri" w:hAnsi="Times New Roman" w:cs="Times New Roman"/>
          <w:b/>
          <w:sz w:val="24"/>
          <w:szCs w:val="24"/>
        </w:rPr>
        <w:t>PreCS Rates</w:t>
      </w:r>
    </w:p>
    <w:p w14:paraId="1C308FDC" w14:textId="77777777" w:rsidR="006B4DE6" w:rsidRPr="00CB3771" w:rsidRDefault="006B4DE6" w:rsidP="006B4DE6">
      <w:pPr>
        <w:spacing w:line="360" w:lineRule="auto"/>
        <w:rPr>
          <w:rFonts w:ascii="Times New Roman" w:hAnsi="Times New Roman" w:cs="Times New Roman"/>
          <w:sz w:val="24"/>
          <w:szCs w:val="24"/>
        </w:rPr>
      </w:pPr>
      <w:r w:rsidRPr="00CB3771">
        <w:rPr>
          <w:rFonts w:ascii="Times New Roman" w:hAnsi="Times New Roman" w:cs="Times New Roman"/>
          <w:sz w:val="24"/>
          <w:szCs w:val="24"/>
        </w:rPr>
        <w:t xml:space="preserve">PreCS responding did not differ between infusion groups across the 10 days of Pavlovian conditioning (Group </w:t>
      </w:r>
      <w:r w:rsidRPr="00CB3771">
        <w:rPr>
          <w:rFonts w:ascii="Times New Roman" w:hAnsi="Times New Roman" w:cs="Times New Roman"/>
          <w:i/>
          <w:sz w:val="24"/>
          <w:szCs w:val="24"/>
        </w:rPr>
        <w:t>F</w:t>
      </w:r>
      <w:r w:rsidRPr="00CB3771">
        <w:rPr>
          <w:rFonts w:ascii="Times New Roman" w:hAnsi="Times New Roman" w:cs="Times New Roman"/>
          <w:sz w:val="24"/>
          <w:szCs w:val="24"/>
          <w:vertAlign w:val="subscript"/>
        </w:rPr>
        <w:t>1,13</w:t>
      </w:r>
      <w:r w:rsidRPr="00CB3771">
        <w:rPr>
          <w:rFonts w:ascii="Times New Roman" w:hAnsi="Times New Roman" w:cs="Times New Roman"/>
          <w:sz w:val="24"/>
          <w:szCs w:val="24"/>
        </w:rPr>
        <w:t xml:space="preserve"> = 2.72, </w:t>
      </w:r>
      <w:r w:rsidRPr="00CB3771">
        <w:rPr>
          <w:rFonts w:ascii="Times New Roman" w:hAnsi="Times New Roman" w:cs="Times New Roman"/>
          <w:i/>
          <w:sz w:val="24"/>
          <w:szCs w:val="24"/>
        </w:rPr>
        <w:t>p</w:t>
      </w:r>
      <w:r w:rsidRPr="00CB3771">
        <w:rPr>
          <w:rFonts w:ascii="Times New Roman" w:hAnsi="Times New Roman" w:cs="Times New Roman"/>
          <w:sz w:val="24"/>
          <w:szCs w:val="24"/>
        </w:rPr>
        <w:t xml:space="preserve"> = .12; Day </w:t>
      </w:r>
      <w:r w:rsidRPr="00CB3771">
        <w:rPr>
          <w:rFonts w:ascii="Times New Roman" w:hAnsi="Times New Roman" w:cs="Times New Roman"/>
          <w:i/>
          <w:sz w:val="24"/>
          <w:szCs w:val="24"/>
        </w:rPr>
        <w:t>F</w:t>
      </w:r>
      <w:r w:rsidRPr="00CB3771">
        <w:rPr>
          <w:rFonts w:ascii="Times New Roman" w:hAnsi="Times New Roman" w:cs="Times New Roman"/>
          <w:sz w:val="24"/>
          <w:szCs w:val="24"/>
          <w:vertAlign w:val="subscript"/>
        </w:rPr>
        <w:t>9,117</w:t>
      </w:r>
      <w:r w:rsidRPr="00CB3771">
        <w:rPr>
          <w:rFonts w:ascii="Times New Roman" w:hAnsi="Times New Roman" w:cs="Times New Roman"/>
          <w:sz w:val="24"/>
          <w:szCs w:val="24"/>
        </w:rPr>
        <w:t xml:space="preserve"> = 1.49, </w:t>
      </w:r>
      <w:r w:rsidRPr="00CB3771">
        <w:rPr>
          <w:rFonts w:ascii="Times New Roman" w:hAnsi="Times New Roman" w:cs="Times New Roman"/>
          <w:i/>
          <w:sz w:val="24"/>
          <w:szCs w:val="24"/>
        </w:rPr>
        <w:t>p</w:t>
      </w:r>
      <w:r w:rsidRPr="00CB3771">
        <w:rPr>
          <w:rFonts w:ascii="Times New Roman" w:hAnsi="Times New Roman" w:cs="Times New Roman"/>
          <w:sz w:val="24"/>
          <w:szCs w:val="24"/>
        </w:rPr>
        <w:t xml:space="preserve"> = .16; Group x Day </w:t>
      </w:r>
      <w:r w:rsidRPr="00CB3771">
        <w:rPr>
          <w:rFonts w:ascii="Times New Roman" w:hAnsi="Times New Roman" w:cs="Times New Roman"/>
          <w:i/>
          <w:sz w:val="24"/>
          <w:szCs w:val="24"/>
        </w:rPr>
        <w:t>F</w:t>
      </w:r>
      <w:r w:rsidRPr="00CB3771">
        <w:rPr>
          <w:rFonts w:ascii="Times New Roman" w:hAnsi="Times New Roman" w:cs="Times New Roman"/>
          <w:sz w:val="24"/>
          <w:szCs w:val="24"/>
          <w:vertAlign w:val="subscript"/>
        </w:rPr>
        <w:t>9,117</w:t>
      </w:r>
      <w:r w:rsidRPr="00CB3771">
        <w:rPr>
          <w:rFonts w:ascii="Times New Roman" w:hAnsi="Times New Roman" w:cs="Times New Roman"/>
          <w:sz w:val="24"/>
          <w:szCs w:val="24"/>
        </w:rPr>
        <w:t xml:space="preserve"> = 2.72, </w:t>
      </w:r>
      <w:r w:rsidRPr="00CB3771">
        <w:rPr>
          <w:rFonts w:ascii="Times New Roman" w:hAnsi="Times New Roman" w:cs="Times New Roman"/>
          <w:i/>
          <w:sz w:val="24"/>
          <w:szCs w:val="24"/>
        </w:rPr>
        <w:t>p</w:t>
      </w:r>
      <w:r w:rsidRPr="00CB3771">
        <w:rPr>
          <w:rFonts w:ascii="Times New Roman" w:hAnsi="Times New Roman" w:cs="Times New Roman"/>
          <w:sz w:val="24"/>
          <w:szCs w:val="24"/>
        </w:rPr>
        <w:t xml:space="preserve"> = .25).</w:t>
      </w:r>
    </w:p>
    <w:p w14:paraId="1FA394EA" w14:textId="77777777" w:rsidR="00AA2D39" w:rsidRDefault="00AA2D39" w:rsidP="00AA2D39">
      <w:pPr>
        <w:pStyle w:val="BodyText"/>
        <w:jc w:val="center"/>
      </w:pPr>
      <w:r>
        <w:rPr>
          <w:b/>
        </w:rPr>
        <w:t>Experiment 5: OFC inactivation prior to associative blocking</w:t>
      </w:r>
    </w:p>
    <w:p w14:paraId="7152237F" w14:textId="77777777" w:rsidR="006B4DE6" w:rsidRPr="00CB3771" w:rsidRDefault="006B4DE6" w:rsidP="006B4DE6">
      <w:pPr>
        <w:spacing w:line="360" w:lineRule="auto"/>
        <w:rPr>
          <w:rFonts w:ascii="Times New Roman" w:eastAsia="Calibri" w:hAnsi="Times New Roman" w:cs="Times New Roman"/>
          <w:b/>
          <w:color w:val="000000"/>
          <w:sz w:val="24"/>
          <w:szCs w:val="24"/>
          <w:highlight w:val="yellow"/>
          <w:lang w:val="en-AU"/>
        </w:rPr>
      </w:pPr>
      <w:r w:rsidRPr="00CB3771">
        <w:rPr>
          <w:rFonts w:ascii="Times New Roman" w:eastAsia="Calibri" w:hAnsi="Times New Roman" w:cs="Times New Roman"/>
          <w:b/>
          <w:color w:val="000000"/>
          <w:sz w:val="24"/>
          <w:szCs w:val="24"/>
          <w:lang w:val="en-AU"/>
        </w:rPr>
        <w:t>Subjects</w:t>
      </w:r>
    </w:p>
    <w:p w14:paraId="7728B43F"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Subjects were thirty-two (total N = 32) male Long Evans rats (Monash Animal Services, Gippsland, Victoria, Australia) approximately 4 months old, weighing between 299-395 g (M = 331.5 g). </w:t>
      </w:r>
    </w:p>
    <w:p w14:paraId="6F97D17D"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Surgery</w:t>
      </w:r>
    </w:p>
    <w:p w14:paraId="2E4CAB50"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Surgical implantation of cannulae occurred prior to any behavioural training.</w:t>
      </w:r>
    </w:p>
    <w:p w14:paraId="4E54DC20"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28" w:name="_Toc417305064"/>
      <w:r w:rsidRPr="00CB3771">
        <w:rPr>
          <w:rFonts w:ascii="Times New Roman" w:eastAsia="Calibri" w:hAnsi="Times New Roman" w:cs="Times New Roman"/>
          <w:b/>
          <w:color w:val="000000"/>
          <w:sz w:val="24"/>
          <w:szCs w:val="24"/>
          <w:lang w:val="en-AU"/>
        </w:rPr>
        <w:t>Training</w:t>
      </w:r>
      <w:bookmarkEnd w:id="28"/>
    </w:p>
    <w:p w14:paraId="288D9D14"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The design of the experiment was such that 4 CSs were designated as cues A, B, C and D. Cues A and C were always visual cues, either darkness caused by extinguishing the houselight or flashing panel lights (5Hz</w:t>
      </w:r>
      <w:r w:rsidRPr="00512B9A">
        <w:rPr>
          <w:rFonts w:ascii="Times New Roman" w:eastAsia="Calibri" w:hAnsi="Times New Roman" w:cs="Times New Roman"/>
          <w:color w:val="000000"/>
          <w:sz w:val="24"/>
          <w:szCs w:val="24"/>
          <w:lang w:val="en-AU"/>
        </w:rPr>
        <w:t>; Figure 3A</w:t>
      </w:r>
      <w:r w:rsidRPr="00CB3771">
        <w:rPr>
          <w:rFonts w:ascii="Times New Roman" w:eastAsia="Calibri" w:hAnsi="Times New Roman" w:cs="Times New Roman"/>
          <w:color w:val="000000"/>
          <w:sz w:val="24"/>
          <w:szCs w:val="24"/>
          <w:lang w:val="en-AU"/>
        </w:rPr>
        <w:t>). Cues B and D were always auditory cues, either an 80dB white noise or a 5Hz train of clicks. Throughout all training sessions the house light was always illuminated unless it was extinguished to act as a visual cue. All cues lasted 10s and co-terminated with the delivery of the US, 2 pellets delivered consecutively 0.25s apart. The identity of the cues was counterbalanced between subjects except that A and C were always visual cues and B and D were always auditory cues. Simultaneous audio-visual compounds were designated as AB and CD. Pavlovian training sessions were always 56 mins long such that there were 16 trials with a vITI 200s (range 100 to 300s); animals were left in the chambers for an additional 2 mins before being removed.</w:t>
      </w:r>
    </w:p>
    <w:p w14:paraId="4B0B86AC"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29" w:name="_Toc417305065"/>
      <w:r w:rsidRPr="00CB3771">
        <w:rPr>
          <w:rFonts w:ascii="Times New Roman" w:eastAsia="Times New Roman" w:hAnsi="Times New Roman" w:cs="Times New Roman"/>
          <w:b/>
          <w:i/>
          <w:color w:val="000000"/>
          <w:sz w:val="24"/>
          <w:szCs w:val="24"/>
          <w:lang w:val="en-AU"/>
        </w:rPr>
        <w:t>Food Restriction and Magazine Training</w:t>
      </w:r>
      <w:bookmarkEnd w:id="29"/>
    </w:p>
    <w:p w14:paraId="143A44CF"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Magazine training sessions consisted of an RT120s reward delivery schedule for 16 rewards. Each reward consisted of 2 pellets delivered to the magazine 0.25s apart.</w:t>
      </w:r>
    </w:p>
    <w:p w14:paraId="1A6E8840"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30" w:name="_Toc417305066"/>
      <w:r w:rsidRPr="00CB3771">
        <w:rPr>
          <w:rFonts w:ascii="Times New Roman" w:eastAsia="Times New Roman" w:hAnsi="Times New Roman" w:cs="Times New Roman"/>
          <w:b/>
          <w:i/>
          <w:color w:val="000000"/>
          <w:sz w:val="24"/>
          <w:szCs w:val="24"/>
          <w:lang w:val="en-AU"/>
        </w:rPr>
        <w:t>Stage 1</w:t>
      </w:r>
      <w:bookmarkEnd w:id="30"/>
    </w:p>
    <w:p w14:paraId="1D6DCAEE"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Stage 1 acquisition involved 10 days of acquisition to cue A, 16 trials per session. On days 1-4 of training all animals received dummy infusions to familiarise them to the infusion procedure. Animals were then split into two groups with matched performance on day 4. On days 5-10 all animals received an infusion of saline or muscimol immediately prior to entering the test chambers.</w:t>
      </w:r>
    </w:p>
    <w:p w14:paraId="180ED179"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31" w:name="_Toc417305067"/>
      <w:r w:rsidRPr="00CB3771">
        <w:rPr>
          <w:rFonts w:ascii="Times New Roman" w:eastAsia="Times New Roman" w:hAnsi="Times New Roman" w:cs="Times New Roman"/>
          <w:b/>
          <w:i/>
          <w:color w:val="000000"/>
          <w:sz w:val="24"/>
          <w:szCs w:val="24"/>
          <w:lang w:val="en-AU"/>
        </w:rPr>
        <w:t>Pre-exposure</w:t>
      </w:r>
      <w:bookmarkEnd w:id="31"/>
    </w:p>
    <w:p w14:paraId="0B86CD9A"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 11 all rats received pre-exposure to auditory cues B and D, 4 non-rewarded presentations of each cue vITI 200s. This was done to minimise novelty to the auditory cues during compound training in stage 2. All animals received dummy infusions prior to the session.</w:t>
      </w:r>
    </w:p>
    <w:p w14:paraId="4D8A3ABA"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32" w:name="_Toc417305068"/>
      <w:r w:rsidRPr="00CB3771">
        <w:rPr>
          <w:rFonts w:ascii="Times New Roman" w:eastAsia="Times New Roman" w:hAnsi="Times New Roman" w:cs="Times New Roman"/>
          <w:b/>
          <w:i/>
          <w:color w:val="000000"/>
          <w:sz w:val="24"/>
          <w:szCs w:val="24"/>
          <w:lang w:val="en-AU"/>
        </w:rPr>
        <w:lastRenderedPageBreak/>
        <w:t>Stage 2</w:t>
      </w:r>
      <w:bookmarkEnd w:id="32"/>
    </w:p>
    <w:p w14:paraId="4AFBCAB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days 12-14 all animals received stage 2 audio-visual compound training. Sessions involved 8 presentations of compound AB and 8 presentations of CD (pseudo randomly presented such that a compound was never repeated more than 2 times in a row). The compounds were rewarded with 2 pellets, the same US that was used in stage 1.  All animals received dummy infusions prior to each session.</w:t>
      </w:r>
    </w:p>
    <w:p w14:paraId="389D6DFB"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33" w:name="_Toc417305069"/>
      <w:r w:rsidRPr="00CB3771">
        <w:rPr>
          <w:rFonts w:ascii="Times New Roman" w:eastAsia="Times New Roman" w:hAnsi="Times New Roman" w:cs="Times New Roman"/>
          <w:b/>
          <w:i/>
          <w:color w:val="000000"/>
          <w:sz w:val="24"/>
          <w:szCs w:val="24"/>
          <w:lang w:val="en-AU"/>
        </w:rPr>
        <w:t>Test</w:t>
      </w:r>
      <w:bookmarkEnd w:id="33"/>
    </w:p>
    <w:p w14:paraId="0A910E4E"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 15 and 16 all animals were tested in extinction for responding to the target auditory cue B and the overshadowing control cue D (8 presentations of each cue, pseudorandom trial order, vITI 200s).  All animals received dummy infusions prior to each session.</w:t>
      </w:r>
    </w:p>
    <w:p w14:paraId="79DE6AD3" w14:textId="77777777" w:rsidR="006B4DE6" w:rsidRPr="00CB3771" w:rsidRDefault="006B4DE6" w:rsidP="006B4DE6">
      <w:pPr>
        <w:spacing w:after="240" w:line="360" w:lineRule="auto"/>
        <w:ind w:left="720"/>
        <w:rPr>
          <w:rFonts w:ascii="Times New Roman" w:eastAsia="Times New Roman" w:hAnsi="Times New Roman" w:cs="Times New Roman"/>
          <w:b/>
          <w:i/>
          <w:color w:val="000000"/>
          <w:sz w:val="24"/>
          <w:szCs w:val="24"/>
          <w:lang w:val="en-AU"/>
        </w:rPr>
      </w:pPr>
      <w:bookmarkStart w:id="34" w:name="_Toc417305070"/>
      <w:r w:rsidRPr="00CB3771">
        <w:rPr>
          <w:rFonts w:ascii="Times New Roman" w:eastAsia="Times New Roman" w:hAnsi="Times New Roman" w:cs="Times New Roman"/>
          <w:b/>
          <w:i/>
          <w:color w:val="000000"/>
          <w:sz w:val="24"/>
          <w:szCs w:val="24"/>
          <w:lang w:val="en-AU"/>
        </w:rPr>
        <w:t>Re-acquisition</w:t>
      </w:r>
      <w:bookmarkEnd w:id="34"/>
    </w:p>
    <w:p w14:paraId="64B50C19"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days 17-19, all animals received re-acquisition training to cue B (16 trials per session) to test for differences in rates of re-acquisition to the blocked cue. On days 20-21 animals were tested for re-acquisition to cue A (16 trials per session) to test for differences in the rate of re-acquisition to the blocking cue.</w:t>
      </w:r>
    </w:p>
    <w:p w14:paraId="109E0735" w14:textId="77777777" w:rsidR="006B4DE6" w:rsidRPr="00CB3771" w:rsidRDefault="006B4DE6" w:rsidP="006B4DE6">
      <w:pPr>
        <w:spacing w:line="360" w:lineRule="auto"/>
        <w:jc w:val="center"/>
        <w:rPr>
          <w:rFonts w:ascii="Times New Roman" w:eastAsia="Calibri" w:hAnsi="Times New Roman" w:cs="Times New Roman"/>
          <w:b/>
          <w:color w:val="000000"/>
          <w:sz w:val="24"/>
          <w:szCs w:val="24"/>
          <w:lang w:val="en-AU"/>
        </w:rPr>
      </w:pPr>
      <w:bookmarkStart w:id="35" w:name="_Toc417305071"/>
      <w:bookmarkStart w:id="36" w:name="_Toc417312609"/>
      <w:r w:rsidRPr="00CB3771">
        <w:rPr>
          <w:rFonts w:ascii="Times New Roman" w:eastAsia="Calibri" w:hAnsi="Times New Roman" w:cs="Times New Roman"/>
          <w:b/>
          <w:color w:val="000000"/>
          <w:sz w:val="24"/>
          <w:szCs w:val="24"/>
          <w:lang w:val="en-AU"/>
        </w:rPr>
        <w:t>Results</w:t>
      </w:r>
      <w:bookmarkEnd w:id="35"/>
      <w:bookmarkEnd w:id="36"/>
    </w:p>
    <w:p w14:paraId="198733DA"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37" w:name="_Toc417305073"/>
      <w:r w:rsidRPr="00CB3771">
        <w:rPr>
          <w:rFonts w:ascii="Times New Roman" w:eastAsia="Calibri" w:hAnsi="Times New Roman" w:cs="Times New Roman"/>
          <w:b/>
          <w:color w:val="000000"/>
          <w:sz w:val="24"/>
          <w:szCs w:val="24"/>
          <w:lang w:val="en-AU"/>
        </w:rPr>
        <w:t>Histology and Group Allocation</w:t>
      </w:r>
      <w:bookmarkEnd w:id="37"/>
    </w:p>
    <w:p w14:paraId="72DD037D" w14:textId="1B17DF0E" w:rsidR="006B4DE6" w:rsidRPr="00CB3771" w:rsidRDefault="00FD1247" w:rsidP="006B4DE6">
      <w:pPr>
        <w:spacing w:after="0" w:line="360" w:lineRule="auto"/>
        <w:rPr>
          <w:rFonts w:ascii="Times New Roman" w:eastAsia="Times New Roman" w:hAnsi="Times New Roman" w:cs="Times New Roman"/>
          <w:color w:val="000000"/>
          <w:sz w:val="24"/>
          <w:szCs w:val="24"/>
          <w:lang w:val="en-AU" w:eastAsia="en-AU"/>
        </w:rPr>
      </w:pPr>
      <w:r w:rsidRPr="00CB3771">
        <w:rPr>
          <w:rFonts w:ascii="Times New Roman" w:eastAsia="Calibri" w:hAnsi="Times New Roman" w:cs="Times New Roman"/>
          <w:color w:val="000000"/>
          <w:sz w:val="24"/>
          <w:szCs w:val="24"/>
          <w:lang w:val="en-AU"/>
        </w:rPr>
        <w:t xml:space="preserve">Cannulae placements are illustrated </w:t>
      </w:r>
      <w:r w:rsidRPr="00CB3771">
        <w:rPr>
          <w:rFonts w:ascii="Times New Roman" w:eastAsia="Calibri" w:hAnsi="Times New Roman" w:cs="Times New Roman"/>
          <w:sz w:val="24"/>
          <w:szCs w:val="24"/>
          <w:lang w:val="en-AU"/>
        </w:rPr>
        <w:t xml:space="preserve">in </w:t>
      </w:r>
      <w:r w:rsidRPr="00CB3771">
        <w:rPr>
          <w:rFonts w:ascii="Times New Roman" w:eastAsia="Calibri" w:hAnsi="Times New Roman" w:cs="Times New Roman"/>
          <w:color w:val="000000"/>
          <w:sz w:val="24"/>
          <w:szCs w:val="24"/>
          <w:lang w:val="en-AU"/>
        </w:rPr>
        <w:t xml:space="preserve">Figure </w:t>
      </w:r>
      <w:r>
        <w:rPr>
          <w:rFonts w:ascii="Times New Roman" w:eastAsia="Calibri" w:hAnsi="Times New Roman" w:cs="Times New Roman"/>
          <w:color w:val="000000"/>
          <w:sz w:val="24"/>
          <w:szCs w:val="24"/>
          <w:lang w:val="en-AU"/>
        </w:rPr>
        <w:t>3</w:t>
      </w:r>
      <w:r>
        <w:rPr>
          <w:rFonts w:ascii="Times New Roman" w:eastAsia="Calibri" w:hAnsi="Times New Roman" w:cs="Times New Roman"/>
          <w:color w:val="000000"/>
          <w:sz w:val="24"/>
          <w:szCs w:val="24"/>
          <w:lang w:val="en-AU"/>
        </w:rPr>
        <w:t xml:space="preserve">-figure supplement </w:t>
      </w:r>
      <w:r>
        <w:rPr>
          <w:rFonts w:ascii="Times New Roman" w:eastAsia="Calibri" w:hAnsi="Times New Roman" w:cs="Times New Roman"/>
          <w:color w:val="000000"/>
          <w:sz w:val="24"/>
          <w:szCs w:val="24"/>
          <w:lang w:val="en-AU"/>
        </w:rPr>
        <w:t>1</w:t>
      </w:r>
      <w:r w:rsidR="006B4DE6" w:rsidRPr="00CB3771">
        <w:rPr>
          <w:rFonts w:ascii="Times New Roman" w:eastAsia="Times New Roman" w:hAnsi="Times New Roman" w:cs="Times New Roman"/>
          <w:color w:val="000000"/>
          <w:sz w:val="24"/>
          <w:szCs w:val="24"/>
          <w:lang w:val="en-AU" w:eastAsia="en-AU"/>
        </w:rPr>
        <w:t xml:space="preserve">. </w:t>
      </w:r>
      <w:r w:rsidR="006B4DE6" w:rsidRPr="00CB3771">
        <w:rPr>
          <w:rFonts w:ascii="Times New Roman" w:eastAsia="Times New Roman" w:hAnsi="Times New Roman" w:cs="Times New Roman"/>
          <w:color w:val="000000"/>
          <w:sz w:val="24"/>
          <w:szCs w:val="24"/>
          <w:lang w:eastAsia="en-AU"/>
        </w:rPr>
        <w:t>1 animal failed to consume pellets throughout the experiment and was excluded from testing. One animal from the muscimol group lost its cannula assembly during the infusion period and was excluded from testing. One animal in the muscimol group was euthanized due to severe illness. A further 2 animals were excluded after histological analysis revealed that the cannulae were only unilaterally targeting DLO and LO.</w:t>
      </w:r>
      <w:r w:rsidR="006B4DE6" w:rsidRPr="00CB3771">
        <w:rPr>
          <w:rFonts w:ascii="Times New Roman" w:eastAsia="Times New Roman" w:hAnsi="Times New Roman" w:cs="Times New Roman"/>
          <w:color w:val="000000"/>
          <w:sz w:val="24"/>
          <w:szCs w:val="24"/>
          <w:lang w:val="en-AU" w:eastAsia="en-AU"/>
        </w:rPr>
        <w:t xml:space="preserve"> Therefore, a total of 6 animals were excluded leaving </w:t>
      </w:r>
      <w:r w:rsidR="006B4DE6" w:rsidRPr="00CB3771">
        <w:rPr>
          <w:rFonts w:ascii="Times New Roman" w:eastAsia="Times New Roman" w:hAnsi="Times New Roman" w:cs="Times New Roman"/>
          <w:i/>
          <w:color w:val="000000"/>
          <w:sz w:val="24"/>
          <w:szCs w:val="24"/>
          <w:lang w:val="en-AU" w:eastAsia="en-AU"/>
        </w:rPr>
        <w:t>N</w:t>
      </w:r>
      <w:r w:rsidR="006B4DE6" w:rsidRPr="00CB3771">
        <w:rPr>
          <w:rFonts w:ascii="Times New Roman" w:eastAsia="Times New Roman" w:hAnsi="Times New Roman" w:cs="Times New Roman"/>
          <w:color w:val="000000"/>
          <w:sz w:val="24"/>
          <w:szCs w:val="24"/>
          <w:lang w:val="en-AU" w:eastAsia="en-AU"/>
        </w:rPr>
        <w:t xml:space="preserve"> = 26 (saline </w:t>
      </w:r>
      <w:r w:rsidR="006B4DE6" w:rsidRPr="00CB3771">
        <w:rPr>
          <w:rFonts w:ascii="Times New Roman" w:eastAsia="Times New Roman" w:hAnsi="Times New Roman" w:cs="Times New Roman"/>
          <w:i/>
          <w:color w:val="000000"/>
          <w:sz w:val="24"/>
          <w:szCs w:val="24"/>
          <w:lang w:val="en-AU" w:eastAsia="en-AU"/>
        </w:rPr>
        <w:t>n</w:t>
      </w:r>
      <w:r w:rsidR="006B4DE6" w:rsidRPr="00CB3771">
        <w:rPr>
          <w:rFonts w:ascii="Times New Roman" w:eastAsia="Times New Roman" w:hAnsi="Times New Roman" w:cs="Times New Roman"/>
          <w:color w:val="000000"/>
          <w:sz w:val="24"/>
          <w:szCs w:val="24"/>
          <w:lang w:val="en-AU" w:eastAsia="en-AU"/>
        </w:rPr>
        <w:t xml:space="preserve"> = 13, muscimol </w:t>
      </w:r>
      <w:r w:rsidR="006B4DE6" w:rsidRPr="00CB3771">
        <w:rPr>
          <w:rFonts w:ascii="Times New Roman" w:eastAsia="Times New Roman" w:hAnsi="Times New Roman" w:cs="Times New Roman"/>
          <w:i/>
          <w:color w:val="000000"/>
          <w:sz w:val="24"/>
          <w:szCs w:val="24"/>
          <w:lang w:val="en-AU" w:eastAsia="en-AU"/>
        </w:rPr>
        <w:t>n</w:t>
      </w:r>
      <w:r w:rsidR="006B4DE6" w:rsidRPr="00CB3771">
        <w:rPr>
          <w:rFonts w:ascii="Times New Roman" w:eastAsia="Times New Roman" w:hAnsi="Times New Roman" w:cs="Times New Roman"/>
          <w:color w:val="000000"/>
          <w:sz w:val="24"/>
          <w:szCs w:val="24"/>
          <w:lang w:val="en-AU" w:eastAsia="en-AU"/>
        </w:rPr>
        <w:t xml:space="preserve"> = 13).</w:t>
      </w:r>
    </w:p>
    <w:p w14:paraId="23DBD5B0" w14:textId="77777777" w:rsidR="006B4DE6" w:rsidRPr="00CB3771" w:rsidRDefault="006B4DE6" w:rsidP="006B4DE6">
      <w:pPr>
        <w:spacing w:after="0" w:line="360" w:lineRule="auto"/>
        <w:rPr>
          <w:rFonts w:ascii="Times New Roman" w:eastAsia="Times New Roman" w:hAnsi="Times New Roman" w:cs="Times New Roman"/>
          <w:b/>
          <w:color w:val="000000"/>
          <w:sz w:val="24"/>
          <w:szCs w:val="24"/>
          <w:lang w:val="en-AU" w:eastAsia="en-AU"/>
        </w:rPr>
      </w:pPr>
    </w:p>
    <w:p w14:paraId="43A17D68" w14:textId="77777777" w:rsidR="006B4DE6" w:rsidRPr="00CB3771" w:rsidRDefault="006B4DE6" w:rsidP="006B4DE6">
      <w:pPr>
        <w:spacing w:line="360" w:lineRule="auto"/>
        <w:rPr>
          <w:rFonts w:ascii="Times New Roman" w:eastAsia="Times New Roman" w:hAnsi="Times New Roman" w:cs="Times New Roman"/>
          <w:color w:val="000000"/>
          <w:sz w:val="24"/>
          <w:szCs w:val="24"/>
          <w:lang w:val="en-AU" w:eastAsia="en-AU"/>
        </w:rPr>
      </w:pPr>
      <w:bookmarkStart w:id="38" w:name="_Toc417305074"/>
      <w:r w:rsidRPr="00CB3771">
        <w:rPr>
          <w:rFonts w:ascii="Times New Roman" w:eastAsia="Calibri" w:hAnsi="Times New Roman" w:cs="Times New Roman"/>
          <w:b/>
          <w:color w:val="000000"/>
          <w:sz w:val="24"/>
          <w:szCs w:val="24"/>
          <w:lang w:val="en-AU"/>
        </w:rPr>
        <w:t>PreCS Responding</w:t>
      </w:r>
      <w:bookmarkEnd w:id="38"/>
    </w:p>
    <w:p w14:paraId="2554C8AA" w14:textId="77777777" w:rsidR="006B4DE6" w:rsidRPr="00CB3771" w:rsidRDefault="006B4DE6" w:rsidP="006B4DE6">
      <w:pPr>
        <w:spacing w:line="360" w:lineRule="auto"/>
        <w:rPr>
          <w:rFonts w:ascii="Times New Roman" w:hAnsi="Times New Roman" w:cs="Times New Roman"/>
          <w:b/>
          <w:sz w:val="24"/>
          <w:szCs w:val="24"/>
        </w:rPr>
      </w:pPr>
      <w:r w:rsidRPr="00CB3771">
        <w:rPr>
          <w:rFonts w:ascii="Times New Roman" w:eastAsia="Calibri" w:hAnsi="Times New Roman" w:cs="Times New Roman"/>
          <w:color w:val="000000"/>
          <w:sz w:val="24"/>
          <w:szCs w:val="24"/>
          <w:lang w:val="en-AU"/>
        </w:rPr>
        <w:lastRenderedPageBreak/>
        <w:t xml:space="preserve">Baseline levels of responding did not differ between groups during training, and on the final day of infusions (day 10 of stage 1) preCS response rates (10s) were saline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0.122,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0.24, muscimol </w:t>
      </w:r>
      <w:r w:rsidRPr="00CB3771">
        <w:rPr>
          <w:rFonts w:ascii="Times New Roman" w:eastAsia="Calibri" w:hAnsi="Times New Roman" w:cs="Times New Roman"/>
          <w:i/>
          <w:color w:val="000000"/>
          <w:sz w:val="24"/>
          <w:szCs w:val="24"/>
          <w:lang w:val="en-AU"/>
        </w:rPr>
        <w:t>M</w:t>
      </w:r>
      <w:r w:rsidRPr="00CB3771">
        <w:rPr>
          <w:rFonts w:ascii="Times New Roman" w:eastAsia="Calibri" w:hAnsi="Times New Roman" w:cs="Times New Roman"/>
          <w:color w:val="000000"/>
          <w:sz w:val="24"/>
          <w:szCs w:val="24"/>
          <w:lang w:val="en-AU"/>
        </w:rPr>
        <w:t xml:space="preserve"> = 0.67, </w:t>
      </w:r>
      <w:r w:rsidRPr="00CB3771">
        <w:rPr>
          <w:rFonts w:ascii="Times New Roman" w:eastAsia="Calibri" w:hAnsi="Times New Roman" w:cs="Times New Roman"/>
          <w:i/>
          <w:color w:val="000000"/>
          <w:sz w:val="24"/>
          <w:szCs w:val="24"/>
          <w:lang w:val="en-AU"/>
        </w:rPr>
        <w:t>SD</w:t>
      </w:r>
      <w:r w:rsidRPr="00CB3771">
        <w:rPr>
          <w:rFonts w:ascii="Times New Roman" w:eastAsia="Calibri" w:hAnsi="Times New Roman" w:cs="Times New Roman"/>
          <w:color w:val="000000"/>
          <w:sz w:val="24"/>
          <w:szCs w:val="24"/>
          <w:lang w:val="en-AU"/>
        </w:rPr>
        <w:t xml:space="preserve"> = 0.87. These observations were supported by mixed Group x Day ANOVAs on preCS responding in stage1 suggesting that there were no group differences on days 1-4 prior to infusion (all </w:t>
      </w:r>
      <w:r w:rsidRPr="00CB3771">
        <w:rPr>
          <w:rFonts w:ascii="Times New Roman" w:eastAsia="Calibri" w:hAnsi="Times New Roman" w:cs="Times New Roman"/>
          <w:i/>
          <w:color w:val="000000"/>
          <w:sz w:val="24"/>
          <w:szCs w:val="24"/>
          <w:lang w:val="en-AU"/>
        </w:rPr>
        <w:t xml:space="preserve">F </w:t>
      </w:r>
      <w:r w:rsidRPr="00CB3771">
        <w:rPr>
          <w:rFonts w:ascii="Times New Roman" w:eastAsia="Calibri" w:hAnsi="Times New Roman" w:cs="Times New Roman"/>
          <w:color w:val="000000"/>
          <w:sz w:val="24"/>
          <w:szCs w:val="24"/>
          <w:lang w:val="en-AU"/>
        </w:rPr>
        <w:t xml:space="preserve">&lt; 1.69, </w:t>
      </w:r>
      <w:r w:rsidRPr="00CB3771">
        <w:rPr>
          <w:rFonts w:ascii="Times New Roman" w:eastAsia="Calibri" w:hAnsi="Times New Roman" w:cs="Times New Roman"/>
          <w:i/>
          <w:color w:val="000000"/>
          <w:sz w:val="24"/>
          <w:szCs w:val="24"/>
          <w:lang w:val="en-AU"/>
        </w:rPr>
        <w:t>p</w:t>
      </w:r>
      <w:r w:rsidRPr="00CB3771">
        <w:rPr>
          <w:rFonts w:ascii="Times New Roman" w:eastAsia="Calibri" w:hAnsi="Times New Roman" w:cs="Times New Roman"/>
          <w:color w:val="000000"/>
          <w:sz w:val="24"/>
          <w:szCs w:val="24"/>
          <w:lang w:val="en-AU"/>
        </w:rPr>
        <w:t xml:space="preserve"> &gt; .21) or on days 5-10 during infusions (significant main effect of Day </w:t>
      </w:r>
      <w:r w:rsidRPr="00CB3771">
        <w:rPr>
          <w:rFonts w:ascii="Times New Roman" w:eastAsia="Calibri" w:hAnsi="Times New Roman" w:cs="Times New Roman"/>
          <w:i/>
          <w:iCs/>
          <w:color w:val="000000"/>
          <w:sz w:val="24"/>
          <w:szCs w:val="24"/>
          <w:lang w:val="en-AU"/>
        </w:rPr>
        <w:t>F</w:t>
      </w:r>
      <w:r w:rsidRPr="00CB3771">
        <w:rPr>
          <w:rFonts w:ascii="Times New Roman" w:eastAsia="Calibri" w:hAnsi="Times New Roman" w:cs="Times New Roman"/>
          <w:color w:val="000000"/>
          <w:sz w:val="24"/>
          <w:szCs w:val="24"/>
          <w:vertAlign w:val="subscript"/>
          <w:lang w:val="en-AU"/>
        </w:rPr>
        <w:t>(5, 120)</w:t>
      </w:r>
      <w:r w:rsidRPr="00CB3771">
        <w:rPr>
          <w:rFonts w:ascii="Times New Roman" w:eastAsia="Calibri" w:hAnsi="Times New Roman" w:cs="Times New Roman"/>
          <w:color w:val="000000"/>
          <w:sz w:val="24"/>
          <w:szCs w:val="24"/>
          <w:lang w:val="en-AU"/>
        </w:rPr>
        <w:t xml:space="preserve"> = 15.21,</w:t>
      </w:r>
      <w:r w:rsidRPr="00CB3771">
        <w:rPr>
          <w:rFonts w:ascii="Times New Roman" w:eastAsia="Calibri" w:hAnsi="Times New Roman" w:cs="Times New Roman"/>
          <w:i/>
          <w:iCs/>
          <w:color w:val="000000"/>
          <w:sz w:val="24"/>
          <w:szCs w:val="24"/>
          <w:lang w:val="en-AU"/>
        </w:rPr>
        <w:t xml:space="preserve"> p</w:t>
      </w:r>
      <w:r w:rsidRPr="00CB3771">
        <w:rPr>
          <w:rFonts w:ascii="Times New Roman" w:eastAsia="Calibri" w:hAnsi="Times New Roman" w:cs="Times New Roman"/>
          <w:color w:val="000000"/>
          <w:sz w:val="24"/>
          <w:szCs w:val="24"/>
          <w:lang w:val="en-AU"/>
        </w:rPr>
        <w:t xml:space="preserve"> &lt; .001, all </w:t>
      </w:r>
      <w:r w:rsidRPr="00CB3771">
        <w:rPr>
          <w:rFonts w:ascii="Times New Roman" w:eastAsia="Calibri" w:hAnsi="Times New Roman" w:cs="Times New Roman"/>
          <w:sz w:val="24"/>
          <w:szCs w:val="24"/>
          <w:lang w:val="en-AU"/>
        </w:rPr>
        <w:t xml:space="preserve">remaining </w:t>
      </w:r>
      <w:r w:rsidRPr="00CB3771">
        <w:rPr>
          <w:rFonts w:ascii="Times New Roman" w:eastAsia="Calibri" w:hAnsi="Times New Roman" w:cs="Times New Roman"/>
          <w:i/>
          <w:sz w:val="24"/>
          <w:szCs w:val="24"/>
          <w:lang w:val="en-AU"/>
        </w:rPr>
        <w:t xml:space="preserve">F </w:t>
      </w:r>
      <w:r w:rsidRPr="00CB3771">
        <w:rPr>
          <w:rFonts w:ascii="Times New Roman" w:eastAsia="Calibri" w:hAnsi="Times New Roman" w:cs="Times New Roman"/>
          <w:sz w:val="24"/>
          <w:szCs w:val="24"/>
          <w:lang w:val="en-AU"/>
        </w:rPr>
        <w:t xml:space="preserve">&lt; 1.00, </w:t>
      </w:r>
      <w:r w:rsidRPr="00CB3771">
        <w:rPr>
          <w:rFonts w:ascii="Times New Roman" w:eastAsia="Calibri" w:hAnsi="Times New Roman" w:cs="Times New Roman"/>
          <w:i/>
          <w:sz w:val="24"/>
          <w:szCs w:val="24"/>
          <w:lang w:val="en-AU"/>
        </w:rPr>
        <w:t>p</w:t>
      </w:r>
      <w:r w:rsidRPr="00CB3771">
        <w:rPr>
          <w:rFonts w:ascii="Times New Roman" w:eastAsia="Calibri" w:hAnsi="Times New Roman" w:cs="Times New Roman"/>
          <w:sz w:val="24"/>
          <w:szCs w:val="24"/>
          <w:lang w:val="en-AU"/>
        </w:rPr>
        <w:t xml:space="preserve"> &gt; .50).</w:t>
      </w:r>
    </w:p>
    <w:p w14:paraId="664C68D7" w14:textId="77777777" w:rsidR="00B439E2" w:rsidRDefault="00B439E2" w:rsidP="00B439E2">
      <w:pPr>
        <w:pStyle w:val="BodyText"/>
        <w:jc w:val="center"/>
      </w:pPr>
      <w:bookmarkStart w:id="39" w:name="_Toc417305082"/>
      <w:r>
        <w:rPr>
          <w:b/>
        </w:rPr>
        <w:t>Experiment 6: Competing response values</w:t>
      </w:r>
    </w:p>
    <w:p w14:paraId="426AEA01"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r w:rsidRPr="00CB3771">
        <w:rPr>
          <w:rFonts w:ascii="Times New Roman" w:eastAsia="Calibri" w:hAnsi="Times New Roman" w:cs="Times New Roman"/>
          <w:b/>
          <w:color w:val="000000"/>
          <w:sz w:val="24"/>
          <w:szCs w:val="24"/>
          <w:lang w:val="en-AU"/>
        </w:rPr>
        <w:t>Subjects</w:t>
      </w:r>
      <w:bookmarkEnd w:id="39"/>
    </w:p>
    <w:p w14:paraId="1A9FF385"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Subjects were eight (total N = 8) male Long Evans rats (Monash Animal Services, Gippsland, Victoria, Australia) approximately 4 months old, weighing between 285-331 g (M = 314.9 g). </w:t>
      </w:r>
    </w:p>
    <w:p w14:paraId="054DEFEA"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40" w:name="_Toc417305083"/>
      <w:r w:rsidRPr="00CB3771">
        <w:rPr>
          <w:rFonts w:ascii="Times New Roman" w:eastAsia="Calibri" w:hAnsi="Times New Roman" w:cs="Times New Roman"/>
          <w:b/>
          <w:color w:val="000000"/>
          <w:sz w:val="24"/>
          <w:szCs w:val="24"/>
          <w:lang w:val="en-AU"/>
        </w:rPr>
        <w:t>Apparatus</w:t>
      </w:r>
      <w:bookmarkEnd w:id="40"/>
    </w:p>
    <w:p w14:paraId="19F99922"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The apparatus comprised of 8 operant chambers (Med Associates Inc.) individually housed in light and sound attenuating cabinets. Each chamber comprised of a transparent Perspex back wall, roof and front door, with aluminium left and right-hand walls. The floor consisted of 19 steel bars (3.8mm diameter, spaced 1.6 cm apart), aligned perpendicular to the back of the chamber. Rewards could be independently delivered into one of two recessed magazines located centrally at the bottom of the left and right-hand walls. The magazine on the right-hand wall could be rewarded with food pellets (45 mg; Bio-Serv) whereas the magazine on the left hand wall could be rewarded with liquid rewards delivered by a dipper cup mechanism that could be retracted from the magazine. Access to the magazines was measured by infrared detectors at the mouth of the recess. Two panel lights (2 cm diameter) were located on either side of the right-hand magazine at the top of the right-hand wall. A 3-W house light was located at the top left of the left-hand wall. A speaker located to the right of the house light (on the top far right of the left-hand wall) could provide auditory stimuli to the chamber. In addition, a 5-Hz train of clicks produced by a heavy-duty relay placed outside the chamber at the back-right corner of the cabinet was used as an auditory stimulus. A computer equipped with Med-PC software (Med Associates Inc.) was used to control the experimental procedures and record data.</w:t>
      </w:r>
    </w:p>
    <w:p w14:paraId="17747EE0"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41" w:name="_Toc417305084"/>
      <w:r w:rsidRPr="00CB3771">
        <w:rPr>
          <w:rFonts w:ascii="Times New Roman" w:eastAsia="Calibri" w:hAnsi="Times New Roman" w:cs="Times New Roman"/>
          <w:b/>
          <w:color w:val="000000"/>
          <w:sz w:val="24"/>
          <w:szCs w:val="24"/>
          <w:lang w:val="en-AU"/>
        </w:rPr>
        <w:t>Food Restriction and Magazine Training</w:t>
      </w:r>
      <w:bookmarkEnd w:id="41"/>
    </w:p>
    <w:p w14:paraId="6B3422D3"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All animals were food restricted for at least 2 days prior to any training, and pre-exposed to sucrose (10 mL) and pellets (5g per rat) in their homecage.</w:t>
      </w:r>
    </w:p>
    <w:p w14:paraId="4A28F57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Magazine training involved the unsignalled delivery of the reinforcer in the experimental chamber to familiarise the subjects with retrieving rewards from each of the two magazines. All rats received two separate magazine training sessions in one day (separated by at least 2 hours), one for each magazine, order counterbalanced. The dipper magazine was always paired with 20% w/v sucrose solution, the other magazine was always rewarded with pellets. Magazine training involved un-signalled delivery of reward on an RT60s schedule for 16 rewards.</w:t>
      </w:r>
    </w:p>
    <w:p w14:paraId="205E6134"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42" w:name="_Toc417305085"/>
      <w:r w:rsidRPr="00CB3771">
        <w:rPr>
          <w:rFonts w:ascii="Times New Roman" w:eastAsia="Calibri" w:hAnsi="Times New Roman" w:cs="Times New Roman"/>
          <w:b/>
          <w:color w:val="000000"/>
          <w:sz w:val="24"/>
          <w:szCs w:val="24"/>
          <w:lang w:val="en-AU"/>
        </w:rPr>
        <w:t>Acquisition</w:t>
      </w:r>
      <w:bookmarkEnd w:id="42"/>
    </w:p>
    <w:p w14:paraId="5FC3C27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Acquisition training lasted for 16 days. In each session rats received 3 consecutive blocks of 8 trials. Each trial consisted of a vITI 105s, a 15s CS (80 dB white noise) co-terminating in a pellet delivered into the pellet magazine. Simultaneously, there was always a probability of un-signalled 5s access to sucrose in the dipper magazine (dipper cup held 0.01cm</w:t>
      </w:r>
      <w:r w:rsidRPr="00CB3771">
        <w:rPr>
          <w:rFonts w:ascii="Times New Roman" w:eastAsia="Calibri" w:hAnsi="Times New Roman" w:cs="Times New Roman"/>
          <w:color w:val="000000"/>
          <w:sz w:val="24"/>
          <w:szCs w:val="24"/>
          <w:vertAlign w:val="superscript"/>
          <w:lang w:val="en-AU"/>
        </w:rPr>
        <w:t>3</w:t>
      </w:r>
      <w:r w:rsidRPr="00CB3771">
        <w:rPr>
          <w:rFonts w:ascii="Times New Roman" w:eastAsia="Calibri" w:hAnsi="Times New Roman" w:cs="Times New Roman"/>
          <w:color w:val="000000"/>
          <w:sz w:val="24"/>
          <w:szCs w:val="24"/>
          <w:lang w:val="en-AU"/>
        </w:rPr>
        <w:t xml:space="preserve"> fluid). The probability of sucrose availability changed randomly between each block from low (p = 2/24), medium (p = 4/24) to high (p=8/24). Each trial was defined by 24 bins of 5s (trial length = 120s). During this period the CS would occur across 3 5s bins (15s CS) and there was the possibility of un-signalled reward at the dipper magazine at the start of each 5s time bin. Notably, un-signalled reward could occur during any 5s bin, including the CS period. Unsignalled rewards occurred 2, 4, or 8 times in each trial. The pellets were therefore signalled rewards (as they were reliably preceded by the CS). The sucrose dipper was un-signalled, and if the sucrose was not collected during the 5s period the dipper would be retracted and lost.</w:t>
      </w:r>
    </w:p>
    <w:p w14:paraId="7408EA88"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43" w:name="_Toc417305086"/>
      <w:r w:rsidRPr="00CB3771">
        <w:rPr>
          <w:rFonts w:ascii="Times New Roman" w:eastAsia="Calibri" w:hAnsi="Times New Roman" w:cs="Times New Roman"/>
          <w:b/>
          <w:color w:val="000000"/>
          <w:sz w:val="24"/>
          <w:szCs w:val="24"/>
          <w:lang w:val="en-AU"/>
        </w:rPr>
        <w:t>Water deprivation</w:t>
      </w:r>
      <w:bookmarkEnd w:id="43"/>
    </w:p>
    <w:p w14:paraId="151A5B4B"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On days 17 and 18, all animals were water restricted for 22h prior to testing. Test sessions were identical to acquisition sessions. Animals were given 2 hours of free access to water 2 hours after test sessions. Animals were given 24 hours of ad libitum access to water after day 18 before any further testing to ensure animals were no longer thirsty in subsequent tests.</w:t>
      </w:r>
    </w:p>
    <w:p w14:paraId="2F2D17B3"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44" w:name="_Toc417305087"/>
      <w:r w:rsidRPr="00CB3771">
        <w:rPr>
          <w:rFonts w:ascii="Times New Roman" w:eastAsia="Calibri" w:hAnsi="Times New Roman" w:cs="Times New Roman"/>
          <w:b/>
          <w:color w:val="000000"/>
          <w:sz w:val="24"/>
          <w:szCs w:val="24"/>
          <w:lang w:val="en-AU"/>
        </w:rPr>
        <w:t>Un-Signalled Reward Shift</w:t>
      </w:r>
      <w:bookmarkEnd w:id="44"/>
    </w:p>
    <w:p w14:paraId="6FF3047E"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lastRenderedPageBreak/>
        <w:t>On testing days 19 and 20 received 2 sessions of acquisition with an increased magnitude of un-signalled reward delivery. Specifically, the size of the dipper cup was increased from 0.01 to 0.04 cm</w:t>
      </w:r>
      <w:r w:rsidRPr="00CB3771">
        <w:rPr>
          <w:rFonts w:ascii="Times New Roman" w:eastAsia="Calibri" w:hAnsi="Times New Roman" w:cs="Times New Roman"/>
          <w:color w:val="000000"/>
          <w:sz w:val="24"/>
          <w:szCs w:val="24"/>
          <w:vertAlign w:val="superscript"/>
          <w:lang w:val="en-AU"/>
        </w:rPr>
        <w:t>3</w:t>
      </w:r>
      <w:r w:rsidRPr="00CB3771">
        <w:rPr>
          <w:rFonts w:ascii="Times New Roman" w:eastAsia="Calibri" w:hAnsi="Times New Roman" w:cs="Times New Roman"/>
          <w:color w:val="000000"/>
          <w:sz w:val="24"/>
          <w:szCs w:val="24"/>
          <w:lang w:val="en-AU"/>
        </w:rPr>
        <w:t xml:space="preserve"> of fluid so that each un-signalled reward was increased in volume.</w:t>
      </w:r>
    </w:p>
    <w:p w14:paraId="59004724"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45" w:name="_Toc417305088"/>
      <w:r w:rsidRPr="00CB3771">
        <w:rPr>
          <w:rFonts w:ascii="Times New Roman" w:eastAsia="Calibri" w:hAnsi="Times New Roman" w:cs="Times New Roman"/>
          <w:b/>
          <w:color w:val="000000"/>
          <w:sz w:val="24"/>
          <w:szCs w:val="24"/>
          <w:lang w:val="en-AU"/>
        </w:rPr>
        <w:t>Surgery and drug infusions</w:t>
      </w:r>
      <w:bookmarkEnd w:id="45"/>
    </w:p>
    <w:p w14:paraId="7AB6032C"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 xml:space="preserve">Following testing day 20 all animals were taken off food restriction and underwent surgical implantation of guide cannulae targeting the lateral OFC. </w:t>
      </w:r>
    </w:p>
    <w:p w14:paraId="33A499AF"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46" w:name="_Toc417305089"/>
      <w:r w:rsidRPr="00CB3771">
        <w:rPr>
          <w:rFonts w:ascii="Times New Roman" w:eastAsia="Calibri" w:hAnsi="Times New Roman" w:cs="Times New Roman"/>
          <w:b/>
          <w:color w:val="000000"/>
          <w:sz w:val="24"/>
          <w:szCs w:val="24"/>
          <w:lang w:val="en-AU"/>
        </w:rPr>
        <w:t>Test</w:t>
      </w:r>
      <w:bookmarkEnd w:id="46"/>
    </w:p>
    <w:p w14:paraId="4CA89B3A"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Following post-operative recovery all animals received 3 days of training immediately preceded by dummy infusions. All post-operative sessions used the larger sucrose dipper cup volume (0.04 cm</w:t>
      </w:r>
      <w:r w:rsidRPr="00CB3771">
        <w:rPr>
          <w:rFonts w:ascii="Times New Roman" w:eastAsia="Calibri" w:hAnsi="Times New Roman" w:cs="Times New Roman"/>
          <w:color w:val="000000"/>
          <w:sz w:val="24"/>
          <w:szCs w:val="24"/>
          <w:vertAlign w:val="superscript"/>
          <w:lang w:val="en-AU"/>
        </w:rPr>
        <w:t>3</w:t>
      </w:r>
      <w:r w:rsidRPr="00CB3771">
        <w:rPr>
          <w:rFonts w:ascii="Times New Roman" w:eastAsia="Calibri" w:hAnsi="Times New Roman" w:cs="Times New Roman"/>
          <w:color w:val="000000"/>
          <w:sz w:val="24"/>
          <w:szCs w:val="24"/>
          <w:lang w:val="en-AU"/>
        </w:rPr>
        <w:t xml:space="preserve">). Following this, all animals received 2 days of training in which they received 1 test day under saline infusion and 1 test day under muscimol infusion. The order of infusion days was counterbalanced. Test sessions were shortened to only 2 blocks with a fixed progression from low probability (p = 2/24) to high probability (p = 8/24) of un-signalled reward. This was done to ensure that muscimol was still active during the test session by keeping the session duration to 30 mins. </w:t>
      </w:r>
    </w:p>
    <w:p w14:paraId="7B57D2F0" w14:textId="77777777" w:rsidR="006B4DE6" w:rsidRPr="00CB3771" w:rsidRDefault="006B4DE6" w:rsidP="006B4DE6">
      <w:pPr>
        <w:spacing w:after="240" w:line="360" w:lineRule="auto"/>
        <w:rPr>
          <w:rFonts w:ascii="Times New Roman" w:eastAsia="Times New Roman" w:hAnsi="Times New Roman" w:cs="Times New Roman"/>
          <w:b/>
          <w:color w:val="000000"/>
          <w:sz w:val="24"/>
          <w:szCs w:val="24"/>
          <w:lang w:val="en-AU"/>
        </w:rPr>
      </w:pPr>
      <w:r w:rsidRPr="00CB3771">
        <w:rPr>
          <w:rFonts w:ascii="Times New Roman" w:eastAsia="Times New Roman" w:hAnsi="Times New Roman" w:cs="Times New Roman"/>
          <w:b/>
          <w:color w:val="000000"/>
          <w:sz w:val="24"/>
          <w:szCs w:val="24"/>
          <w:lang w:val="en-AU"/>
        </w:rPr>
        <w:t>Response Analysis</w:t>
      </w:r>
    </w:p>
    <w:p w14:paraId="73443D57" w14:textId="77777777" w:rsidR="006B4DE6" w:rsidRPr="00CB3771" w:rsidRDefault="006B4DE6" w:rsidP="006B4DE6">
      <w:pPr>
        <w:spacing w:after="240" w:line="360" w:lineRule="auto"/>
        <w:rPr>
          <w:rFonts w:ascii="Times New Roman" w:eastAsia="Calibri" w:hAnsi="Times New Roman" w:cs="Times New Roman"/>
          <w:color w:val="000000"/>
          <w:sz w:val="24"/>
          <w:szCs w:val="24"/>
          <w:lang w:val="en-AU"/>
        </w:rPr>
      </w:pPr>
      <w:r w:rsidRPr="00CB3771">
        <w:rPr>
          <w:rFonts w:ascii="Times New Roman" w:eastAsia="Calibri" w:hAnsi="Times New Roman" w:cs="Times New Roman"/>
          <w:color w:val="000000"/>
          <w:sz w:val="24"/>
          <w:szCs w:val="24"/>
          <w:lang w:val="en-AU"/>
        </w:rPr>
        <w:tab/>
        <w:t>It is important to note that all magazine responding in this procedure was analysed from periods in which the dipper reward was not physically present to eliminate the possibility that magazine responses simply reflect sucrose consumption.</w:t>
      </w:r>
    </w:p>
    <w:p w14:paraId="1BF23210" w14:textId="77777777" w:rsidR="006B4DE6" w:rsidRPr="00CB3771" w:rsidRDefault="006B4DE6" w:rsidP="006B4DE6">
      <w:pPr>
        <w:spacing w:line="360" w:lineRule="auto"/>
        <w:rPr>
          <w:rFonts w:ascii="Times New Roman" w:eastAsia="Calibri" w:hAnsi="Times New Roman" w:cs="Times New Roman"/>
          <w:b/>
          <w:color w:val="000000"/>
          <w:sz w:val="24"/>
          <w:szCs w:val="24"/>
          <w:lang w:val="en-AU"/>
        </w:rPr>
      </w:pPr>
      <w:bookmarkStart w:id="47" w:name="_Toc417305092"/>
      <w:r w:rsidRPr="00CB3771">
        <w:rPr>
          <w:rFonts w:ascii="Times New Roman" w:eastAsia="Calibri" w:hAnsi="Times New Roman" w:cs="Times New Roman"/>
          <w:b/>
          <w:color w:val="000000"/>
          <w:sz w:val="24"/>
          <w:szCs w:val="24"/>
          <w:lang w:val="en-AU"/>
        </w:rPr>
        <w:t>Histology</w:t>
      </w:r>
      <w:bookmarkEnd w:id="47"/>
    </w:p>
    <w:p w14:paraId="42B217BF" w14:textId="0A5A7E9E" w:rsidR="003A7D3D" w:rsidRDefault="000A56A7" w:rsidP="000A56A7">
      <w:pPr>
        <w:spacing w:line="360" w:lineRule="auto"/>
      </w:pPr>
      <w:r w:rsidRPr="00CB3771">
        <w:rPr>
          <w:rFonts w:ascii="Times New Roman" w:eastAsia="Calibri" w:hAnsi="Times New Roman" w:cs="Times New Roman"/>
          <w:color w:val="000000"/>
          <w:sz w:val="24"/>
          <w:szCs w:val="24"/>
          <w:lang w:val="en-AU"/>
        </w:rPr>
        <w:t xml:space="preserve">Cannulae placements are illustrated </w:t>
      </w:r>
      <w:r w:rsidRPr="00CB3771">
        <w:rPr>
          <w:rFonts w:ascii="Times New Roman" w:eastAsia="Calibri" w:hAnsi="Times New Roman" w:cs="Times New Roman"/>
          <w:sz w:val="24"/>
          <w:szCs w:val="24"/>
          <w:lang w:val="en-AU"/>
        </w:rPr>
        <w:t xml:space="preserve">in </w:t>
      </w:r>
      <w:r w:rsidRPr="00CB3771">
        <w:rPr>
          <w:rFonts w:ascii="Times New Roman" w:eastAsia="Calibri" w:hAnsi="Times New Roman" w:cs="Times New Roman"/>
          <w:color w:val="000000"/>
          <w:sz w:val="24"/>
          <w:szCs w:val="24"/>
          <w:lang w:val="en-AU"/>
        </w:rPr>
        <w:t xml:space="preserve">Figure </w:t>
      </w:r>
      <w:r>
        <w:rPr>
          <w:rFonts w:ascii="Times New Roman" w:eastAsia="Calibri" w:hAnsi="Times New Roman" w:cs="Times New Roman"/>
          <w:color w:val="000000"/>
          <w:sz w:val="24"/>
          <w:szCs w:val="24"/>
          <w:lang w:val="en-AU"/>
        </w:rPr>
        <w:t>5</w:t>
      </w:r>
      <w:r>
        <w:rPr>
          <w:rFonts w:ascii="Times New Roman" w:eastAsia="Calibri" w:hAnsi="Times New Roman" w:cs="Times New Roman"/>
          <w:color w:val="000000"/>
          <w:sz w:val="24"/>
          <w:szCs w:val="24"/>
          <w:lang w:val="en-AU"/>
        </w:rPr>
        <w:t xml:space="preserve">-figure supplement </w:t>
      </w:r>
      <w:r>
        <w:rPr>
          <w:rFonts w:ascii="Times New Roman" w:eastAsia="Calibri" w:hAnsi="Times New Roman" w:cs="Times New Roman"/>
          <w:color w:val="000000"/>
          <w:sz w:val="24"/>
          <w:szCs w:val="24"/>
          <w:lang w:val="en-AU"/>
        </w:rPr>
        <w:t>1</w:t>
      </w:r>
      <w:r w:rsidRPr="00CB3771">
        <w:rPr>
          <w:rFonts w:ascii="Times New Roman" w:eastAsia="Calibri" w:hAnsi="Times New Roman" w:cs="Times New Roman"/>
          <w:sz w:val="24"/>
          <w:szCs w:val="24"/>
          <w:lang w:val="en-AU"/>
        </w:rPr>
        <w:t xml:space="preserve">. </w:t>
      </w:r>
      <w:r w:rsidR="006B4DE6" w:rsidRPr="00CB3771">
        <w:rPr>
          <w:rFonts w:ascii="Times New Roman" w:eastAsia="Calibri" w:hAnsi="Times New Roman" w:cs="Times New Roman"/>
          <w:color w:val="000000"/>
          <w:sz w:val="24"/>
          <w:szCs w:val="24"/>
          <w:lang w:val="en-AU"/>
        </w:rPr>
        <w:t xml:space="preserve">Two animals were due to the cannulae assembly losing patency during post-operatively. Therefore, a total </w:t>
      </w:r>
      <w:r w:rsidR="006B4DE6" w:rsidRPr="00CB3771">
        <w:rPr>
          <w:rFonts w:ascii="Times New Roman" w:eastAsia="Calibri" w:hAnsi="Times New Roman" w:cs="Times New Roman"/>
          <w:i/>
          <w:color w:val="000000"/>
          <w:sz w:val="24"/>
          <w:szCs w:val="24"/>
          <w:lang w:val="en-AU"/>
        </w:rPr>
        <w:t>N</w:t>
      </w:r>
      <w:r w:rsidR="006B4DE6" w:rsidRPr="00CB3771">
        <w:rPr>
          <w:rFonts w:ascii="Times New Roman" w:eastAsia="Calibri" w:hAnsi="Times New Roman" w:cs="Times New Roman"/>
          <w:color w:val="000000"/>
          <w:sz w:val="24"/>
          <w:szCs w:val="24"/>
          <w:lang w:val="en-AU"/>
        </w:rPr>
        <w:t>= 6 animals were tested post-operatively.</w:t>
      </w:r>
    </w:p>
    <w:sectPr w:rsidR="003A7D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9AF2A" w14:textId="77777777" w:rsidR="00BA2829" w:rsidRDefault="00BA2829" w:rsidP="009B429F">
      <w:pPr>
        <w:spacing w:after="0" w:line="240" w:lineRule="auto"/>
      </w:pPr>
      <w:r>
        <w:separator/>
      </w:r>
    </w:p>
  </w:endnote>
  <w:endnote w:type="continuationSeparator" w:id="0">
    <w:p w14:paraId="64F5B071" w14:textId="77777777" w:rsidR="00BA2829" w:rsidRDefault="00BA2829" w:rsidP="009B4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A30EE" w14:textId="77777777" w:rsidR="00BA2829" w:rsidRDefault="00BA2829" w:rsidP="009B429F">
      <w:pPr>
        <w:spacing w:after="0" w:line="240" w:lineRule="auto"/>
      </w:pPr>
      <w:r>
        <w:separator/>
      </w:r>
    </w:p>
  </w:footnote>
  <w:footnote w:type="continuationSeparator" w:id="0">
    <w:p w14:paraId="1EBDF76D" w14:textId="77777777" w:rsidR="00BA2829" w:rsidRDefault="00BA2829" w:rsidP="009B4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D4D32"/>
    <w:multiLevelType w:val="hybridMultilevel"/>
    <w:tmpl w:val="B66869FE"/>
    <w:lvl w:ilvl="0" w:tplc="198C92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532CD5"/>
    <w:multiLevelType w:val="hybridMultilevel"/>
    <w:tmpl w:val="2C60C6F4"/>
    <w:lvl w:ilvl="0" w:tplc="F0CC485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D601F44"/>
    <w:multiLevelType w:val="hybridMultilevel"/>
    <w:tmpl w:val="ACB295AC"/>
    <w:lvl w:ilvl="0" w:tplc="EAB0FB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4A"/>
    <w:rsid w:val="00000454"/>
    <w:rsid w:val="00001137"/>
    <w:rsid w:val="00002C93"/>
    <w:rsid w:val="0000311C"/>
    <w:rsid w:val="00013281"/>
    <w:rsid w:val="00014C30"/>
    <w:rsid w:val="00015DF8"/>
    <w:rsid w:val="0001699A"/>
    <w:rsid w:val="000178FD"/>
    <w:rsid w:val="000206A4"/>
    <w:rsid w:val="00022BFE"/>
    <w:rsid w:val="0002562F"/>
    <w:rsid w:val="00026D2A"/>
    <w:rsid w:val="000273B9"/>
    <w:rsid w:val="00027A91"/>
    <w:rsid w:val="00030E69"/>
    <w:rsid w:val="00033B6B"/>
    <w:rsid w:val="00036D09"/>
    <w:rsid w:val="0004077C"/>
    <w:rsid w:val="00040CB5"/>
    <w:rsid w:val="00040D80"/>
    <w:rsid w:val="00041056"/>
    <w:rsid w:val="00041B0E"/>
    <w:rsid w:val="00042974"/>
    <w:rsid w:val="00042DFE"/>
    <w:rsid w:val="000432F9"/>
    <w:rsid w:val="00044A61"/>
    <w:rsid w:val="00044B28"/>
    <w:rsid w:val="00045376"/>
    <w:rsid w:val="000454D6"/>
    <w:rsid w:val="0004752A"/>
    <w:rsid w:val="00050079"/>
    <w:rsid w:val="0005042F"/>
    <w:rsid w:val="000515D0"/>
    <w:rsid w:val="00053481"/>
    <w:rsid w:val="00055101"/>
    <w:rsid w:val="0005681E"/>
    <w:rsid w:val="000573D5"/>
    <w:rsid w:val="000603BF"/>
    <w:rsid w:val="00065370"/>
    <w:rsid w:val="00065EC5"/>
    <w:rsid w:val="0006632F"/>
    <w:rsid w:val="000675A4"/>
    <w:rsid w:val="00071617"/>
    <w:rsid w:val="00073319"/>
    <w:rsid w:val="00073950"/>
    <w:rsid w:val="00074141"/>
    <w:rsid w:val="00075BDE"/>
    <w:rsid w:val="00076F2C"/>
    <w:rsid w:val="00077A1D"/>
    <w:rsid w:val="00080337"/>
    <w:rsid w:val="00080590"/>
    <w:rsid w:val="000847C6"/>
    <w:rsid w:val="00084C0F"/>
    <w:rsid w:val="00086767"/>
    <w:rsid w:val="000869AD"/>
    <w:rsid w:val="000879A2"/>
    <w:rsid w:val="00087E6F"/>
    <w:rsid w:val="0009332E"/>
    <w:rsid w:val="00094391"/>
    <w:rsid w:val="00095486"/>
    <w:rsid w:val="00096B58"/>
    <w:rsid w:val="000975C0"/>
    <w:rsid w:val="000A07F9"/>
    <w:rsid w:val="000A14B5"/>
    <w:rsid w:val="000A248D"/>
    <w:rsid w:val="000A3F99"/>
    <w:rsid w:val="000A4B2C"/>
    <w:rsid w:val="000A56A7"/>
    <w:rsid w:val="000A67A3"/>
    <w:rsid w:val="000A7277"/>
    <w:rsid w:val="000B014B"/>
    <w:rsid w:val="000B0218"/>
    <w:rsid w:val="000B04DE"/>
    <w:rsid w:val="000B0B4F"/>
    <w:rsid w:val="000B0CA0"/>
    <w:rsid w:val="000B393E"/>
    <w:rsid w:val="000B3B57"/>
    <w:rsid w:val="000B42FC"/>
    <w:rsid w:val="000B7FBA"/>
    <w:rsid w:val="000C41DE"/>
    <w:rsid w:val="000C4CD7"/>
    <w:rsid w:val="000C6140"/>
    <w:rsid w:val="000D3865"/>
    <w:rsid w:val="000D470E"/>
    <w:rsid w:val="000D6F81"/>
    <w:rsid w:val="000D7B1E"/>
    <w:rsid w:val="000E38FD"/>
    <w:rsid w:val="000E6716"/>
    <w:rsid w:val="000E6C9A"/>
    <w:rsid w:val="000E6E66"/>
    <w:rsid w:val="000E7621"/>
    <w:rsid w:val="000F039D"/>
    <w:rsid w:val="000F0A98"/>
    <w:rsid w:val="000F2BF3"/>
    <w:rsid w:val="000F659D"/>
    <w:rsid w:val="000F66F9"/>
    <w:rsid w:val="00103933"/>
    <w:rsid w:val="00105877"/>
    <w:rsid w:val="00107393"/>
    <w:rsid w:val="0010752D"/>
    <w:rsid w:val="00111DD6"/>
    <w:rsid w:val="00113618"/>
    <w:rsid w:val="00114A88"/>
    <w:rsid w:val="00116100"/>
    <w:rsid w:val="001210CF"/>
    <w:rsid w:val="001216A4"/>
    <w:rsid w:val="00122280"/>
    <w:rsid w:val="001245F1"/>
    <w:rsid w:val="00126EED"/>
    <w:rsid w:val="00130478"/>
    <w:rsid w:val="00130D72"/>
    <w:rsid w:val="00130EC4"/>
    <w:rsid w:val="0013327E"/>
    <w:rsid w:val="001334F3"/>
    <w:rsid w:val="00135D13"/>
    <w:rsid w:val="00136F82"/>
    <w:rsid w:val="001409D4"/>
    <w:rsid w:val="00141B9C"/>
    <w:rsid w:val="001441CA"/>
    <w:rsid w:val="00145779"/>
    <w:rsid w:val="001510CE"/>
    <w:rsid w:val="00152ABF"/>
    <w:rsid w:val="00152EE6"/>
    <w:rsid w:val="001536F4"/>
    <w:rsid w:val="001560E1"/>
    <w:rsid w:val="0015666C"/>
    <w:rsid w:val="001601A8"/>
    <w:rsid w:val="00162074"/>
    <w:rsid w:val="00163969"/>
    <w:rsid w:val="00163C6E"/>
    <w:rsid w:val="0016431B"/>
    <w:rsid w:val="00164A41"/>
    <w:rsid w:val="00164C45"/>
    <w:rsid w:val="00164D4B"/>
    <w:rsid w:val="00165428"/>
    <w:rsid w:val="00166560"/>
    <w:rsid w:val="001665A9"/>
    <w:rsid w:val="001741AA"/>
    <w:rsid w:val="001804AF"/>
    <w:rsid w:val="00181348"/>
    <w:rsid w:val="00183C55"/>
    <w:rsid w:val="00183D51"/>
    <w:rsid w:val="001855D5"/>
    <w:rsid w:val="00185761"/>
    <w:rsid w:val="00186264"/>
    <w:rsid w:val="00192667"/>
    <w:rsid w:val="001926D0"/>
    <w:rsid w:val="0019351A"/>
    <w:rsid w:val="00194513"/>
    <w:rsid w:val="001948FF"/>
    <w:rsid w:val="00195664"/>
    <w:rsid w:val="00195F3B"/>
    <w:rsid w:val="00196D94"/>
    <w:rsid w:val="001979D2"/>
    <w:rsid w:val="001A0CCD"/>
    <w:rsid w:val="001A3FF9"/>
    <w:rsid w:val="001A4FC3"/>
    <w:rsid w:val="001A6C50"/>
    <w:rsid w:val="001A7710"/>
    <w:rsid w:val="001B0649"/>
    <w:rsid w:val="001B1C51"/>
    <w:rsid w:val="001B264C"/>
    <w:rsid w:val="001B31CF"/>
    <w:rsid w:val="001B44BD"/>
    <w:rsid w:val="001B45AB"/>
    <w:rsid w:val="001B7182"/>
    <w:rsid w:val="001B767A"/>
    <w:rsid w:val="001C28CE"/>
    <w:rsid w:val="001C597D"/>
    <w:rsid w:val="001C6A84"/>
    <w:rsid w:val="001C7F89"/>
    <w:rsid w:val="001D0D31"/>
    <w:rsid w:val="001D4A25"/>
    <w:rsid w:val="001D5590"/>
    <w:rsid w:val="001D7A4F"/>
    <w:rsid w:val="001D7BB0"/>
    <w:rsid w:val="001E2351"/>
    <w:rsid w:val="001E271F"/>
    <w:rsid w:val="001E3C42"/>
    <w:rsid w:val="001E5DBB"/>
    <w:rsid w:val="001E631D"/>
    <w:rsid w:val="001E6641"/>
    <w:rsid w:val="001E71CD"/>
    <w:rsid w:val="001F2701"/>
    <w:rsid w:val="001F2782"/>
    <w:rsid w:val="001F5078"/>
    <w:rsid w:val="001F5482"/>
    <w:rsid w:val="001F5AAA"/>
    <w:rsid w:val="001F5FD4"/>
    <w:rsid w:val="001F607A"/>
    <w:rsid w:val="001F6276"/>
    <w:rsid w:val="001F6807"/>
    <w:rsid w:val="001F6963"/>
    <w:rsid w:val="001F78F4"/>
    <w:rsid w:val="00200E3E"/>
    <w:rsid w:val="00200F6F"/>
    <w:rsid w:val="00201EFD"/>
    <w:rsid w:val="00203FE2"/>
    <w:rsid w:val="00204F4E"/>
    <w:rsid w:val="00207AAD"/>
    <w:rsid w:val="00210411"/>
    <w:rsid w:val="00213C14"/>
    <w:rsid w:val="002210B0"/>
    <w:rsid w:val="00221E91"/>
    <w:rsid w:val="00224776"/>
    <w:rsid w:val="00225B25"/>
    <w:rsid w:val="00230585"/>
    <w:rsid w:val="00232DEF"/>
    <w:rsid w:val="00234B11"/>
    <w:rsid w:val="002351F2"/>
    <w:rsid w:val="00236EB0"/>
    <w:rsid w:val="00241F01"/>
    <w:rsid w:val="0024217B"/>
    <w:rsid w:val="00242371"/>
    <w:rsid w:val="002431B3"/>
    <w:rsid w:val="0024476D"/>
    <w:rsid w:val="00246F20"/>
    <w:rsid w:val="0025144D"/>
    <w:rsid w:val="00251AAA"/>
    <w:rsid w:val="0025314B"/>
    <w:rsid w:val="002538EE"/>
    <w:rsid w:val="002539A6"/>
    <w:rsid w:val="00255F0E"/>
    <w:rsid w:val="002560DE"/>
    <w:rsid w:val="002602D2"/>
    <w:rsid w:val="002607C3"/>
    <w:rsid w:val="0026241D"/>
    <w:rsid w:val="00263DBE"/>
    <w:rsid w:val="002662B5"/>
    <w:rsid w:val="00270A0E"/>
    <w:rsid w:val="00273794"/>
    <w:rsid w:val="002752A9"/>
    <w:rsid w:val="00275BAD"/>
    <w:rsid w:val="002764CD"/>
    <w:rsid w:val="002773FF"/>
    <w:rsid w:val="00282C90"/>
    <w:rsid w:val="00282FC9"/>
    <w:rsid w:val="00284A9C"/>
    <w:rsid w:val="00285D81"/>
    <w:rsid w:val="002860CC"/>
    <w:rsid w:val="002872BC"/>
    <w:rsid w:val="002916F5"/>
    <w:rsid w:val="00293003"/>
    <w:rsid w:val="00297266"/>
    <w:rsid w:val="00297B64"/>
    <w:rsid w:val="00297BC3"/>
    <w:rsid w:val="002A14A8"/>
    <w:rsid w:val="002A3FB3"/>
    <w:rsid w:val="002A6975"/>
    <w:rsid w:val="002A6F2D"/>
    <w:rsid w:val="002A7CA9"/>
    <w:rsid w:val="002B509E"/>
    <w:rsid w:val="002B7B63"/>
    <w:rsid w:val="002C0E64"/>
    <w:rsid w:val="002C4C6C"/>
    <w:rsid w:val="002C5570"/>
    <w:rsid w:val="002D1D77"/>
    <w:rsid w:val="002D2A1F"/>
    <w:rsid w:val="002D4754"/>
    <w:rsid w:val="002D60D3"/>
    <w:rsid w:val="002E046D"/>
    <w:rsid w:val="002E1DD3"/>
    <w:rsid w:val="002E2A8A"/>
    <w:rsid w:val="002E2B06"/>
    <w:rsid w:val="002E2B52"/>
    <w:rsid w:val="002E5FE2"/>
    <w:rsid w:val="002E659B"/>
    <w:rsid w:val="002E66BC"/>
    <w:rsid w:val="002E6720"/>
    <w:rsid w:val="002F04D4"/>
    <w:rsid w:val="002F29AB"/>
    <w:rsid w:val="002F29CE"/>
    <w:rsid w:val="002F2DDC"/>
    <w:rsid w:val="002F32C8"/>
    <w:rsid w:val="002F4F9A"/>
    <w:rsid w:val="002F5298"/>
    <w:rsid w:val="002F583D"/>
    <w:rsid w:val="002F627D"/>
    <w:rsid w:val="002F6E25"/>
    <w:rsid w:val="002F72C5"/>
    <w:rsid w:val="00300D0E"/>
    <w:rsid w:val="00303412"/>
    <w:rsid w:val="00303C69"/>
    <w:rsid w:val="00304225"/>
    <w:rsid w:val="003055E6"/>
    <w:rsid w:val="00305CC9"/>
    <w:rsid w:val="00306800"/>
    <w:rsid w:val="003068C4"/>
    <w:rsid w:val="00306E00"/>
    <w:rsid w:val="00306F2E"/>
    <w:rsid w:val="00310864"/>
    <w:rsid w:val="0031240D"/>
    <w:rsid w:val="00313969"/>
    <w:rsid w:val="00315052"/>
    <w:rsid w:val="00316B19"/>
    <w:rsid w:val="00316D71"/>
    <w:rsid w:val="00322B48"/>
    <w:rsid w:val="003253A6"/>
    <w:rsid w:val="00326276"/>
    <w:rsid w:val="0032654B"/>
    <w:rsid w:val="0032695E"/>
    <w:rsid w:val="00327F94"/>
    <w:rsid w:val="00330D75"/>
    <w:rsid w:val="00332E34"/>
    <w:rsid w:val="003332C9"/>
    <w:rsid w:val="0033544F"/>
    <w:rsid w:val="00335A9C"/>
    <w:rsid w:val="00337A19"/>
    <w:rsid w:val="00337D23"/>
    <w:rsid w:val="0034169C"/>
    <w:rsid w:val="00341C66"/>
    <w:rsid w:val="00343A5E"/>
    <w:rsid w:val="00345667"/>
    <w:rsid w:val="00346B9F"/>
    <w:rsid w:val="003504E4"/>
    <w:rsid w:val="003504F2"/>
    <w:rsid w:val="00351423"/>
    <w:rsid w:val="00355873"/>
    <w:rsid w:val="00361B6B"/>
    <w:rsid w:val="00361E53"/>
    <w:rsid w:val="00363416"/>
    <w:rsid w:val="00363D21"/>
    <w:rsid w:val="00365819"/>
    <w:rsid w:val="00367EA9"/>
    <w:rsid w:val="00370C25"/>
    <w:rsid w:val="00371C33"/>
    <w:rsid w:val="00372F9D"/>
    <w:rsid w:val="003730B9"/>
    <w:rsid w:val="00375DDA"/>
    <w:rsid w:val="00380FCC"/>
    <w:rsid w:val="0038204D"/>
    <w:rsid w:val="00384050"/>
    <w:rsid w:val="00384BA5"/>
    <w:rsid w:val="00385F55"/>
    <w:rsid w:val="003860F3"/>
    <w:rsid w:val="003875B0"/>
    <w:rsid w:val="00391B02"/>
    <w:rsid w:val="00394431"/>
    <w:rsid w:val="003949C5"/>
    <w:rsid w:val="00395A24"/>
    <w:rsid w:val="003A01E8"/>
    <w:rsid w:val="003A01EC"/>
    <w:rsid w:val="003A0B05"/>
    <w:rsid w:val="003A0F63"/>
    <w:rsid w:val="003A1D41"/>
    <w:rsid w:val="003A345B"/>
    <w:rsid w:val="003A5BC0"/>
    <w:rsid w:val="003A7D3D"/>
    <w:rsid w:val="003A7F4D"/>
    <w:rsid w:val="003B34FF"/>
    <w:rsid w:val="003B3CCD"/>
    <w:rsid w:val="003B74CD"/>
    <w:rsid w:val="003C04CB"/>
    <w:rsid w:val="003C2070"/>
    <w:rsid w:val="003C2DA8"/>
    <w:rsid w:val="003C2DE6"/>
    <w:rsid w:val="003C3F7A"/>
    <w:rsid w:val="003C488A"/>
    <w:rsid w:val="003C5297"/>
    <w:rsid w:val="003D16AE"/>
    <w:rsid w:val="003D18DA"/>
    <w:rsid w:val="003D2335"/>
    <w:rsid w:val="003D5816"/>
    <w:rsid w:val="003D6E74"/>
    <w:rsid w:val="003D73BF"/>
    <w:rsid w:val="003D7543"/>
    <w:rsid w:val="003D7F2D"/>
    <w:rsid w:val="003E0410"/>
    <w:rsid w:val="003E1FF2"/>
    <w:rsid w:val="003E2123"/>
    <w:rsid w:val="003E3D78"/>
    <w:rsid w:val="003E4096"/>
    <w:rsid w:val="003E4251"/>
    <w:rsid w:val="003E6943"/>
    <w:rsid w:val="003E6D4B"/>
    <w:rsid w:val="003E745C"/>
    <w:rsid w:val="003F398D"/>
    <w:rsid w:val="003F4E23"/>
    <w:rsid w:val="003F4E9E"/>
    <w:rsid w:val="003F5257"/>
    <w:rsid w:val="003F6C8A"/>
    <w:rsid w:val="00400837"/>
    <w:rsid w:val="00401DF9"/>
    <w:rsid w:val="00412580"/>
    <w:rsid w:val="004143F0"/>
    <w:rsid w:val="00414EAC"/>
    <w:rsid w:val="00415B7B"/>
    <w:rsid w:val="0041685F"/>
    <w:rsid w:val="00417F8D"/>
    <w:rsid w:val="004224D3"/>
    <w:rsid w:val="00425E8E"/>
    <w:rsid w:val="0043074E"/>
    <w:rsid w:val="0043188B"/>
    <w:rsid w:val="004320CD"/>
    <w:rsid w:val="00433113"/>
    <w:rsid w:val="00433376"/>
    <w:rsid w:val="00433884"/>
    <w:rsid w:val="00433C67"/>
    <w:rsid w:val="00435878"/>
    <w:rsid w:val="0043739F"/>
    <w:rsid w:val="00437A18"/>
    <w:rsid w:val="004403DF"/>
    <w:rsid w:val="00440646"/>
    <w:rsid w:val="00441A0C"/>
    <w:rsid w:val="004437AA"/>
    <w:rsid w:val="00444B66"/>
    <w:rsid w:val="00445EC5"/>
    <w:rsid w:val="004465C9"/>
    <w:rsid w:val="004478A9"/>
    <w:rsid w:val="00452A1C"/>
    <w:rsid w:val="00452FC5"/>
    <w:rsid w:val="00454F57"/>
    <w:rsid w:val="004553DB"/>
    <w:rsid w:val="00456D14"/>
    <w:rsid w:val="00460041"/>
    <w:rsid w:val="00460E09"/>
    <w:rsid w:val="00460F35"/>
    <w:rsid w:val="004628FD"/>
    <w:rsid w:val="004632FC"/>
    <w:rsid w:val="00463CC9"/>
    <w:rsid w:val="004645AD"/>
    <w:rsid w:val="00464BF8"/>
    <w:rsid w:val="00465635"/>
    <w:rsid w:val="004673D9"/>
    <w:rsid w:val="004678B0"/>
    <w:rsid w:val="0047033E"/>
    <w:rsid w:val="00472EDF"/>
    <w:rsid w:val="00473937"/>
    <w:rsid w:val="004779A5"/>
    <w:rsid w:val="00480494"/>
    <w:rsid w:val="004807A8"/>
    <w:rsid w:val="00480D53"/>
    <w:rsid w:val="00480E29"/>
    <w:rsid w:val="00481C7F"/>
    <w:rsid w:val="0048388C"/>
    <w:rsid w:val="0048405F"/>
    <w:rsid w:val="00490A6B"/>
    <w:rsid w:val="004962C7"/>
    <w:rsid w:val="004A04C4"/>
    <w:rsid w:val="004A0E9F"/>
    <w:rsid w:val="004A393C"/>
    <w:rsid w:val="004A5A4E"/>
    <w:rsid w:val="004A7861"/>
    <w:rsid w:val="004B1729"/>
    <w:rsid w:val="004B292A"/>
    <w:rsid w:val="004C19F3"/>
    <w:rsid w:val="004C2A0F"/>
    <w:rsid w:val="004C3755"/>
    <w:rsid w:val="004C61BE"/>
    <w:rsid w:val="004C76D8"/>
    <w:rsid w:val="004C778B"/>
    <w:rsid w:val="004D11F2"/>
    <w:rsid w:val="004D5DFF"/>
    <w:rsid w:val="004D6812"/>
    <w:rsid w:val="004D6E79"/>
    <w:rsid w:val="004D7755"/>
    <w:rsid w:val="004E0C01"/>
    <w:rsid w:val="004E142A"/>
    <w:rsid w:val="004E1546"/>
    <w:rsid w:val="004E3DAE"/>
    <w:rsid w:val="004E45CA"/>
    <w:rsid w:val="004E69D6"/>
    <w:rsid w:val="004F5644"/>
    <w:rsid w:val="004F616B"/>
    <w:rsid w:val="004F6451"/>
    <w:rsid w:val="004F64A8"/>
    <w:rsid w:val="0050071D"/>
    <w:rsid w:val="00501540"/>
    <w:rsid w:val="00501739"/>
    <w:rsid w:val="00502544"/>
    <w:rsid w:val="00503C1D"/>
    <w:rsid w:val="00503F84"/>
    <w:rsid w:val="0050459E"/>
    <w:rsid w:val="00504A92"/>
    <w:rsid w:val="00504ACE"/>
    <w:rsid w:val="00505FC1"/>
    <w:rsid w:val="00506B43"/>
    <w:rsid w:val="0050758B"/>
    <w:rsid w:val="00507DF7"/>
    <w:rsid w:val="00510C29"/>
    <w:rsid w:val="0051147E"/>
    <w:rsid w:val="00512AA5"/>
    <w:rsid w:val="00512B9A"/>
    <w:rsid w:val="0051370F"/>
    <w:rsid w:val="005243AB"/>
    <w:rsid w:val="00524762"/>
    <w:rsid w:val="0052592B"/>
    <w:rsid w:val="0052631C"/>
    <w:rsid w:val="0052691C"/>
    <w:rsid w:val="005279C3"/>
    <w:rsid w:val="00531008"/>
    <w:rsid w:val="0053202D"/>
    <w:rsid w:val="00532C62"/>
    <w:rsid w:val="00533068"/>
    <w:rsid w:val="005334C2"/>
    <w:rsid w:val="00534362"/>
    <w:rsid w:val="00534EFE"/>
    <w:rsid w:val="00535A3C"/>
    <w:rsid w:val="00535B6F"/>
    <w:rsid w:val="00537C4F"/>
    <w:rsid w:val="00537E09"/>
    <w:rsid w:val="00540FA8"/>
    <w:rsid w:val="0054320C"/>
    <w:rsid w:val="00543681"/>
    <w:rsid w:val="00543702"/>
    <w:rsid w:val="00543913"/>
    <w:rsid w:val="00546588"/>
    <w:rsid w:val="005540C4"/>
    <w:rsid w:val="005552D2"/>
    <w:rsid w:val="00556135"/>
    <w:rsid w:val="00557059"/>
    <w:rsid w:val="00557282"/>
    <w:rsid w:val="00564D0F"/>
    <w:rsid w:val="00567C1F"/>
    <w:rsid w:val="00570647"/>
    <w:rsid w:val="00571489"/>
    <w:rsid w:val="00571AFB"/>
    <w:rsid w:val="005741DA"/>
    <w:rsid w:val="005772BC"/>
    <w:rsid w:val="005800A3"/>
    <w:rsid w:val="0058286B"/>
    <w:rsid w:val="00583072"/>
    <w:rsid w:val="0058685B"/>
    <w:rsid w:val="0059267C"/>
    <w:rsid w:val="00595DEF"/>
    <w:rsid w:val="00596AFF"/>
    <w:rsid w:val="00596DA9"/>
    <w:rsid w:val="005A027E"/>
    <w:rsid w:val="005A0587"/>
    <w:rsid w:val="005A15D6"/>
    <w:rsid w:val="005A26E3"/>
    <w:rsid w:val="005A26E5"/>
    <w:rsid w:val="005A4B5E"/>
    <w:rsid w:val="005A5DE9"/>
    <w:rsid w:val="005A6D9A"/>
    <w:rsid w:val="005B04CA"/>
    <w:rsid w:val="005B16B3"/>
    <w:rsid w:val="005B1BC7"/>
    <w:rsid w:val="005B2C3C"/>
    <w:rsid w:val="005B4A70"/>
    <w:rsid w:val="005B4B6F"/>
    <w:rsid w:val="005B51AF"/>
    <w:rsid w:val="005B564D"/>
    <w:rsid w:val="005B6748"/>
    <w:rsid w:val="005B77CF"/>
    <w:rsid w:val="005B7D1F"/>
    <w:rsid w:val="005C12E4"/>
    <w:rsid w:val="005C16B3"/>
    <w:rsid w:val="005C336A"/>
    <w:rsid w:val="005C534C"/>
    <w:rsid w:val="005D448A"/>
    <w:rsid w:val="005D45BE"/>
    <w:rsid w:val="005D4BD9"/>
    <w:rsid w:val="005D7B41"/>
    <w:rsid w:val="005E0701"/>
    <w:rsid w:val="005E3A2A"/>
    <w:rsid w:val="005E47B5"/>
    <w:rsid w:val="005E61C0"/>
    <w:rsid w:val="005E63EC"/>
    <w:rsid w:val="005F0102"/>
    <w:rsid w:val="005F0261"/>
    <w:rsid w:val="005F2509"/>
    <w:rsid w:val="005F2F34"/>
    <w:rsid w:val="00601DD1"/>
    <w:rsid w:val="006023D5"/>
    <w:rsid w:val="00604A6B"/>
    <w:rsid w:val="00605457"/>
    <w:rsid w:val="006058F8"/>
    <w:rsid w:val="00610DCE"/>
    <w:rsid w:val="00615316"/>
    <w:rsid w:val="006159CE"/>
    <w:rsid w:val="00616B8E"/>
    <w:rsid w:val="00621FE0"/>
    <w:rsid w:val="00622102"/>
    <w:rsid w:val="00623457"/>
    <w:rsid w:val="006243D2"/>
    <w:rsid w:val="00625094"/>
    <w:rsid w:val="006250AA"/>
    <w:rsid w:val="006255AB"/>
    <w:rsid w:val="006256F7"/>
    <w:rsid w:val="00625F62"/>
    <w:rsid w:val="00626E0D"/>
    <w:rsid w:val="00632BFC"/>
    <w:rsid w:val="00634659"/>
    <w:rsid w:val="00636F32"/>
    <w:rsid w:val="0063715E"/>
    <w:rsid w:val="00637C18"/>
    <w:rsid w:val="00640836"/>
    <w:rsid w:val="006410ED"/>
    <w:rsid w:val="0064141C"/>
    <w:rsid w:val="00642615"/>
    <w:rsid w:val="006437C1"/>
    <w:rsid w:val="00643A0B"/>
    <w:rsid w:val="006444FC"/>
    <w:rsid w:val="006458A1"/>
    <w:rsid w:val="006464EA"/>
    <w:rsid w:val="00646587"/>
    <w:rsid w:val="0065320A"/>
    <w:rsid w:val="006538C3"/>
    <w:rsid w:val="006539CF"/>
    <w:rsid w:val="006542DB"/>
    <w:rsid w:val="00656441"/>
    <w:rsid w:val="00656E11"/>
    <w:rsid w:val="00660401"/>
    <w:rsid w:val="00660446"/>
    <w:rsid w:val="00661D73"/>
    <w:rsid w:val="00661EF8"/>
    <w:rsid w:val="00665855"/>
    <w:rsid w:val="0066632D"/>
    <w:rsid w:val="0067425B"/>
    <w:rsid w:val="00674964"/>
    <w:rsid w:val="006760B6"/>
    <w:rsid w:val="00676101"/>
    <w:rsid w:val="00677C5E"/>
    <w:rsid w:val="00680001"/>
    <w:rsid w:val="00682AAB"/>
    <w:rsid w:val="00687FED"/>
    <w:rsid w:val="00690A1C"/>
    <w:rsid w:val="00691C23"/>
    <w:rsid w:val="006937D2"/>
    <w:rsid w:val="0069398B"/>
    <w:rsid w:val="00695421"/>
    <w:rsid w:val="00695ECB"/>
    <w:rsid w:val="00696465"/>
    <w:rsid w:val="00696874"/>
    <w:rsid w:val="006A149F"/>
    <w:rsid w:val="006A1A2D"/>
    <w:rsid w:val="006A55EB"/>
    <w:rsid w:val="006A66F0"/>
    <w:rsid w:val="006B0EA1"/>
    <w:rsid w:val="006B15A4"/>
    <w:rsid w:val="006B3029"/>
    <w:rsid w:val="006B4DE6"/>
    <w:rsid w:val="006B6A0F"/>
    <w:rsid w:val="006B6F29"/>
    <w:rsid w:val="006B778A"/>
    <w:rsid w:val="006C019A"/>
    <w:rsid w:val="006C22EA"/>
    <w:rsid w:val="006C50F0"/>
    <w:rsid w:val="006C7CDE"/>
    <w:rsid w:val="006D0368"/>
    <w:rsid w:val="006D28FD"/>
    <w:rsid w:val="006D2B09"/>
    <w:rsid w:val="006D39C9"/>
    <w:rsid w:val="006E2B71"/>
    <w:rsid w:val="006E31DD"/>
    <w:rsid w:val="006E32DB"/>
    <w:rsid w:val="006E359C"/>
    <w:rsid w:val="006E44B7"/>
    <w:rsid w:val="006E5B91"/>
    <w:rsid w:val="006E65C7"/>
    <w:rsid w:val="006E7445"/>
    <w:rsid w:val="006F543E"/>
    <w:rsid w:val="006F5A97"/>
    <w:rsid w:val="006F737B"/>
    <w:rsid w:val="00700361"/>
    <w:rsid w:val="007065D9"/>
    <w:rsid w:val="0070666A"/>
    <w:rsid w:val="00706A28"/>
    <w:rsid w:val="00706BE6"/>
    <w:rsid w:val="00707EC5"/>
    <w:rsid w:val="007104EF"/>
    <w:rsid w:val="00710BD9"/>
    <w:rsid w:val="00711464"/>
    <w:rsid w:val="00711B76"/>
    <w:rsid w:val="00715661"/>
    <w:rsid w:val="00721BE9"/>
    <w:rsid w:val="00722D0E"/>
    <w:rsid w:val="00732969"/>
    <w:rsid w:val="00732FEA"/>
    <w:rsid w:val="007344AB"/>
    <w:rsid w:val="0074162A"/>
    <w:rsid w:val="00742AB3"/>
    <w:rsid w:val="00742E9A"/>
    <w:rsid w:val="007451E6"/>
    <w:rsid w:val="00746E67"/>
    <w:rsid w:val="00751512"/>
    <w:rsid w:val="007517B6"/>
    <w:rsid w:val="007518B0"/>
    <w:rsid w:val="00752169"/>
    <w:rsid w:val="007561D2"/>
    <w:rsid w:val="0075622A"/>
    <w:rsid w:val="00760F60"/>
    <w:rsid w:val="007620C6"/>
    <w:rsid w:val="00763958"/>
    <w:rsid w:val="0076644E"/>
    <w:rsid w:val="00767F48"/>
    <w:rsid w:val="00770053"/>
    <w:rsid w:val="00772C3E"/>
    <w:rsid w:val="0077404F"/>
    <w:rsid w:val="007740BE"/>
    <w:rsid w:val="0077411D"/>
    <w:rsid w:val="00774351"/>
    <w:rsid w:val="007747F8"/>
    <w:rsid w:val="00774CAC"/>
    <w:rsid w:val="00775821"/>
    <w:rsid w:val="007770CA"/>
    <w:rsid w:val="00780992"/>
    <w:rsid w:val="0078157E"/>
    <w:rsid w:val="00782A13"/>
    <w:rsid w:val="0078411D"/>
    <w:rsid w:val="00791EE5"/>
    <w:rsid w:val="00794042"/>
    <w:rsid w:val="00794BD4"/>
    <w:rsid w:val="00795184"/>
    <w:rsid w:val="007964CF"/>
    <w:rsid w:val="00796AF5"/>
    <w:rsid w:val="007971B5"/>
    <w:rsid w:val="007A0709"/>
    <w:rsid w:val="007A0B33"/>
    <w:rsid w:val="007A3DED"/>
    <w:rsid w:val="007A67E7"/>
    <w:rsid w:val="007A7254"/>
    <w:rsid w:val="007B2EE6"/>
    <w:rsid w:val="007B44AE"/>
    <w:rsid w:val="007B51C6"/>
    <w:rsid w:val="007B6F7C"/>
    <w:rsid w:val="007B736F"/>
    <w:rsid w:val="007B75B5"/>
    <w:rsid w:val="007C029B"/>
    <w:rsid w:val="007C2353"/>
    <w:rsid w:val="007C26F3"/>
    <w:rsid w:val="007C67EA"/>
    <w:rsid w:val="007C6922"/>
    <w:rsid w:val="007C72EC"/>
    <w:rsid w:val="007D0794"/>
    <w:rsid w:val="007D0A4A"/>
    <w:rsid w:val="007D1A58"/>
    <w:rsid w:val="007D2402"/>
    <w:rsid w:val="007D34D6"/>
    <w:rsid w:val="007D45F1"/>
    <w:rsid w:val="007D51D7"/>
    <w:rsid w:val="007D77C7"/>
    <w:rsid w:val="007E0427"/>
    <w:rsid w:val="007E08F0"/>
    <w:rsid w:val="007E2415"/>
    <w:rsid w:val="007E2F04"/>
    <w:rsid w:val="007E5B5B"/>
    <w:rsid w:val="007E76D6"/>
    <w:rsid w:val="007F0771"/>
    <w:rsid w:val="007F10DB"/>
    <w:rsid w:val="007F206C"/>
    <w:rsid w:val="007F58B6"/>
    <w:rsid w:val="007F67D5"/>
    <w:rsid w:val="007F7FFA"/>
    <w:rsid w:val="008008AE"/>
    <w:rsid w:val="008008D5"/>
    <w:rsid w:val="00800AE5"/>
    <w:rsid w:val="00801814"/>
    <w:rsid w:val="0080192A"/>
    <w:rsid w:val="00804058"/>
    <w:rsid w:val="00807603"/>
    <w:rsid w:val="00807B41"/>
    <w:rsid w:val="00811F0D"/>
    <w:rsid w:val="0081295A"/>
    <w:rsid w:val="008136EA"/>
    <w:rsid w:val="008212F5"/>
    <w:rsid w:val="00821693"/>
    <w:rsid w:val="0082170C"/>
    <w:rsid w:val="00823BA6"/>
    <w:rsid w:val="00823E9F"/>
    <w:rsid w:val="00825403"/>
    <w:rsid w:val="00827F8B"/>
    <w:rsid w:val="00830B75"/>
    <w:rsid w:val="00831127"/>
    <w:rsid w:val="008332A6"/>
    <w:rsid w:val="00833896"/>
    <w:rsid w:val="008359E2"/>
    <w:rsid w:val="00836290"/>
    <w:rsid w:val="00837D5A"/>
    <w:rsid w:val="0084057B"/>
    <w:rsid w:val="00844071"/>
    <w:rsid w:val="00845073"/>
    <w:rsid w:val="00845C6A"/>
    <w:rsid w:val="008477FB"/>
    <w:rsid w:val="00850B81"/>
    <w:rsid w:val="008522FC"/>
    <w:rsid w:val="00852326"/>
    <w:rsid w:val="0085278A"/>
    <w:rsid w:val="0085279F"/>
    <w:rsid w:val="0085347E"/>
    <w:rsid w:val="00853BD7"/>
    <w:rsid w:val="00855EB4"/>
    <w:rsid w:val="00860445"/>
    <w:rsid w:val="00861576"/>
    <w:rsid w:val="0086392A"/>
    <w:rsid w:val="00863FE8"/>
    <w:rsid w:val="0086528B"/>
    <w:rsid w:val="008665CD"/>
    <w:rsid w:val="00866DA5"/>
    <w:rsid w:val="00867090"/>
    <w:rsid w:val="00867748"/>
    <w:rsid w:val="008718F1"/>
    <w:rsid w:val="008748FB"/>
    <w:rsid w:val="00874FCA"/>
    <w:rsid w:val="00875ED3"/>
    <w:rsid w:val="008775A0"/>
    <w:rsid w:val="00877A84"/>
    <w:rsid w:val="0088149E"/>
    <w:rsid w:val="00882B4C"/>
    <w:rsid w:val="00883B45"/>
    <w:rsid w:val="0088614C"/>
    <w:rsid w:val="00886AF6"/>
    <w:rsid w:val="00886BC2"/>
    <w:rsid w:val="00886F0D"/>
    <w:rsid w:val="00887885"/>
    <w:rsid w:val="00887FA5"/>
    <w:rsid w:val="00891564"/>
    <w:rsid w:val="0089199C"/>
    <w:rsid w:val="00891B0D"/>
    <w:rsid w:val="008A0350"/>
    <w:rsid w:val="008A0EA4"/>
    <w:rsid w:val="008A3871"/>
    <w:rsid w:val="008A63AF"/>
    <w:rsid w:val="008A7197"/>
    <w:rsid w:val="008B0792"/>
    <w:rsid w:val="008B2DD8"/>
    <w:rsid w:val="008C23AF"/>
    <w:rsid w:val="008C3B4A"/>
    <w:rsid w:val="008C3F68"/>
    <w:rsid w:val="008C433B"/>
    <w:rsid w:val="008C5B73"/>
    <w:rsid w:val="008C5EF8"/>
    <w:rsid w:val="008C6212"/>
    <w:rsid w:val="008C6B1A"/>
    <w:rsid w:val="008C6C49"/>
    <w:rsid w:val="008C6FF4"/>
    <w:rsid w:val="008C7D3A"/>
    <w:rsid w:val="008D1C27"/>
    <w:rsid w:val="008D2844"/>
    <w:rsid w:val="008D358C"/>
    <w:rsid w:val="008D35CB"/>
    <w:rsid w:val="008D6215"/>
    <w:rsid w:val="008D784C"/>
    <w:rsid w:val="008D7A40"/>
    <w:rsid w:val="008E0487"/>
    <w:rsid w:val="008E14AB"/>
    <w:rsid w:val="008E5F9E"/>
    <w:rsid w:val="008E7B67"/>
    <w:rsid w:val="008F1072"/>
    <w:rsid w:val="008F1B97"/>
    <w:rsid w:val="008F2FFA"/>
    <w:rsid w:val="008F5AA7"/>
    <w:rsid w:val="008F6113"/>
    <w:rsid w:val="008F6327"/>
    <w:rsid w:val="008F6C9F"/>
    <w:rsid w:val="008F7D8D"/>
    <w:rsid w:val="009010DA"/>
    <w:rsid w:val="00901C92"/>
    <w:rsid w:val="0090306A"/>
    <w:rsid w:val="0090662A"/>
    <w:rsid w:val="0090665A"/>
    <w:rsid w:val="009074AC"/>
    <w:rsid w:val="009102DB"/>
    <w:rsid w:val="00910A96"/>
    <w:rsid w:val="00910F5E"/>
    <w:rsid w:val="0091270B"/>
    <w:rsid w:val="009147A1"/>
    <w:rsid w:val="00915131"/>
    <w:rsid w:val="0091635A"/>
    <w:rsid w:val="00916723"/>
    <w:rsid w:val="00917133"/>
    <w:rsid w:val="00917E4F"/>
    <w:rsid w:val="00920EA3"/>
    <w:rsid w:val="00921721"/>
    <w:rsid w:val="00922170"/>
    <w:rsid w:val="0092235C"/>
    <w:rsid w:val="00923A58"/>
    <w:rsid w:val="00925F44"/>
    <w:rsid w:val="00930AFD"/>
    <w:rsid w:val="009320DE"/>
    <w:rsid w:val="00932D80"/>
    <w:rsid w:val="00933B2C"/>
    <w:rsid w:val="00933BE4"/>
    <w:rsid w:val="00934FA4"/>
    <w:rsid w:val="0093633B"/>
    <w:rsid w:val="00940ADC"/>
    <w:rsid w:val="00940CE6"/>
    <w:rsid w:val="00941DBD"/>
    <w:rsid w:val="00944175"/>
    <w:rsid w:val="00945098"/>
    <w:rsid w:val="00946107"/>
    <w:rsid w:val="00947DFB"/>
    <w:rsid w:val="0095246F"/>
    <w:rsid w:val="00952E58"/>
    <w:rsid w:val="00954928"/>
    <w:rsid w:val="00955064"/>
    <w:rsid w:val="009550DE"/>
    <w:rsid w:val="00963535"/>
    <w:rsid w:val="00964000"/>
    <w:rsid w:val="0096688D"/>
    <w:rsid w:val="00971589"/>
    <w:rsid w:val="00980EBF"/>
    <w:rsid w:val="00981EE0"/>
    <w:rsid w:val="00982A5D"/>
    <w:rsid w:val="00985C1A"/>
    <w:rsid w:val="00986352"/>
    <w:rsid w:val="00987449"/>
    <w:rsid w:val="009900A4"/>
    <w:rsid w:val="00991CBB"/>
    <w:rsid w:val="00991F59"/>
    <w:rsid w:val="00991FE5"/>
    <w:rsid w:val="00993630"/>
    <w:rsid w:val="00993C2A"/>
    <w:rsid w:val="00994493"/>
    <w:rsid w:val="00994C11"/>
    <w:rsid w:val="0099516D"/>
    <w:rsid w:val="00995D81"/>
    <w:rsid w:val="009A0B5F"/>
    <w:rsid w:val="009A2194"/>
    <w:rsid w:val="009A3D22"/>
    <w:rsid w:val="009A59B2"/>
    <w:rsid w:val="009B054B"/>
    <w:rsid w:val="009B066B"/>
    <w:rsid w:val="009B429F"/>
    <w:rsid w:val="009B4595"/>
    <w:rsid w:val="009B480B"/>
    <w:rsid w:val="009B4AE1"/>
    <w:rsid w:val="009B6225"/>
    <w:rsid w:val="009C2B3F"/>
    <w:rsid w:val="009D04C1"/>
    <w:rsid w:val="009D07D9"/>
    <w:rsid w:val="009D1937"/>
    <w:rsid w:val="009D1CF6"/>
    <w:rsid w:val="009D3AEB"/>
    <w:rsid w:val="009D524A"/>
    <w:rsid w:val="009D5F3F"/>
    <w:rsid w:val="009D674F"/>
    <w:rsid w:val="009D73C0"/>
    <w:rsid w:val="009D75C7"/>
    <w:rsid w:val="009E0344"/>
    <w:rsid w:val="009E506C"/>
    <w:rsid w:val="009E6850"/>
    <w:rsid w:val="009F182F"/>
    <w:rsid w:val="009F308F"/>
    <w:rsid w:val="009F4800"/>
    <w:rsid w:val="009F5A79"/>
    <w:rsid w:val="009F5D99"/>
    <w:rsid w:val="009F60E6"/>
    <w:rsid w:val="009F6997"/>
    <w:rsid w:val="00A01A57"/>
    <w:rsid w:val="00A01FAF"/>
    <w:rsid w:val="00A048C8"/>
    <w:rsid w:val="00A04D1B"/>
    <w:rsid w:val="00A06271"/>
    <w:rsid w:val="00A06C75"/>
    <w:rsid w:val="00A12F6E"/>
    <w:rsid w:val="00A13431"/>
    <w:rsid w:val="00A143A4"/>
    <w:rsid w:val="00A165E4"/>
    <w:rsid w:val="00A16710"/>
    <w:rsid w:val="00A1696E"/>
    <w:rsid w:val="00A226F4"/>
    <w:rsid w:val="00A2443D"/>
    <w:rsid w:val="00A250AA"/>
    <w:rsid w:val="00A326C0"/>
    <w:rsid w:val="00A34539"/>
    <w:rsid w:val="00A34C78"/>
    <w:rsid w:val="00A351B9"/>
    <w:rsid w:val="00A35CB4"/>
    <w:rsid w:val="00A361DA"/>
    <w:rsid w:val="00A37C5C"/>
    <w:rsid w:val="00A4094A"/>
    <w:rsid w:val="00A412BD"/>
    <w:rsid w:val="00A420AB"/>
    <w:rsid w:val="00A426B6"/>
    <w:rsid w:val="00A42E20"/>
    <w:rsid w:val="00A4541B"/>
    <w:rsid w:val="00A45624"/>
    <w:rsid w:val="00A51DE2"/>
    <w:rsid w:val="00A56A19"/>
    <w:rsid w:val="00A5719C"/>
    <w:rsid w:val="00A616F1"/>
    <w:rsid w:val="00A62B52"/>
    <w:rsid w:val="00A64207"/>
    <w:rsid w:val="00A65BB3"/>
    <w:rsid w:val="00A65E1D"/>
    <w:rsid w:val="00A669E6"/>
    <w:rsid w:val="00A7033C"/>
    <w:rsid w:val="00A7372C"/>
    <w:rsid w:val="00A74C45"/>
    <w:rsid w:val="00A75BA9"/>
    <w:rsid w:val="00A80FF8"/>
    <w:rsid w:val="00A8110C"/>
    <w:rsid w:val="00A82FD4"/>
    <w:rsid w:val="00A83BD3"/>
    <w:rsid w:val="00A846BE"/>
    <w:rsid w:val="00A84EE9"/>
    <w:rsid w:val="00A85597"/>
    <w:rsid w:val="00A9040B"/>
    <w:rsid w:val="00A91346"/>
    <w:rsid w:val="00A91468"/>
    <w:rsid w:val="00A929E2"/>
    <w:rsid w:val="00A9356B"/>
    <w:rsid w:val="00A963DE"/>
    <w:rsid w:val="00A96C2E"/>
    <w:rsid w:val="00A96E48"/>
    <w:rsid w:val="00AA037B"/>
    <w:rsid w:val="00AA0A4B"/>
    <w:rsid w:val="00AA2CCD"/>
    <w:rsid w:val="00AA2D39"/>
    <w:rsid w:val="00AA2F48"/>
    <w:rsid w:val="00AA437A"/>
    <w:rsid w:val="00AA4E09"/>
    <w:rsid w:val="00AA7A0B"/>
    <w:rsid w:val="00AB44D5"/>
    <w:rsid w:val="00AB613A"/>
    <w:rsid w:val="00AB6F44"/>
    <w:rsid w:val="00AB79FB"/>
    <w:rsid w:val="00AC048E"/>
    <w:rsid w:val="00AC0C3E"/>
    <w:rsid w:val="00AC3473"/>
    <w:rsid w:val="00AC46D2"/>
    <w:rsid w:val="00AC6E3A"/>
    <w:rsid w:val="00AC7684"/>
    <w:rsid w:val="00AD1614"/>
    <w:rsid w:val="00AD3D0F"/>
    <w:rsid w:val="00AD79B7"/>
    <w:rsid w:val="00AE168F"/>
    <w:rsid w:val="00AE2BCB"/>
    <w:rsid w:val="00AE4A50"/>
    <w:rsid w:val="00AE518A"/>
    <w:rsid w:val="00AE608D"/>
    <w:rsid w:val="00AF0E41"/>
    <w:rsid w:val="00AF30A0"/>
    <w:rsid w:val="00AF31DD"/>
    <w:rsid w:val="00AF7D28"/>
    <w:rsid w:val="00B1010F"/>
    <w:rsid w:val="00B103A5"/>
    <w:rsid w:val="00B11086"/>
    <w:rsid w:val="00B11845"/>
    <w:rsid w:val="00B1279E"/>
    <w:rsid w:val="00B133D5"/>
    <w:rsid w:val="00B15346"/>
    <w:rsid w:val="00B1727B"/>
    <w:rsid w:val="00B17E5F"/>
    <w:rsid w:val="00B20B12"/>
    <w:rsid w:val="00B20B27"/>
    <w:rsid w:val="00B23964"/>
    <w:rsid w:val="00B25283"/>
    <w:rsid w:val="00B25B14"/>
    <w:rsid w:val="00B26A49"/>
    <w:rsid w:val="00B27FF5"/>
    <w:rsid w:val="00B30A7F"/>
    <w:rsid w:val="00B31871"/>
    <w:rsid w:val="00B336DF"/>
    <w:rsid w:val="00B439E2"/>
    <w:rsid w:val="00B44CC2"/>
    <w:rsid w:val="00B4510C"/>
    <w:rsid w:val="00B45BBC"/>
    <w:rsid w:val="00B4632A"/>
    <w:rsid w:val="00B46440"/>
    <w:rsid w:val="00B4683D"/>
    <w:rsid w:val="00B511A7"/>
    <w:rsid w:val="00B53A9D"/>
    <w:rsid w:val="00B5493A"/>
    <w:rsid w:val="00B54C85"/>
    <w:rsid w:val="00B579B7"/>
    <w:rsid w:val="00B62AE8"/>
    <w:rsid w:val="00B67BF0"/>
    <w:rsid w:val="00B72D91"/>
    <w:rsid w:val="00B73B3F"/>
    <w:rsid w:val="00B80006"/>
    <w:rsid w:val="00B81857"/>
    <w:rsid w:val="00B81C36"/>
    <w:rsid w:val="00B857F4"/>
    <w:rsid w:val="00B9029E"/>
    <w:rsid w:val="00B904F5"/>
    <w:rsid w:val="00B916E2"/>
    <w:rsid w:val="00B91D51"/>
    <w:rsid w:val="00B944F0"/>
    <w:rsid w:val="00B948AE"/>
    <w:rsid w:val="00B953DD"/>
    <w:rsid w:val="00B9576A"/>
    <w:rsid w:val="00B95E73"/>
    <w:rsid w:val="00B96F0D"/>
    <w:rsid w:val="00B978A9"/>
    <w:rsid w:val="00B97AAB"/>
    <w:rsid w:val="00BA1803"/>
    <w:rsid w:val="00BA1A91"/>
    <w:rsid w:val="00BA1AB2"/>
    <w:rsid w:val="00BA2829"/>
    <w:rsid w:val="00BA3005"/>
    <w:rsid w:val="00BA4358"/>
    <w:rsid w:val="00BA508F"/>
    <w:rsid w:val="00BA6666"/>
    <w:rsid w:val="00BA7063"/>
    <w:rsid w:val="00BA770E"/>
    <w:rsid w:val="00BB63C8"/>
    <w:rsid w:val="00BC09EF"/>
    <w:rsid w:val="00BC5056"/>
    <w:rsid w:val="00BC5A55"/>
    <w:rsid w:val="00BC7F38"/>
    <w:rsid w:val="00BD3437"/>
    <w:rsid w:val="00BD388E"/>
    <w:rsid w:val="00BD455B"/>
    <w:rsid w:val="00BD55FF"/>
    <w:rsid w:val="00BD74AA"/>
    <w:rsid w:val="00BE07A3"/>
    <w:rsid w:val="00BE0CCE"/>
    <w:rsid w:val="00BE14EE"/>
    <w:rsid w:val="00BE210D"/>
    <w:rsid w:val="00BE2634"/>
    <w:rsid w:val="00BE2F14"/>
    <w:rsid w:val="00BE3EA7"/>
    <w:rsid w:val="00BE3FFE"/>
    <w:rsid w:val="00BF23B4"/>
    <w:rsid w:val="00BF5968"/>
    <w:rsid w:val="00BF5A90"/>
    <w:rsid w:val="00BF69A2"/>
    <w:rsid w:val="00BF732C"/>
    <w:rsid w:val="00BF7880"/>
    <w:rsid w:val="00C008DA"/>
    <w:rsid w:val="00C0138F"/>
    <w:rsid w:val="00C02D69"/>
    <w:rsid w:val="00C040FA"/>
    <w:rsid w:val="00C044BD"/>
    <w:rsid w:val="00C054B3"/>
    <w:rsid w:val="00C065AD"/>
    <w:rsid w:val="00C100BE"/>
    <w:rsid w:val="00C10B87"/>
    <w:rsid w:val="00C1231D"/>
    <w:rsid w:val="00C13929"/>
    <w:rsid w:val="00C14FA3"/>
    <w:rsid w:val="00C150B3"/>
    <w:rsid w:val="00C15920"/>
    <w:rsid w:val="00C1680B"/>
    <w:rsid w:val="00C16C4D"/>
    <w:rsid w:val="00C16DA0"/>
    <w:rsid w:val="00C17021"/>
    <w:rsid w:val="00C20AB2"/>
    <w:rsid w:val="00C22CE3"/>
    <w:rsid w:val="00C22ED4"/>
    <w:rsid w:val="00C238C2"/>
    <w:rsid w:val="00C243E6"/>
    <w:rsid w:val="00C26564"/>
    <w:rsid w:val="00C26D29"/>
    <w:rsid w:val="00C27507"/>
    <w:rsid w:val="00C279B0"/>
    <w:rsid w:val="00C34D24"/>
    <w:rsid w:val="00C360D8"/>
    <w:rsid w:val="00C36679"/>
    <w:rsid w:val="00C373C6"/>
    <w:rsid w:val="00C376E5"/>
    <w:rsid w:val="00C37B30"/>
    <w:rsid w:val="00C40403"/>
    <w:rsid w:val="00C41BA8"/>
    <w:rsid w:val="00C43331"/>
    <w:rsid w:val="00C433F2"/>
    <w:rsid w:val="00C43480"/>
    <w:rsid w:val="00C45768"/>
    <w:rsid w:val="00C45BD8"/>
    <w:rsid w:val="00C460A5"/>
    <w:rsid w:val="00C46E9D"/>
    <w:rsid w:val="00C47009"/>
    <w:rsid w:val="00C50D84"/>
    <w:rsid w:val="00C51E8C"/>
    <w:rsid w:val="00C52E10"/>
    <w:rsid w:val="00C6122B"/>
    <w:rsid w:val="00C61996"/>
    <w:rsid w:val="00C6323C"/>
    <w:rsid w:val="00C63552"/>
    <w:rsid w:val="00C6586E"/>
    <w:rsid w:val="00C67541"/>
    <w:rsid w:val="00C7030C"/>
    <w:rsid w:val="00C708CA"/>
    <w:rsid w:val="00C71F73"/>
    <w:rsid w:val="00C72862"/>
    <w:rsid w:val="00C75A86"/>
    <w:rsid w:val="00C75CA1"/>
    <w:rsid w:val="00C768FE"/>
    <w:rsid w:val="00C77147"/>
    <w:rsid w:val="00C77F0D"/>
    <w:rsid w:val="00C80F8F"/>
    <w:rsid w:val="00C82088"/>
    <w:rsid w:val="00C86709"/>
    <w:rsid w:val="00C86C27"/>
    <w:rsid w:val="00C87F2E"/>
    <w:rsid w:val="00C931C3"/>
    <w:rsid w:val="00C93E9C"/>
    <w:rsid w:val="00C948DE"/>
    <w:rsid w:val="00C95123"/>
    <w:rsid w:val="00C96F49"/>
    <w:rsid w:val="00CA0410"/>
    <w:rsid w:val="00CA120F"/>
    <w:rsid w:val="00CA2485"/>
    <w:rsid w:val="00CA2EC0"/>
    <w:rsid w:val="00CA33E4"/>
    <w:rsid w:val="00CA45B2"/>
    <w:rsid w:val="00CA4820"/>
    <w:rsid w:val="00CA5AD6"/>
    <w:rsid w:val="00CB40BB"/>
    <w:rsid w:val="00CB5995"/>
    <w:rsid w:val="00CB78D5"/>
    <w:rsid w:val="00CC0C5D"/>
    <w:rsid w:val="00CC244A"/>
    <w:rsid w:val="00CC48BE"/>
    <w:rsid w:val="00CC76C3"/>
    <w:rsid w:val="00CD1176"/>
    <w:rsid w:val="00CD2264"/>
    <w:rsid w:val="00CD3699"/>
    <w:rsid w:val="00CD394D"/>
    <w:rsid w:val="00CD4B3C"/>
    <w:rsid w:val="00CD7230"/>
    <w:rsid w:val="00CE19F2"/>
    <w:rsid w:val="00CE2467"/>
    <w:rsid w:val="00CE269D"/>
    <w:rsid w:val="00CE2A32"/>
    <w:rsid w:val="00CE4D97"/>
    <w:rsid w:val="00CE660D"/>
    <w:rsid w:val="00CE6E93"/>
    <w:rsid w:val="00CF1FDC"/>
    <w:rsid w:val="00CF2149"/>
    <w:rsid w:val="00CF2C98"/>
    <w:rsid w:val="00CF3ABA"/>
    <w:rsid w:val="00CF435A"/>
    <w:rsid w:val="00CF4578"/>
    <w:rsid w:val="00CF4D44"/>
    <w:rsid w:val="00CF51C8"/>
    <w:rsid w:val="00CF787C"/>
    <w:rsid w:val="00D0054C"/>
    <w:rsid w:val="00D00783"/>
    <w:rsid w:val="00D02140"/>
    <w:rsid w:val="00D073A1"/>
    <w:rsid w:val="00D0784E"/>
    <w:rsid w:val="00D07953"/>
    <w:rsid w:val="00D07ACE"/>
    <w:rsid w:val="00D11627"/>
    <w:rsid w:val="00D14778"/>
    <w:rsid w:val="00D1493D"/>
    <w:rsid w:val="00D15E0E"/>
    <w:rsid w:val="00D21BC9"/>
    <w:rsid w:val="00D220F2"/>
    <w:rsid w:val="00D2259F"/>
    <w:rsid w:val="00D250A3"/>
    <w:rsid w:val="00D251D3"/>
    <w:rsid w:val="00D26418"/>
    <w:rsid w:val="00D26B5A"/>
    <w:rsid w:val="00D2794F"/>
    <w:rsid w:val="00D33D99"/>
    <w:rsid w:val="00D340BD"/>
    <w:rsid w:val="00D340C3"/>
    <w:rsid w:val="00D34A1C"/>
    <w:rsid w:val="00D35683"/>
    <w:rsid w:val="00D36FC3"/>
    <w:rsid w:val="00D42273"/>
    <w:rsid w:val="00D437A0"/>
    <w:rsid w:val="00D43A6F"/>
    <w:rsid w:val="00D443D4"/>
    <w:rsid w:val="00D44645"/>
    <w:rsid w:val="00D45447"/>
    <w:rsid w:val="00D4686A"/>
    <w:rsid w:val="00D50313"/>
    <w:rsid w:val="00D506B2"/>
    <w:rsid w:val="00D515B6"/>
    <w:rsid w:val="00D5179C"/>
    <w:rsid w:val="00D52683"/>
    <w:rsid w:val="00D53704"/>
    <w:rsid w:val="00D55EEA"/>
    <w:rsid w:val="00D57524"/>
    <w:rsid w:val="00D57689"/>
    <w:rsid w:val="00D61997"/>
    <w:rsid w:val="00D629FB"/>
    <w:rsid w:val="00D64733"/>
    <w:rsid w:val="00D64DFD"/>
    <w:rsid w:val="00D6679F"/>
    <w:rsid w:val="00D67BAF"/>
    <w:rsid w:val="00D67D5D"/>
    <w:rsid w:val="00D72747"/>
    <w:rsid w:val="00D75138"/>
    <w:rsid w:val="00D7738F"/>
    <w:rsid w:val="00D778BB"/>
    <w:rsid w:val="00D8184B"/>
    <w:rsid w:val="00D83C95"/>
    <w:rsid w:val="00D84960"/>
    <w:rsid w:val="00D863CC"/>
    <w:rsid w:val="00D868F5"/>
    <w:rsid w:val="00D87356"/>
    <w:rsid w:val="00D929BD"/>
    <w:rsid w:val="00D930E1"/>
    <w:rsid w:val="00D93FA5"/>
    <w:rsid w:val="00D979C1"/>
    <w:rsid w:val="00DA1078"/>
    <w:rsid w:val="00DA1307"/>
    <w:rsid w:val="00DA22B0"/>
    <w:rsid w:val="00DA2A28"/>
    <w:rsid w:val="00DB27E8"/>
    <w:rsid w:val="00DB4BF1"/>
    <w:rsid w:val="00DB616C"/>
    <w:rsid w:val="00DB6CF4"/>
    <w:rsid w:val="00DB785E"/>
    <w:rsid w:val="00DB7FCA"/>
    <w:rsid w:val="00DC07E5"/>
    <w:rsid w:val="00DC1B01"/>
    <w:rsid w:val="00DC330C"/>
    <w:rsid w:val="00DC3952"/>
    <w:rsid w:val="00DC4280"/>
    <w:rsid w:val="00DD0DDB"/>
    <w:rsid w:val="00DD105A"/>
    <w:rsid w:val="00DD1601"/>
    <w:rsid w:val="00DD78E3"/>
    <w:rsid w:val="00DE1162"/>
    <w:rsid w:val="00DE1AEA"/>
    <w:rsid w:val="00DE3F8F"/>
    <w:rsid w:val="00DE5507"/>
    <w:rsid w:val="00DE562A"/>
    <w:rsid w:val="00DF18E8"/>
    <w:rsid w:val="00DF3725"/>
    <w:rsid w:val="00DF4607"/>
    <w:rsid w:val="00DF5588"/>
    <w:rsid w:val="00DF5F2A"/>
    <w:rsid w:val="00DF718E"/>
    <w:rsid w:val="00DF7452"/>
    <w:rsid w:val="00E0085C"/>
    <w:rsid w:val="00E04212"/>
    <w:rsid w:val="00E06D4B"/>
    <w:rsid w:val="00E06FA2"/>
    <w:rsid w:val="00E132F8"/>
    <w:rsid w:val="00E14317"/>
    <w:rsid w:val="00E14ABC"/>
    <w:rsid w:val="00E14F67"/>
    <w:rsid w:val="00E20A2A"/>
    <w:rsid w:val="00E21920"/>
    <w:rsid w:val="00E22100"/>
    <w:rsid w:val="00E22881"/>
    <w:rsid w:val="00E22C8B"/>
    <w:rsid w:val="00E23891"/>
    <w:rsid w:val="00E24523"/>
    <w:rsid w:val="00E24601"/>
    <w:rsid w:val="00E24FD0"/>
    <w:rsid w:val="00E27E33"/>
    <w:rsid w:val="00E30695"/>
    <w:rsid w:val="00E30E02"/>
    <w:rsid w:val="00E31EE9"/>
    <w:rsid w:val="00E31F0E"/>
    <w:rsid w:val="00E337A1"/>
    <w:rsid w:val="00E349F7"/>
    <w:rsid w:val="00E378FB"/>
    <w:rsid w:val="00E40A39"/>
    <w:rsid w:val="00E41E76"/>
    <w:rsid w:val="00E446D1"/>
    <w:rsid w:val="00E46C67"/>
    <w:rsid w:val="00E46D74"/>
    <w:rsid w:val="00E47C7E"/>
    <w:rsid w:val="00E5168D"/>
    <w:rsid w:val="00E51AF0"/>
    <w:rsid w:val="00E5376B"/>
    <w:rsid w:val="00E5777E"/>
    <w:rsid w:val="00E57A85"/>
    <w:rsid w:val="00E63A05"/>
    <w:rsid w:val="00E642FD"/>
    <w:rsid w:val="00E65D70"/>
    <w:rsid w:val="00E671A6"/>
    <w:rsid w:val="00E73079"/>
    <w:rsid w:val="00E748A9"/>
    <w:rsid w:val="00E755C2"/>
    <w:rsid w:val="00E771C0"/>
    <w:rsid w:val="00E806D8"/>
    <w:rsid w:val="00E81516"/>
    <w:rsid w:val="00E81EAC"/>
    <w:rsid w:val="00E847BB"/>
    <w:rsid w:val="00E86C33"/>
    <w:rsid w:val="00E874A1"/>
    <w:rsid w:val="00E87971"/>
    <w:rsid w:val="00E91CB4"/>
    <w:rsid w:val="00E92079"/>
    <w:rsid w:val="00E92F3A"/>
    <w:rsid w:val="00E931A8"/>
    <w:rsid w:val="00E94825"/>
    <w:rsid w:val="00E95B21"/>
    <w:rsid w:val="00E95E95"/>
    <w:rsid w:val="00EA18D9"/>
    <w:rsid w:val="00EA1993"/>
    <w:rsid w:val="00EA2B4C"/>
    <w:rsid w:val="00EA5CCE"/>
    <w:rsid w:val="00EA745E"/>
    <w:rsid w:val="00EA74EB"/>
    <w:rsid w:val="00EB0EC6"/>
    <w:rsid w:val="00EB1587"/>
    <w:rsid w:val="00EB1BAE"/>
    <w:rsid w:val="00EB267E"/>
    <w:rsid w:val="00EB2F20"/>
    <w:rsid w:val="00EB39BC"/>
    <w:rsid w:val="00EB4171"/>
    <w:rsid w:val="00EB538F"/>
    <w:rsid w:val="00EB72EC"/>
    <w:rsid w:val="00EB7954"/>
    <w:rsid w:val="00EB7DC6"/>
    <w:rsid w:val="00EC0B21"/>
    <w:rsid w:val="00EC10D4"/>
    <w:rsid w:val="00EC360A"/>
    <w:rsid w:val="00EC4EC6"/>
    <w:rsid w:val="00EC6E1F"/>
    <w:rsid w:val="00ED39E7"/>
    <w:rsid w:val="00ED4384"/>
    <w:rsid w:val="00ED4D18"/>
    <w:rsid w:val="00ED5B95"/>
    <w:rsid w:val="00ED6B63"/>
    <w:rsid w:val="00ED795E"/>
    <w:rsid w:val="00ED7C67"/>
    <w:rsid w:val="00EE2741"/>
    <w:rsid w:val="00EE36F6"/>
    <w:rsid w:val="00EE3C0A"/>
    <w:rsid w:val="00EE41DA"/>
    <w:rsid w:val="00EE72F1"/>
    <w:rsid w:val="00EF020D"/>
    <w:rsid w:val="00EF0B4D"/>
    <w:rsid w:val="00EF0FDB"/>
    <w:rsid w:val="00EF1A1C"/>
    <w:rsid w:val="00EF2621"/>
    <w:rsid w:val="00EF3DAB"/>
    <w:rsid w:val="00EF3DF4"/>
    <w:rsid w:val="00EF4474"/>
    <w:rsid w:val="00EF486B"/>
    <w:rsid w:val="00EF666D"/>
    <w:rsid w:val="00EF6B91"/>
    <w:rsid w:val="00EF749A"/>
    <w:rsid w:val="00F00418"/>
    <w:rsid w:val="00F0253D"/>
    <w:rsid w:val="00F04BC5"/>
    <w:rsid w:val="00F0708B"/>
    <w:rsid w:val="00F07A0F"/>
    <w:rsid w:val="00F10C23"/>
    <w:rsid w:val="00F125AC"/>
    <w:rsid w:val="00F126F0"/>
    <w:rsid w:val="00F14B2A"/>
    <w:rsid w:val="00F1612D"/>
    <w:rsid w:val="00F16AB1"/>
    <w:rsid w:val="00F17E71"/>
    <w:rsid w:val="00F2111A"/>
    <w:rsid w:val="00F21822"/>
    <w:rsid w:val="00F248EC"/>
    <w:rsid w:val="00F24AC4"/>
    <w:rsid w:val="00F25A4C"/>
    <w:rsid w:val="00F272D5"/>
    <w:rsid w:val="00F3059E"/>
    <w:rsid w:val="00F333C8"/>
    <w:rsid w:val="00F33BE8"/>
    <w:rsid w:val="00F35A79"/>
    <w:rsid w:val="00F36810"/>
    <w:rsid w:val="00F426A5"/>
    <w:rsid w:val="00F43EBA"/>
    <w:rsid w:val="00F47198"/>
    <w:rsid w:val="00F51193"/>
    <w:rsid w:val="00F52D07"/>
    <w:rsid w:val="00F563CD"/>
    <w:rsid w:val="00F566EF"/>
    <w:rsid w:val="00F56CB9"/>
    <w:rsid w:val="00F571C9"/>
    <w:rsid w:val="00F60FB2"/>
    <w:rsid w:val="00F62A08"/>
    <w:rsid w:val="00F62EA8"/>
    <w:rsid w:val="00F664FA"/>
    <w:rsid w:val="00F67413"/>
    <w:rsid w:val="00F7235B"/>
    <w:rsid w:val="00F72B92"/>
    <w:rsid w:val="00F820F2"/>
    <w:rsid w:val="00F833D4"/>
    <w:rsid w:val="00F85687"/>
    <w:rsid w:val="00F863FA"/>
    <w:rsid w:val="00F87742"/>
    <w:rsid w:val="00F95177"/>
    <w:rsid w:val="00F9597F"/>
    <w:rsid w:val="00F9784E"/>
    <w:rsid w:val="00F97AD6"/>
    <w:rsid w:val="00FA3593"/>
    <w:rsid w:val="00FA41C7"/>
    <w:rsid w:val="00FA4D4B"/>
    <w:rsid w:val="00FA6FF0"/>
    <w:rsid w:val="00FB2D5A"/>
    <w:rsid w:val="00FB6A39"/>
    <w:rsid w:val="00FB6C0D"/>
    <w:rsid w:val="00FC1DB0"/>
    <w:rsid w:val="00FC32EF"/>
    <w:rsid w:val="00FC4DFF"/>
    <w:rsid w:val="00FC75D3"/>
    <w:rsid w:val="00FD0BCE"/>
    <w:rsid w:val="00FD1247"/>
    <w:rsid w:val="00FD19D3"/>
    <w:rsid w:val="00FD1DAE"/>
    <w:rsid w:val="00FD468D"/>
    <w:rsid w:val="00FD5377"/>
    <w:rsid w:val="00FD5577"/>
    <w:rsid w:val="00FD60BB"/>
    <w:rsid w:val="00FD6566"/>
    <w:rsid w:val="00FE0E0A"/>
    <w:rsid w:val="00FE464B"/>
    <w:rsid w:val="00FE509D"/>
    <w:rsid w:val="00FE5B8D"/>
    <w:rsid w:val="00FF1F3F"/>
    <w:rsid w:val="00FF31DB"/>
    <w:rsid w:val="00FF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1D36B"/>
  <w15:chartTrackingRefBased/>
  <w15:docId w15:val="{A6905AEC-B24B-4758-AFB8-8B6F1B49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6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6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6B6"/>
    <w:rPr>
      <w:rFonts w:ascii="Segoe UI" w:hAnsi="Segoe UI" w:cs="Segoe UI"/>
      <w:sz w:val="18"/>
      <w:szCs w:val="18"/>
    </w:rPr>
  </w:style>
  <w:style w:type="paragraph" w:styleId="BodyText">
    <w:name w:val="Body Text"/>
    <w:basedOn w:val="Normal"/>
    <w:link w:val="BodyTextChar"/>
    <w:unhideWhenUsed/>
    <w:qFormat/>
    <w:rsid w:val="00642615"/>
    <w:pPr>
      <w:spacing w:before="180" w:after="180" w:line="240" w:lineRule="auto"/>
    </w:pPr>
    <w:rPr>
      <w:sz w:val="24"/>
      <w:szCs w:val="24"/>
    </w:rPr>
  </w:style>
  <w:style w:type="character" w:customStyle="1" w:styleId="BodyTextChar">
    <w:name w:val="Body Text Char"/>
    <w:basedOn w:val="DefaultParagraphFont"/>
    <w:link w:val="BodyText"/>
    <w:rsid w:val="00642615"/>
    <w:rPr>
      <w:sz w:val="24"/>
      <w:szCs w:val="24"/>
    </w:rPr>
  </w:style>
  <w:style w:type="paragraph" w:customStyle="1" w:styleId="Compact">
    <w:name w:val="Compact"/>
    <w:basedOn w:val="BodyText"/>
    <w:qFormat/>
    <w:rsid w:val="0006632F"/>
    <w:pPr>
      <w:spacing w:before="36" w:after="36"/>
    </w:pPr>
  </w:style>
  <w:style w:type="paragraph" w:customStyle="1" w:styleId="2Marioslevel2">
    <w:name w:val="2_Marios_level2"/>
    <w:basedOn w:val="Normal"/>
    <w:next w:val="Normal"/>
    <w:qFormat/>
    <w:rsid w:val="006B4DE6"/>
    <w:pPr>
      <w:spacing w:line="360" w:lineRule="auto"/>
    </w:pPr>
    <w:rPr>
      <w:rFonts w:ascii="Times New Roman" w:hAnsi="Times New Roman" w:cs="Times New Roman"/>
      <w:b/>
      <w:color w:val="000000" w:themeColor="text1"/>
      <w:sz w:val="24"/>
      <w:lang w:val="en-AU"/>
    </w:rPr>
  </w:style>
  <w:style w:type="paragraph" w:styleId="NormalWeb">
    <w:name w:val="Normal (Web)"/>
    <w:basedOn w:val="Normal"/>
    <w:uiPriority w:val="99"/>
    <w:unhideWhenUsed/>
    <w:rsid w:val="006B4DE6"/>
    <w:pPr>
      <w:spacing w:before="100" w:beforeAutospacing="1" w:after="100" w:afterAutospacing="1" w:line="240" w:lineRule="auto"/>
    </w:pPr>
    <w:rPr>
      <w:rFonts w:ascii="Times New Roman" w:eastAsia="Times New Roman" w:hAnsi="Times New Roman" w:cs="Times New Roman"/>
      <w:color w:val="000000" w:themeColor="text1"/>
      <w:sz w:val="24"/>
      <w:szCs w:val="24"/>
      <w:lang w:val="en-AU" w:eastAsia="en-AU"/>
    </w:rPr>
  </w:style>
  <w:style w:type="paragraph" w:customStyle="1" w:styleId="3MariosLevel3">
    <w:name w:val="3_Marios Level 3"/>
    <w:basedOn w:val="Normal"/>
    <w:link w:val="3MariosLevel3Char"/>
    <w:qFormat/>
    <w:rsid w:val="006B4DE6"/>
    <w:pPr>
      <w:spacing w:after="240" w:line="360" w:lineRule="auto"/>
      <w:ind w:left="720"/>
    </w:pPr>
    <w:rPr>
      <w:rFonts w:ascii="Times New Roman" w:eastAsiaTheme="minorEastAsia" w:hAnsi="Times New Roman" w:cs="Times New Roman"/>
      <w:b/>
      <w:i/>
      <w:color w:val="000000" w:themeColor="text1"/>
      <w:sz w:val="24"/>
      <w:szCs w:val="24"/>
      <w:lang w:val="en-AU"/>
    </w:rPr>
  </w:style>
  <w:style w:type="character" w:customStyle="1" w:styleId="3MariosLevel3Char">
    <w:name w:val="3_Marios Level 3 Char"/>
    <w:basedOn w:val="DefaultParagraphFont"/>
    <w:link w:val="3MariosLevel3"/>
    <w:rsid w:val="006B4DE6"/>
    <w:rPr>
      <w:rFonts w:ascii="Times New Roman" w:eastAsiaTheme="minorEastAsia" w:hAnsi="Times New Roman" w:cs="Times New Roman"/>
      <w:b/>
      <w:i/>
      <w:color w:val="000000" w:themeColor="text1"/>
      <w:sz w:val="24"/>
      <w:szCs w:val="24"/>
      <w:lang w:val="en-AU"/>
    </w:rPr>
  </w:style>
  <w:style w:type="paragraph" w:styleId="ListParagraph">
    <w:name w:val="List Paragraph"/>
    <w:basedOn w:val="Normal"/>
    <w:uiPriority w:val="34"/>
    <w:qFormat/>
    <w:rsid w:val="00BF5968"/>
    <w:pPr>
      <w:ind w:left="720"/>
      <w:contextualSpacing/>
    </w:pPr>
  </w:style>
  <w:style w:type="character" w:styleId="Hyperlink">
    <w:name w:val="Hyperlink"/>
    <w:basedOn w:val="DefaultParagraphFont"/>
    <w:uiPriority w:val="99"/>
    <w:unhideWhenUsed/>
    <w:rsid w:val="00065370"/>
    <w:rPr>
      <w:color w:val="0563C1" w:themeColor="hyperlink"/>
      <w:u w:val="single"/>
    </w:rPr>
  </w:style>
  <w:style w:type="character" w:styleId="UnresolvedMention">
    <w:name w:val="Unresolved Mention"/>
    <w:basedOn w:val="DefaultParagraphFont"/>
    <w:uiPriority w:val="99"/>
    <w:semiHidden/>
    <w:unhideWhenUsed/>
    <w:rsid w:val="00065370"/>
    <w:rPr>
      <w:color w:val="605E5C"/>
      <w:shd w:val="clear" w:color="auto" w:fill="E1DFDD"/>
    </w:rPr>
  </w:style>
  <w:style w:type="character" w:styleId="CommentReference">
    <w:name w:val="annotation reference"/>
    <w:basedOn w:val="DefaultParagraphFont"/>
    <w:uiPriority w:val="99"/>
    <w:semiHidden/>
    <w:unhideWhenUsed/>
    <w:rsid w:val="001B7182"/>
    <w:rPr>
      <w:sz w:val="16"/>
      <w:szCs w:val="16"/>
    </w:rPr>
  </w:style>
  <w:style w:type="paragraph" w:styleId="CommentText">
    <w:name w:val="annotation text"/>
    <w:basedOn w:val="Normal"/>
    <w:link w:val="CommentTextChar"/>
    <w:uiPriority w:val="99"/>
    <w:semiHidden/>
    <w:unhideWhenUsed/>
    <w:rsid w:val="001B7182"/>
    <w:pPr>
      <w:spacing w:line="240" w:lineRule="auto"/>
    </w:pPr>
    <w:rPr>
      <w:sz w:val="20"/>
      <w:szCs w:val="20"/>
    </w:rPr>
  </w:style>
  <w:style w:type="character" w:customStyle="1" w:styleId="CommentTextChar">
    <w:name w:val="Comment Text Char"/>
    <w:basedOn w:val="DefaultParagraphFont"/>
    <w:link w:val="CommentText"/>
    <w:uiPriority w:val="99"/>
    <w:semiHidden/>
    <w:rsid w:val="001B7182"/>
    <w:rPr>
      <w:sz w:val="20"/>
      <w:szCs w:val="20"/>
    </w:rPr>
  </w:style>
  <w:style w:type="paragraph" w:styleId="CommentSubject">
    <w:name w:val="annotation subject"/>
    <w:basedOn w:val="CommentText"/>
    <w:next w:val="CommentText"/>
    <w:link w:val="CommentSubjectChar"/>
    <w:uiPriority w:val="99"/>
    <w:semiHidden/>
    <w:unhideWhenUsed/>
    <w:rsid w:val="001B7182"/>
    <w:rPr>
      <w:b/>
      <w:bCs/>
    </w:rPr>
  </w:style>
  <w:style w:type="character" w:customStyle="1" w:styleId="CommentSubjectChar">
    <w:name w:val="Comment Subject Char"/>
    <w:basedOn w:val="CommentTextChar"/>
    <w:link w:val="CommentSubject"/>
    <w:uiPriority w:val="99"/>
    <w:semiHidden/>
    <w:rsid w:val="001B7182"/>
    <w:rPr>
      <w:b/>
      <w:bCs/>
      <w:sz w:val="20"/>
      <w:szCs w:val="20"/>
    </w:rPr>
  </w:style>
  <w:style w:type="paragraph" w:styleId="FootnoteText">
    <w:name w:val="footnote text"/>
    <w:basedOn w:val="Normal"/>
    <w:link w:val="FootnoteTextChar"/>
    <w:uiPriority w:val="99"/>
    <w:semiHidden/>
    <w:unhideWhenUsed/>
    <w:rsid w:val="009B42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429F"/>
    <w:rPr>
      <w:sz w:val="20"/>
      <w:szCs w:val="20"/>
    </w:rPr>
  </w:style>
  <w:style w:type="character" w:styleId="FootnoteReference">
    <w:name w:val="footnote reference"/>
    <w:basedOn w:val="DefaultParagraphFont"/>
    <w:uiPriority w:val="99"/>
    <w:semiHidden/>
    <w:unhideWhenUsed/>
    <w:rsid w:val="009B42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99023">
      <w:bodyDiv w:val="1"/>
      <w:marLeft w:val="0"/>
      <w:marRight w:val="0"/>
      <w:marTop w:val="0"/>
      <w:marBottom w:val="0"/>
      <w:divBdr>
        <w:top w:val="none" w:sz="0" w:space="0" w:color="auto"/>
        <w:left w:val="none" w:sz="0" w:space="0" w:color="auto"/>
        <w:bottom w:val="none" w:sz="0" w:space="0" w:color="auto"/>
        <w:right w:val="none" w:sz="0" w:space="0" w:color="auto"/>
      </w:divBdr>
    </w:div>
    <w:div w:id="127481433">
      <w:bodyDiv w:val="1"/>
      <w:marLeft w:val="0"/>
      <w:marRight w:val="0"/>
      <w:marTop w:val="0"/>
      <w:marBottom w:val="0"/>
      <w:divBdr>
        <w:top w:val="none" w:sz="0" w:space="0" w:color="auto"/>
        <w:left w:val="none" w:sz="0" w:space="0" w:color="auto"/>
        <w:bottom w:val="none" w:sz="0" w:space="0" w:color="auto"/>
        <w:right w:val="none" w:sz="0" w:space="0" w:color="auto"/>
      </w:divBdr>
    </w:div>
    <w:div w:id="185027592">
      <w:bodyDiv w:val="1"/>
      <w:marLeft w:val="0"/>
      <w:marRight w:val="0"/>
      <w:marTop w:val="0"/>
      <w:marBottom w:val="0"/>
      <w:divBdr>
        <w:top w:val="none" w:sz="0" w:space="0" w:color="auto"/>
        <w:left w:val="none" w:sz="0" w:space="0" w:color="auto"/>
        <w:bottom w:val="none" w:sz="0" w:space="0" w:color="auto"/>
        <w:right w:val="none" w:sz="0" w:space="0" w:color="auto"/>
      </w:divBdr>
    </w:div>
    <w:div w:id="782922920">
      <w:bodyDiv w:val="1"/>
      <w:marLeft w:val="0"/>
      <w:marRight w:val="0"/>
      <w:marTop w:val="0"/>
      <w:marBottom w:val="0"/>
      <w:divBdr>
        <w:top w:val="none" w:sz="0" w:space="0" w:color="auto"/>
        <w:left w:val="none" w:sz="0" w:space="0" w:color="auto"/>
        <w:bottom w:val="none" w:sz="0" w:space="0" w:color="auto"/>
        <w:right w:val="none" w:sz="0" w:space="0" w:color="auto"/>
      </w:divBdr>
    </w:div>
    <w:div w:id="815999142">
      <w:bodyDiv w:val="1"/>
      <w:marLeft w:val="0"/>
      <w:marRight w:val="0"/>
      <w:marTop w:val="0"/>
      <w:marBottom w:val="0"/>
      <w:divBdr>
        <w:top w:val="none" w:sz="0" w:space="0" w:color="auto"/>
        <w:left w:val="none" w:sz="0" w:space="0" w:color="auto"/>
        <w:bottom w:val="none" w:sz="0" w:space="0" w:color="auto"/>
        <w:right w:val="none" w:sz="0" w:space="0" w:color="auto"/>
      </w:divBdr>
    </w:div>
    <w:div w:id="847865340">
      <w:bodyDiv w:val="1"/>
      <w:marLeft w:val="0"/>
      <w:marRight w:val="0"/>
      <w:marTop w:val="0"/>
      <w:marBottom w:val="0"/>
      <w:divBdr>
        <w:top w:val="none" w:sz="0" w:space="0" w:color="auto"/>
        <w:left w:val="none" w:sz="0" w:space="0" w:color="auto"/>
        <w:bottom w:val="none" w:sz="0" w:space="0" w:color="auto"/>
        <w:right w:val="none" w:sz="0" w:space="0" w:color="auto"/>
      </w:divBdr>
    </w:div>
    <w:div w:id="950665823">
      <w:bodyDiv w:val="1"/>
      <w:marLeft w:val="0"/>
      <w:marRight w:val="0"/>
      <w:marTop w:val="0"/>
      <w:marBottom w:val="0"/>
      <w:divBdr>
        <w:top w:val="none" w:sz="0" w:space="0" w:color="auto"/>
        <w:left w:val="none" w:sz="0" w:space="0" w:color="auto"/>
        <w:bottom w:val="none" w:sz="0" w:space="0" w:color="auto"/>
        <w:right w:val="none" w:sz="0" w:space="0" w:color="auto"/>
      </w:divBdr>
    </w:div>
    <w:div w:id="1186595302">
      <w:bodyDiv w:val="1"/>
      <w:marLeft w:val="0"/>
      <w:marRight w:val="0"/>
      <w:marTop w:val="0"/>
      <w:marBottom w:val="0"/>
      <w:divBdr>
        <w:top w:val="none" w:sz="0" w:space="0" w:color="auto"/>
        <w:left w:val="none" w:sz="0" w:space="0" w:color="auto"/>
        <w:bottom w:val="none" w:sz="0" w:space="0" w:color="auto"/>
        <w:right w:val="none" w:sz="0" w:space="0" w:color="auto"/>
      </w:divBdr>
    </w:div>
    <w:div w:id="1541628904">
      <w:bodyDiv w:val="1"/>
      <w:marLeft w:val="0"/>
      <w:marRight w:val="0"/>
      <w:marTop w:val="0"/>
      <w:marBottom w:val="0"/>
      <w:divBdr>
        <w:top w:val="none" w:sz="0" w:space="0" w:color="auto"/>
        <w:left w:val="none" w:sz="0" w:space="0" w:color="auto"/>
        <w:bottom w:val="none" w:sz="0" w:space="0" w:color="auto"/>
        <w:right w:val="none" w:sz="0" w:space="0" w:color="auto"/>
      </w:divBdr>
    </w:div>
    <w:div w:id="1760246534">
      <w:bodyDiv w:val="1"/>
      <w:marLeft w:val="0"/>
      <w:marRight w:val="0"/>
      <w:marTop w:val="0"/>
      <w:marBottom w:val="0"/>
      <w:divBdr>
        <w:top w:val="none" w:sz="0" w:space="0" w:color="auto"/>
        <w:left w:val="none" w:sz="0" w:space="0" w:color="auto"/>
        <w:bottom w:val="none" w:sz="0" w:space="0" w:color="auto"/>
        <w:right w:val="none" w:sz="0" w:space="0" w:color="auto"/>
      </w:divBdr>
    </w:div>
    <w:div w:id="203904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B28A0-4B51-444E-B029-704B4DB6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40</Pages>
  <Words>53071</Words>
  <Characters>302507</Characters>
  <Application>Microsoft Office Word</Application>
  <DocSecurity>0</DocSecurity>
  <Lines>2520</Lines>
  <Paragraphs>709</Paragraphs>
  <ScaleCrop>false</ScaleCrop>
  <Company/>
  <LinksUpToDate>false</LinksUpToDate>
  <CharactersWithSpaces>354869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354</cp:revision>
  <dcterms:created xsi:type="dcterms:W3CDTF">2020-08-16T20:36:00Z</dcterms:created>
  <dcterms:modified xsi:type="dcterms:W3CDTF">2020-09-03T01:53:00Z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http://www.zotero.org/styles/apa-no-doi-no-issue</vt:lpwstr>
  </property>
  <property fmtid="{D5CDD505-2E9C-101B-9397-08002B2CF9AE}" pid="7" name="Mendeley Recent Style Name 2_1">
    <vt:lpwstr>American Psychological Association 6th edition (no DOIs, no issue numbers)</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1d2b788b-99c7-3fcb-bc80-0a52c16d7e2f</vt:lpwstr>
  </property>
</Properties>
</file>