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4DAC7" w14:textId="77777777" w:rsidR="0074404E" w:rsidRPr="00C42A81" w:rsidRDefault="0074404E" w:rsidP="00D622E0">
      <w:pPr>
        <w:spacing w:line="480" w:lineRule="auto"/>
        <w:rPr>
          <w:rFonts w:cstheme="minorHAnsi"/>
          <w:b/>
          <w:sz w:val="24"/>
          <w:szCs w:val="24"/>
        </w:rPr>
      </w:pPr>
      <w:r w:rsidRPr="00C42A81">
        <w:rPr>
          <w:rFonts w:cstheme="minorHAnsi"/>
          <w:b/>
          <w:noProof/>
          <w:sz w:val="24"/>
          <w:szCs w:val="24"/>
        </w:rPr>
        <w:drawing>
          <wp:inline distT="0" distB="0" distL="0" distR="0" wp14:anchorId="1597D546" wp14:editId="6FBBE561">
            <wp:extent cx="5943600" cy="229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p>
    <w:p w14:paraId="22FBACE2" w14:textId="77777777" w:rsidR="0074404E" w:rsidRPr="00C42A81" w:rsidRDefault="0074404E" w:rsidP="00D622E0">
      <w:pPr>
        <w:spacing w:line="480" w:lineRule="auto"/>
        <w:rPr>
          <w:rFonts w:cstheme="minorHAnsi"/>
          <w:b/>
          <w:sz w:val="24"/>
          <w:szCs w:val="24"/>
        </w:rPr>
      </w:pPr>
    </w:p>
    <w:p w14:paraId="0A44AB2E" w14:textId="5C873CC4" w:rsidR="008C27AE" w:rsidRPr="00C42A81" w:rsidRDefault="008C27AE" w:rsidP="00D622E0">
      <w:pPr>
        <w:spacing w:line="480" w:lineRule="auto"/>
        <w:rPr>
          <w:rFonts w:cstheme="minorHAnsi"/>
          <w:sz w:val="24"/>
          <w:szCs w:val="24"/>
        </w:rPr>
      </w:pPr>
      <w:r w:rsidRPr="00C42A81">
        <w:rPr>
          <w:rFonts w:cstheme="minorHAnsi"/>
          <w:b/>
          <w:sz w:val="24"/>
          <w:szCs w:val="24"/>
        </w:rPr>
        <w:t xml:space="preserve">Figure 1. </w:t>
      </w:r>
      <w:r w:rsidR="00417B87" w:rsidRPr="00C42A81">
        <w:rPr>
          <w:rFonts w:cstheme="minorHAnsi"/>
          <w:sz w:val="24"/>
          <w:szCs w:val="24"/>
        </w:rPr>
        <w:t xml:space="preserve">The effect of pre-training OFC lesions on the acquisition of </w:t>
      </w:r>
      <w:r w:rsidR="002221C4" w:rsidRPr="00C42A81">
        <w:rPr>
          <w:rFonts w:cstheme="minorHAnsi"/>
          <w:sz w:val="24"/>
          <w:szCs w:val="24"/>
        </w:rPr>
        <w:t xml:space="preserve">simple Pavlovian cue-outcome </w:t>
      </w:r>
      <w:r w:rsidR="00221F02" w:rsidRPr="00C42A81">
        <w:rPr>
          <w:rFonts w:cstheme="minorHAnsi"/>
          <w:sz w:val="24"/>
          <w:szCs w:val="24"/>
        </w:rPr>
        <w:t>relationship.</w:t>
      </w:r>
      <w:r w:rsidR="00593236" w:rsidRPr="00C42A81">
        <w:rPr>
          <w:rFonts w:cstheme="minorHAnsi"/>
          <w:sz w:val="24"/>
          <w:szCs w:val="24"/>
        </w:rPr>
        <w:t xml:space="preserve"> </w:t>
      </w:r>
      <w:r w:rsidR="00447E20" w:rsidRPr="00C42A81">
        <w:rPr>
          <w:rFonts w:cstheme="minorHAnsi"/>
          <w:sz w:val="24"/>
          <w:szCs w:val="24"/>
        </w:rPr>
        <w:t>Representative lesion damage and histolog</w:t>
      </w:r>
      <w:r w:rsidR="00655FD7" w:rsidRPr="00C42A81">
        <w:rPr>
          <w:rFonts w:cstheme="minorHAnsi"/>
          <w:sz w:val="24"/>
          <w:szCs w:val="24"/>
        </w:rPr>
        <w:t xml:space="preserve">y depicted in </w:t>
      </w:r>
      <w:r w:rsidR="00655FD7" w:rsidRPr="00C42A81">
        <w:rPr>
          <w:rFonts w:cstheme="minorHAnsi"/>
          <w:sz w:val="24"/>
          <w:szCs w:val="24"/>
          <w:u w:val="single"/>
        </w:rPr>
        <w:t>Figure 1-figure supplement 1</w:t>
      </w:r>
      <w:r w:rsidR="00655FD7" w:rsidRPr="00C42A81">
        <w:rPr>
          <w:rFonts w:cstheme="minorHAnsi"/>
          <w:sz w:val="24"/>
          <w:szCs w:val="24"/>
        </w:rPr>
        <w:t>.</w:t>
      </w:r>
      <w:r w:rsidR="00221F02" w:rsidRPr="00C42A81">
        <w:rPr>
          <w:rFonts w:cstheme="minorHAnsi"/>
          <w:sz w:val="24"/>
          <w:szCs w:val="24"/>
        </w:rPr>
        <w:t xml:space="preserve"> (</w:t>
      </w:r>
      <w:r w:rsidR="00221F02" w:rsidRPr="00C42A81">
        <w:rPr>
          <w:rFonts w:cstheme="minorHAnsi"/>
          <w:b/>
          <w:sz w:val="24"/>
          <w:szCs w:val="24"/>
        </w:rPr>
        <w:t>A</w:t>
      </w:r>
      <w:r w:rsidR="00221F02" w:rsidRPr="00C42A81">
        <w:rPr>
          <w:rFonts w:cstheme="minorHAnsi"/>
          <w:sz w:val="24"/>
          <w:szCs w:val="24"/>
        </w:rPr>
        <w:t xml:space="preserve">) </w:t>
      </w:r>
      <w:r w:rsidR="002873D6">
        <w:rPr>
          <w:rFonts w:cstheme="minorHAnsi"/>
          <w:sz w:val="24"/>
          <w:szCs w:val="24"/>
        </w:rPr>
        <w:t xml:space="preserve">Experiment 1: </w:t>
      </w:r>
      <w:r w:rsidR="009B69E4" w:rsidRPr="00C42A81">
        <w:rPr>
          <w:rFonts w:cstheme="minorHAnsi"/>
          <w:sz w:val="24"/>
          <w:szCs w:val="24"/>
        </w:rPr>
        <w:t xml:space="preserve">OFC lesions significantly enhance acquisition </w:t>
      </w:r>
      <w:r w:rsidR="0053733F" w:rsidRPr="00C42A81">
        <w:rPr>
          <w:rFonts w:cstheme="minorHAnsi"/>
          <w:sz w:val="24"/>
          <w:szCs w:val="24"/>
        </w:rPr>
        <w:t xml:space="preserve">behaviour </w:t>
      </w:r>
      <w:r w:rsidR="009B69E4" w:rsidRPr="00C42A81">
        <w:rPr>
          <w:rFonts w:cstheme="minorHAnsi"/>
          <w:sz w:val="24"/>
          <w:szCs w:val="24"/>
        </w:rPr>
        <w:t xml:space="preserve">to a simple </w:t>
      </w:r>
      <w:r w:rsidR="00C93DCB" w:rsidRPr="00C42A81">
        <w:rPr>
          <w:rFonts w:cstheme="minorHAnsi"/>
          <w:sz w:val="24"/>
          <w:szCs w:val="24"/>
        </w:rPr>
        <w:t xml:space="preserve">Pavlovian </w:t>
      </w:r>
      <w:r w:rsidR="00C11622" w:rsidRPr="00C42A81">
        <w:rPr>
          <w:rFonts w:cstheme="minorHAnsi"/>
          <w:sz w:val="24"/>
          <w:szCs w:val="24"/>
        </w:rPr>
        <w:t>c</w:t>
      </w:r>
      <w:r w:rsidR="002A085F" w:rsidRPr="00C42A81">
        <w:rPr>
          <w:rFonts w:cstheme="minorHAnsi"/>
          <w:sz w:val="24"/>
          <w:szCs w:val="24"/>
        </w:rPr>
        <w:t xml:space="preserve">ue (CS) predicting a food pellet. </w:t>
      </w:r>
      <w:r w:rsidR="001A5499" w:rsidRPr="00C42A81">
        <w:rPr>
          <w:rFonts w:cstheme="minorHAnsi"/>
          <w:sz w:val="24"/>
          <w:szCs w:val="24"/>
        </w:rPr>
        <w:t xml:space="preserve">Responding during the baseline PreCS </w:t>
      </w:r>
      <w:r w:rsidR="003D65C1" w:rsidRPr="00C42A81">
        <w:rPr>
          <w:rFonts w:cstheme="minorHAnsi"/>
          <w:sz w:val="24"/>
          <w:szCs w:val="24"/>
        </w:rPr>
        <w:t xml:space="preserve">period </w:t>
      </w:r>
      <w:r w:rsidR="003D65C1" w:rsidRPr="00C42A81">
        <w:rPr>
          <w:rFonts w:eastAsia="Times New Roman" w:cstheme="minorHAnsi"/>
          <w:sz w:val="24"/>
          <w:szCs w:val="24"/>
          <w:lang w:val="en-AU" w:eastAsia="en-AU"/>
        </w:rPr>
        <w:t>is</w:t>
      </w:r>
      <w:r w:rsidR="001A5499" w:rsidRPr="00C42A81">
        <w:rPr>
          <w:rFonts w:eastAsia="Times New Roman" w:cstheme="minorHAnsi"/>
          <w:sz w:val="24"/>
          <w:szCs w:val="24"/>
          <w:lang w:val="en-AU" w:eastAsia="en-AU"/>
        </w:rPr>
        <w:t xml:space="preserve"> subtracted from </w:t>
      </w:r>
      <w:r w:rsidR="00AE3F35" w:rsidRPr="00C42A81">
        <w:rPr>
          <w:rFonts w:eastAsia="Times New Roman" w:cstheme="minorHAnsi"/>
          <w:sz w:val="24"/>
          <w:szCs w:val="24"/>
          <w:lang w:val="en-AU" w:eastAsia="en-AU"/>
        </w:rPr>
        <w:t xml:space="preserve">responding during the </w:t>
      </w:r>
      <w:r w:rsidR="001A5499" w:rsidRPr="00C42A81">
        <w:rPr>
          <w:rFonts w:eastAsia="Times New Roman" w:cstheme="minorHAnsi"/>
          <w:sz w:val="24"/>
          <w:szCs w:val="24"/>
          <w:lang w:val="en-AU" w:eastAsia="en-AU"/>
        </w:rPr>
        <w:t>CS</w:t>
      </w:r>
      <w:r w:rsidR="00AE3F35" w:rsidRPr="00C42A81">
        <w:rPr>
          <w:rFonts w:eastAsia="Times New Roman" w:cstheme="minorHAnsi"/>
          <w:sz w:val="24"/>
          <w:szCs w:val="24"/>
          <w:lang w:val="en-AU" w:eastAsia="en-AU"/>
        </w:rPr>
        <w:t xml:space="preserve"> perio</w:t>
      </w:r>
      <w:r w:rsidR="00CD00EA" w:rsidRPr="00C42A81">
        <w:rPr>
          <w:rFonts w:eastAsia="Times New Roman" w:cstheme="minorHAnsi"/>
          <w:sz w:val="24"/>
          <w:szCs w:val="24"/>
          <w:lang w:val="en-AU" w:eastAsia="en-AU"/>
        </w:rPr>
        <w:t>d</w:t>
      </w:r>
      <w:r w:rsidR="00AF58AF">
        <w:rPr>
          <w:rFonts w:eastAsia="Times New Roman" w:cstheme="minorHAnsi"/>
          <w:sz w:val="24"/>
          <w:szCs w:val="24"/>
          <w:lang w:val="en-AU" w:eastAsia="en-AU"/>
        </w:rPr>
        <w:t xml:space="preserve"> (i.e. CS-PreCS</w:t>
      </w:r>
      <w:r w:rsidR="005E396F">
        <w:rPr>
          <w:rFonts w:eastAsia="Times New Roman" w:cstheme="minorHAnsi"/>
          <w:sz w:val="24"/>
          <w:szCs w:val="24"/>
          <w:lang w:val="en-AU" w:eastAsia="en-AU"/>
        </w:rPr>
        <w:t>)</w:t>
      </w:r>
      <w:r w:rsidR="00CD00EA" w:rsidRPr="00C42A81">
        <w:rPr>
          <w:rFonts w:eastAsia="Times New Roman" w:cstheme="minorHAnsi"/>
          <w:sz w:val="24"/>
          <w:szCs w:val="24"/>
          <w:lang w:val="en-AU" w:eastAsia="en-AU"/>
        </w:rPr>
        <w:t>.</w:t>
      </w:r>
      <w:r w:rsidR="003D65C1" w:rsidRPr="00C42A81">
        <w:rPr>
          <w:rFonts w:eastAsia="Times New Roman" w:cstheme="minorHAnsi"/>
          <w:sz w:val="24"/>
          <w:szCs w:val="24"/>
          <w:lang w:val="en-AU" w:eastAsia="en-AU"/>
        </w:rPr>
        <w:t xml:space="preserve"> Data presented </w:t>
      </w:r>
      <w:r w:rsidR="00110DD9" w:rsidRPr="00C42A81">
        <w:rPr>
          <w:rFonts w:eastAsia="Times New Roman" w:cstheme="minorHAnsi"/>
          <w:sz w:val="24"/>
          <w:szCs w:val="24"/>
          <w:lang w:val="en-AU" w:eastAsia="en-AU"/>
        </w:rPr>
        <w:t>in blocks of 3 days.</w:t>
      </w:r>
      <w:r w:rsidR="00CD00EA" w:rsidRPr="00C42A81">
        <w:rPr>
          <w:rFonts w:eastAsia="Times New Roman" w:cstheme="minorHAnsi"/>
          <w:sz w:val="24"/>
          <w:szCs w:val="24"/>
          <w:lang w:val="en-AU" w:eastAsia="en-AU"/>
        </w:rPr>
        <w:t xml:space="preserve"> </w:t>
      </w:r>
      <w:r w:rsidR="000D31D5" w:rsidRPr="00C42A81">
        <w:rPr>
          <w:rFonts w:eastAsia="Times New Roman" w:cstheme="minorHAnsi"/>
          <w:sz w:val="24"/>
          <w:szCs w:val="24"/>
          <w:lang w:val="en-AU" w:eastAsia="en-AU"/>
        </w:rPr>
        <w:t>(</w:t>
      </w:r>
      <w:r w:rsidR="000D31D5" w:rsidRPr="00C42A81">
        <w:rPr>
          <w:rFonts w:eastAsia="Times New Roman" w:cstheme="minorHAnsi"/>
          <w:b/>
          <w:sz w:val="24"/>
          <w:szCs w:val="24"/>
          <w:lang w:val="en-AU" w:eastAsia="en-AU"/>
        </w:rPr>
        <w:t>B</w:t>
      </w:r>
      <w:r w:rsidR="000D31D5" w:rsidRPr="00C42A81">
        <w:rPr>
          <w:rFonts w:eastAsia="Times New Roman" w:cstheme="minorHAnsi"/>
          <w:sz w:val="24"/>
          <w:szCs w:val="24"/>
          <w:lang w:val="en-AU" w:eastAsia="en-AU"/>
        </w:rPr>
        <w:t xml:space="preserve">) The effect of manipulating general levels of satiety (24 hrs ad-libitum access to food) on Pavlovian acquisition behaviour in a subset of rats </w:t>
      </w:r>
      <w:r w:rsidR="000D31D5" w:rsidRPr="00C42A81">
        <w:rPr>
          <w:rFonts w:eastAsia="Times New Roman" w:cstheme="minorHAnsi"/>
          <w:sz w:val="24"/>
          <w:szCs w:val="24"/>
          <w:lang w:eastAsia="en-AU"/>
        </w:rPr>
        <w:t>(subgroup 1; sham n = 8, lesion n = 7)</w:t>
      </w:r>
      <w:r w:rsidR="000D31D5" w:rsidRPr="00C42A81">
        <w:rPr>
          <w:rFonts w:eastAsia="Times New Roman" w:cstheme="minorHAnsi"/>
          <w:sz w:val="24"/>
          <w:szCs w:val="24"/>
          <w:lang w:val="en-AU" w:eastAsia="en-AU"/>
        </w:rPr>
        <w:t>. General satiety reduced behaviour in the lesion group and abolished group differences (sated), which returned when tested hungry 24 hours later. Th</w:t>
      </w:r>
      <w:r w:rsidR="0031387D">
        <w:rPr>
          <w:rFonts w:eastAsia="Times New Roman" w:cstheme="minorHAnsi"/>
          <w:sz w:val="24"/>
          <w:szCs w:val="24"/>
          <w:lang w:val="en-AU" w:eastAsia="en-AU"/>
        </w:rPr>
        <w:t>e</w:t>
      </w:r>
      <w:r w:rsidR="000D31D5" w:rsidRPr="00C42A81">
        <w:rPr>
          <w:rFonts w:eastAsia="Times New Roman" w:cstheme="minorHAnsi"/>
          <w:sz w:val="24"/>
          <w:szCs w:val="24"/>
          <w:lang w:val="en-AU" w:eastAsia="en-AU"/>
        </w:rPr>
        <w:t xml:space="preserve"> effect of satiety was also evident on the first trial of the session </w:t>
      </w:r>
      <w:r w:rsidR="000D31D5" w:rsidRPr="00C42A81">
        <w:rPr>
          <w:rFonts w:eastAsia="Times New Roman" w:cstheme="minorHAnsi"/>
          <w:sz w:val="24"/>
          <w:szCs w:val="24"/>
          <w:u w:val="single"/>
          <w:lang w:val="en-AU" w:eastAsia="en-AU"/>
        </w:rPr>
        <w:t>Figure 1-figure supplement 2</w:t>
      </w:r>
      <w:r w:rsidR="000D31D5" w:rsidRPr="00C42A81">
        <w:rPr>
          <w:rFonts w:eastAsia="Times New Roman" w:cstheme="minorHAnsi"/>
          <w:sz w:val="24"/>
          <w:szCs w:val="24"/>
          <w:lang w:val="en-AU" w:eastAsia="en-AU"/>
        </w:rPr>
        <w:t xml:space="preserve">. </w:t>
      </w:r>
      <w:r w:rsidR="00CF26B2" w:rsidRPr="00C42A81">
        <w:rPr>
          <w:rFonts w:eastAsia="Times New Roman" w:cstheme="minorHAnsi"/>
          <w:sz w:val="24"/>
          <w:szCs w:val="24"/>
          <w:lang w:val="en-AU" w:eastAsia="en-AU"/>
        </w:rPr>
        <w:t>(</w:t>
      </w:r>
      <w:r w:rsidR="000D31D5" w:rsidRPr="00C42A81">
        <w:rPr>
          <w:rFonts w:eastAsia="Times New Roman" w:cstheme="minorHAnsi"/>
          <w:b/>
          <w:sz w:val="24"/>
          <w:szCs w:val="24"/>
          <w:lang w:val="en-AU" w:eastAsia="en-AU"/>
        </w:rPr>
        <w:t>C</w:t>
      </w:r>
      <w:r w:rsidR="00CF26B2" w:rsidRPr="00C42A81">
        <w:rPr>
          <w:rFonts w:eastAsia="Times New Roman" w:cstheme="minorHAnsi"/>
          <w:sz w:val="24"/>
          <w:szCs w:val="24"/>
          <w:lang w:val="en-AU" w:eastAsia="en-AU"/>
        </w:rPr>
        <w:t>) Locomotor activity</w:t>
      </w:r>
      <w:r w:rsidR="001A5499" w:rsidRPr="00C42A81">
        <w:rPr>
          <w:rFonts w:eastAsia="Times New Roman" w:cstheme="minorHAnsi"/>
          <w:sz w:val="24"/>
          <w:szCs w:val="24"/>
          <w:lang w:val="en-AU" w:eastAsia="en-AU"/>
        </w:rPr>
        <w:t xml:space="preserve"> </w:t>
      </w:r>
      <w:r w:rsidR="00A267FF" w:rsidRPr="00C42A81">
        <w:rPr>
          <w:rFonts w:eastAsia="Times New Roman" w:cstheme="minorHAnsi"/>
          <w:sz w:val="24"/>
          <w:szCs w:val="24"/>
          <w:lang w:val="en-AU" w:eastAsia="en-AU"/>
        </w:rPr>
        <w:t>(</w:t>
      </w:r>
      <w:r w:rsidR="000A7624" w:rsidRPr="00C42A81">
        <w:rPr>
          <w:rFonts w:eastAsia="Times New Roman" w:cstheme="minorHAnsi"/>
          <w:sz w:val="24"/>
          <w:szCs w:val="24"/>
          <w:lang w:val="en-AU" w:eastAsia="en-AU"/>
        </w:rPr>
        <w:t xml:space="preserve">as reflected by </w:t>
      </w:r>
      <w:r w:rsidR="00FE1908" w:rsidRPr="00C42A81">
        <w:rPr>
          <w:rFonts w:eastAsia="Times New Roman" w:cstheme="minorHAnsi"/>
          <w:sz w:val="24"/>
          <w:szCs w:val="24"/>
          <w:lang w:val="en-AU" w:eastAsia="en-AU"/>
        </w:rPr>
        <w:t xml:space="preserve">infra-red beam breaks in a novel </w:t>
      </w:r>
      <w:proofErr w:type="gramStart"/>
      <w:r w:rsidR="00FE1908" w:rsidRPr="00C42A81">
        <w:rPr>
          <w:rFonts w:eastAsia="Times New Roman" w:cstheme="minorHAnsi"/>
          <w:sz w:val="24"/>
          <w:szCs w:val="24"/>
          <w:lang w:val="en-AU" w:eastAsia="en-AU"/>
        </w:rPr>
        <w:t>open-field</w:t>
      </w:r>
      <w:proofErr w:type="gramEnd"/>
      <w:r w:rsidR="00FE1908" w:rsidRPr="00C42A81">
        <w:rPr>
          <w:rFonts w:eastAsia="Times New Roman" w:cstheme="minorHAnsi"/>
          <w:sz w:val="24"/>
          <w:szCs w:val="24"/>
          <w:lang w:val="en-AU" w:eastAsia="en-AU"/>
        </w:rPr>
        <w:t xml:space="preserve">) </w:t>
      </w:r>
      <w:r w:rsidR="00F15392" w:rsidRPr="00C42A81">
        <w:rPr>
          <w:rFonts w:eastAsia="Times New Roman" w:cstheme="minorHAnsi"/>
          <w:sz w:val="24"/>
          <w:szCs w:val="24"/>
          <w:lang w:val="en-AU" w:eastAsia="en-AU"/>
        </w:rPr>
        <w:t>measured over 1 hour (separated into 30 min blocks)</w:t>
      </w:r>
      <w:r w:rsidR="00DB7B58" w:rsidRPr="00C42A81">
        <w:rPr>
          <w:rFonts w:eastAsia="Times New Roman" w:cstheme="minorHAnsi"/>
          <w:sz w:val="24"/>
          <w:szCs w:val="24"/>
          <w:lang w:val="en-AU" w:eastAsia="en-AU"/>
        </w:rPr>
        <w:t xml:space="preserve"> show</w:t>
      </w:r>
      <w:r w:rsidR="00FE1908" w:rsidRPr="00C42A81">
        <w:rPr>
          <w:rFonts w:eastAsia="Times New Roman" w:cstheme="minorHAnsi"/>
          <w:sz w:val="24"/>
          <w:szCs w:val="24"/>
          <w:lang w:val="en-AU" w:eastAsia="en-AU"/>
        </w:rPr>
        <w:t>s</w:t>
      </w:r>
      <w:r w:rsidR="00DB7B58" w:rsidRPr="00C42A81">
        <w:rPr>
          <w:rFonts w:eastAsia="Times New Roman" w:cstheme="minorHAnsi"/>
          <w:sz w:val="24"/>
          <w:szCs w:val="24"/>
          <w:lang w:val="en-AU" w:eastAsia="en-AU"/>
        </w:rPr>
        <w:t xml:space="preserve"> no significant hyperactivity in the OFC lesion group. </w:t>
      </w:r>
      <w:r w:rsidR="009C51F0" w:rsidRPr="00C42A81">
        <w:rPr>
          <w:rFonts w:eastAsia="Times New Roman" w:cstheme="minorHAnsi"/>
          <w:sz w:val="24"/>
          <w:szCs w:val="24"/>
          <w:lang w:val="en-AU" w:eastAsia="en-AU"/>
        </w:rPr>
        <w:t>(</w:t>
      </w:r>
      <w:r w:rsidR="009C51F0" w:rsidRPr="00C42A81">
        <w:rPr>
          <w:rFonts w:eastAsia="Times New Roman" w:cstheme="minorHAnsi"/>
          <w:b/>
          <w:sz w:val="24"/>
          <w:szCs w:val="24"/>
          <w:lang w:val="en-AU" w:eastAsia="en-AU"/>
        </w:rPr>
        <w:t>D</w:t>
      </w:r>
      <w:r w:rsidR="009C51F0" w:rsidRPr="00C42A81">
        <w:rPr>
          <w:rFonts w:eastAsia="Times New Roman" w:cstheme="minorHAnsi"/>
          <w:sz w:val="24"/>
          <w:szCs w:val="24"/>
          <w:lang w:val="en-AU" w:eastAsia="en-AU"/>
        </w:rPr>
        <w:t>) The effect of outcome</w:t>
      </w:r>
      <w:r w:rsidR="00F74A06" w:rsidRPr="00C42A81">
        <w:rPr>
          <w:rFonts w:eastAsia="Times New Roman" w:cstheme="minorHAnsi"/>
          <w:sz w:val="24"/>
          <w:szCs w:val="24"/>
          <w:lang w:val="en-AU" w:eastAsia="en-AU"/>
        </w:rPr>
        <w:t>-</w:t>
      </w:r>
      <w:r w:rsidR="009C51F0" w:rsidRPr="00C42A81">
        <w:rPr>
          <w:rFonts w:eastAsia="Times New Roman" w:cstheme="minorHAnsi"/>
          <w:sz w:val="24"/>
          <w:szCs w:val="24"/>
          <w:lang w:val="en-AU" w:eastAsia="en-AU"/>
        </w:rPr>
        <w:t xml:space="preserve">specific devaluation </w:t>
      </w:r>
      <w:r w:rsidR="00B849D3" w:rsidRPr="00C42A81">
        <w:rPr>
          <w:rFonts w:eastAsia="Times New Roman" w:cstheme="minorHAnsi"/>
          <w:sz w:val="24"/>
          <w:szCs w:val="24"/>
          <w:lang w:val="en-AU" w:eastAsia="en-AU"/>
        </w:rPr>
        <w:t xml:space="preserve">is abolished by OFC lesions </w:t>
      </w:r>
      <w:r w:rsidR="00E71BE5" w:rsidRPr="00C42A81">
        <w:rPr>
          <w:rFonts w:eastAsia="Times New Roman" w:cstheme="minorHAnsi"/>
          <w:sz w:val="24"/>
          <w:szCs w:val="24"/>
          <w:lang w:val="en-AU" w:eastAsia="en-AU"/>
        </w:rPr>
        <w:t xml:space="preserve">(subgroup 2; sham </w:t>
      </w:r>
      <w:r w:rsidR="00E71BE5" w:rsidRPr="00C42A81">
        <w:rPr>
          <w:rFonts w:eastAsia="Times New Roman" w:cstheme="minorHAnsi"/>
          <w:i/>
          <w:sz w:val="24"/>
          <w:szCs w:val="24"/>
          <w:lang w:val="en-AU" w:eastAsia="en-AU"/>
        </w:rPr>
        <w:t>n</w:t>
      </w:r>
      <w:r w:rsidR="00E71BE5" w:rsidRPr="00C42A81">
        <w:rPr>
          <w:rFonts w:eastAsia="Times New Roman" w:cstheme="minorHAnsi"/>
          <w:sz w:val="24"/>
          <w:szCs w:val="24"/>
          <w:lang w:val="en-AU" w:eastAsia="en-AU"/>
        </w:rPr>
        <w:t xml:space="preserve"> = 8, lesion </w:t>
      </w:r>
      <w:r w:rsidR="00E71BE5" w:rsidRPr="00C42A81">
        <w:rPr>
          <w:rFonts w:eastAsia="Times New Roman" w:cstheme="minorHAnsi"/>
          <w:i/>
          <w:sz w:val="24"/>
          <w:szCs w:val="24"/>
          <w:lang w:val="en-AU" w:eastAsia="en-AU"/>
        </w:rPr>
        <w:t>n</w:t>
      </w:r>
      <w:r w:rsidR="00E71BE5" w:rsidRPr="00C42A81">
        <w:rPr>
          <w:rFonts w:eastAsia="Times New Roman" w:cstheme="minorHAnsi"/>
          <w:sz w:val="24"/>
          <w:szCs w:val="24"/>
          <w:lang w:val="en-AU" w:eastAsia="en-AU"/>
        </w:rPr>
        <w:t xml:space="preserve"> = 5)</w:t>
      </w:r>
      <w:r w:rsidR="00B849D3" w:rsidRPr="00C42A81">
        <w:rPr>
          <w:rFonts w:eastAsia="Times New Roman" w:cstheme="minorHAnsi"/>
          <w:sz w:val="24"/>
          <w:szCs w:val="24"/>
          <w:lang w:val="en-AU" w:eastAsia="en-AU"/>
        </w:rPr>
        <w:t xml:space="preserve">. After retraining with two unique </w:t>
      </w:r>
      <w:r w:rsidR="00F04B24" w:rsidRPr="00C42A81">
        <w:rPr>
          <w:rFonts w:eastAsia="Times New Roman" w:cstheme="minorHAnsi"/>
          <w:sz w:val="24"/>
          <w:szCs w:val="24"/>
          <w:lang w:val="en-AU" w:eastAsia="en-AU"/>
        </w:rPr>
        <w:t>Pavlovian cues and outcomes (</w:t>
      </w:r>
      <w:r w:rsidR="00F04B24" w:rsidRPr="00C42A81">
        <w:rPr>
          <w:rFonts w:eastAsia="Times New Roman" w:cstheme="minorHAnsi"/>
          <w:sz w:val="24"/>
          <w:szCs w:val="24"/>
          <w:u w:val="single"/>
          <w:lang w:val="en-AU" w:eastAsia="en-AU"/>
        </w:rPr>
        <w:t xml:space="preserve">Figure </w:t>
      </w:r>
      <w:r w:rsidR="009A5FF4" w:rsidRPr="00C42A81">
        <w:rPr>
          <w:rFonts w:eastAsia="Times New Roman" w:cstheme="minorHAnsi"/>
          <w:sz w:val="24"/>
          <w:szCs w:val="24"/>
          <w:u w:val="single"/>
          <w:lang w:val="en-AU" w:eastAsia="en-AU"/>
        </w:rPr>
        <w:t>1-figure supplement 3A</w:t>
      </w:r>
      <w:r w:rsidR="009A5FF4" w:rsidRPr="00C42A81">
        <w:rPr>
          <w:rFonts w:eastAsia="Times New Roman" w:cstheme="minorHAnsi"/>
          <w:sz w:val="24"/>
          <w:szCs w:val="24"/>
          <w:lang w:val="en-AU" w:eastAsia="en-AU"/>
        </w:rPr>
        <w:t xml:space="preserve">), one </w:t>
      </w:r>
      <w:r w:rsidR="009A5FF4" w:rsidRPr="00C42A81">
        <w:rPr>
          <w:rFonts w:eastAsia="Times New Roman" w:cstheme="minorHAnsi"/>
          <w:sz w:val="24"/>
          <w:szCs w:val="24"/>
          <w:lang w:val="en-AU" w:eastAsia="en-AU"/>
        </w:rPr>
        <w:lastRenderedPageBreak/>
        <w:t xml:space="preserve">outcome was paired with </w:t>
      </w:r>
      <w:r w:rsidR="006D5304" w:rsidRPr="00C42A81">
        <w:rPr>
          <w:rFonts w:eastAsia="Times New Roman" w:cstheme="minorHAnsi"/>
          <w:sz w:val="24"/>
          <w:szCs w:val="24"/>
          <w:lang w:val="en-AU" w:eastAsia="en-AU"/>
        </w:rPr>
        <w:t>injections of LiCl to establish an outcome specific taste aversion (</w:t>
      </w:r>
      <w:r w:rsidR="006D5304" w:rsidRPr="00C42A81">
        <w:rPr>
          <w:rFonts w:eastAsia="Times New Roman" w:cstheme="minorHAnsi"/>
          <w:sz w:val="24"/>
          <w:szCs w:val="24"/>
          <w:u w:val="single"/>
          <w:lang w:val="en-AU" w:eastAsia="en-AU"/>
        </w:rPr>
        <w:t>Figure 1-figure supplement 3B</w:t>
      </w:r>
      <w:r w:rsidR="006D5304" w:rsidRPr="00C42A81">
        <w:rPr>
          <w:rFonts w:eastAsia="Times New Roman" w:cstheme="minorHAnsi"/>
          <w:sz w:val="24"/>
          <w:szCs w:val="24"/>
          <w:lang w:val="en-AU" w:eastAsia="en-AU"/>
        </w:rPr>
        <w:t>)</w:t>
      </w:r>
      <w:r w:rsidR="00E848BC" w:rsidRPr="00C42A81">
        <w:rPr>
          <w:rFonts w:eastAsia="Times New Roman" w:cstheme="minorHAnsi"/>
          <w:sz w:val="24"/>
          <w:szCs w:val="24"/>
          <w:lang w:val="en-AU" w:eastAsia="en-AU"/>
        </w:rPr>
        <w:t xml:space="preserve">. </w:t>
      </w:r>
      <w:r w:rsidR="00F74A06" w:rsidRPr="00C42A81">
        <w:rPr>
          <w:rFonts w:eastAsia="Times New Roman" w:cstheme="minorHAnsi"/>
          <w:sz w:val="24"/>
          <w:szCs w:val="24"/>
          <w:lang w:val="en-AU" w:eastAsia="en-AU"/>
        </w:rPr>
        <w:t>At test, r</w:t>
      </w:r>
      <w:r w:rsidR="00E848BC" w:rsidRPr="00C42A81">
        <w:rPr>
          <w:rFonts w:eastAsia="Times New Roman" w:cstheme="minorHAnsi"/>
          <w:sz w:val="24"/>
          <w:szCs w:val="24"/>
          <w:lang w:val="en-AU" w:eastAsia="en-AU"/>
        </w:rPr>
        <w:t xml:space="preserve">esponding to the cue that predicted the </w:t>
      </w:r>
      <w:r w:rsidR="007F6B4B" w:rsidRPr="00C42A81">
        <w:rPr>
          <w:rFonts w:eastAsia="Times New Roman" w:cstheme="minorHAnsi"/>
          <w:sz w:val="24"/>
          <w:szCs w:val="24"/>
          <w:lang w:val="en-AU" w:eastAsia="en-AU"/>
        </w:rPr>
        <w:t>now Devalued outcome (vs the Non-Devalued control outcome)</w:t>
      </w:r>
      <w:r w:rsidR="00D37C05" w:rsidRPr="00C42A81">
        <w:rPr>
          <w:rFonts w:eastAsia="Times New Roman" w:cstheme="minorHAnsi"/>
          <w:sz w:val="24"/>
          <w:szCs w:val="24"/>
          <w:lang w:val="en-AU" w:eastAsia="en-AU"/>
        </w:rPr>
        <w:t xml:space="preserve"> revealed that the sham group appropriately reduced behaviour for the </w:t>
      </w:r>
      <w:r w:rsidR="00C01B67" w:rsidRPr="00C42A81">
        <w:rPr>
          <w:rFonts w:eastAsia="Times New Roman" w:cstheme="minorHAnsi"/>
          <w:sz w:val="24"/>
          <w:szCs w:val="24"/>
          <w:lang w:val="en-AU" w:eastAsia="en-AU"/>
        </w:rPr>
        <w:t>Devalued outcome whereas the lesion group did not.</w:t>
      </w:r>
      <w:r w:rsidR="006339C6" w:rsidRPr="00C42A81">
        <w:rPr>
          <w:rFonts w:eastAsia="Times New Roman" w:cstheme="minorHAnsi"/>
          <w:sz w:val="24"/>
          <w:szCs w:val="24"/>
          <w:lang w:val="en-AU" w:eastAsia="en-AU"/>
        </w:rPr>
        <w:t xml:space="preserve"> </w:t>
      </w:r>
      <w:r w:rsidR="006339C6" w:rsidRPr="00C42A81">
        <w:rPr>
          <w:rFonts w:cstheme="minorHAnsi"/>
          <w:color w:val="212121"/>
          <w:sz w:val="24"/>
          <w:szCs w:val="24"/>
          <w:shd w:val="clear" w:color="auto" w:fill="FFFFFF"/>
        </w:rPr>
        <w:t>Error bars depict ± SEM.</w:t>
      </w:r>
    </w:p>
    <w:p w14:paraId="30FCBD56" w14:textId="77777777" w:rsidR="008C27AE" w:rsidRPr="00C42A81" w:rsidRDefault="008C27AE" w:rsidP="00D622E0">
      <w:pPr>
        <w:spacing w:line="480" w:lineRule="auto"/>
        <w:rPr>
          <w:rFonts w:cstheme="minorHAnsi"/>
          <w:b/>
          <w:sz w:val="24"/>
          <w:szCs w:val="24"/>
        </w:rPr>
      </w:pPr>
    </w:p>
    <w:p w14:paraId="77983DD3" w14:textId="5F0CFEC9" w:rsidR="00B52781" w:rsidRPr="00C42A81" w:rsidRDefault="00B52781" w:rsidP="00D622E0">
      <w:pPr>
        <w:spacing w:line="480" w:lineRule="auto"/>
        <w:rPr>
          <w:rFonts w:cstheme="minorHAnsi"/>
          <w:b/>
          <w:sz w:val="24"/>
          <w:szCs w:val="24"/>
        </w:rPr>
      </w:pPr>
      <w:r w:rsidRPr="00C42A81">
        <w:rPr>
          <w:rFonts w:cstheme="minorHAnsi"/>
          <w:b/>
          <w:sz w:val="24"/>
          <w:szCs w:val="24"/>
        </w:rPr>
        <w:br w:type="page"/>
      </w:r>
    </w:p>
    <w:p w14:paraId="265CD3E8" w14:textId="77777777" w:rsidR="002F151C" w:rsidRPr="00C42A81" w:rsidRDefault="002F151C" w:rsidP="00D622E0">
      <w:pPr>
        <w:spacing w:line="480" w:lineRule="auto"/>
        <w:rPr>
          <w:rFonts w:cstheme="minorHAnsi"/>
          <w:b/>
          <w:sz w:val="24"/>
          <w:szCs w:val="24"/>
        </w:rPr>
      </w:pPr>
      <w:r w:rsidRPr="00C42A81">
        <w:rPr>
          <w:rFonts w:cstheme="minorHAnsi"/>
          <w:noProof/>
          <w:sz w:val="24"/>
          <w:szCs w:val="24"/>
        </w:rPr>
        <w:lastRenderedPageBreak/>
        <w:drawing>
          <wp:inline distT="0" distB="0" distL="0" distR="0" wp14:anchorId="3E348D2E" wp14:editId="0118EDBD">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653681ED" w14:textId="34651ED6" w:rsidR="00623FBE" w:rsidRPr="00C42A81" w:rsidRDefault="00623FBE" w:rsidP="00D622E0">
      <w:pPr>
        <w:spacing w:line="480" w:lineRule="auto"/>
        <w:rPr>
          <w:rFonts w:cstheme="minorHAnsi"/>
          <w:b/>
          <w:sz w:val="24"/>
          <w:szCs w:val="24"/>
        </w:rPr>
      </w:pPr>
      <w:r w:rsidRPr="00C42A81">
        <w:rPr>
          <w:rFonts w:cstheme="minorHAnsi"/>
          <w:b/>
          <w:sz w:val="24"/>
          <w:szCs w:val="24"/>
        </w:rPr>
        <w:t>Figure 1-figure supplement 1.</w:t>
      </w:r>
      <w:r w:rsidRPr="00C42A81">
        <w:rPr>
          <w:rFonts w:cstheme="minorHAnsi"/>
          <w:sz w:val="24"/>
          <w:szCs w:val="24"/>
        </w:rPr>
        <w:t xml:space="preserve"> </w:t>
      </w:r>
      <w:r w:rsidR="00CB6390" w:rsidRPr="00C42A81">
        <w:rPr>
          <w:rFonts w:cstheme="minorHAnsi"/>
          <w:sz w:val="24"/>
          <w:szCs w:val="24"/>
        </w:rPr>
        <w:t>Photomicrograph of r</w:t>
      </w:r>
      <w:r w:rsidRPr="00C42A81">
        <w:rPr>
          <w:rFonts w:cstheme="minorHAnsi"/>
          <w:sz w:val="24"/>
          <w:szCs w:val="24"/>
        </w:rPr>
        <w:t xml:space="preserve">epresentative OFC lesion damage </w:t>
      </w:r>
      <w:r w:rsidR="00C82733" w:rsidRPr="00C42A81">
        <w:rPr>
          <w:rFonts w:cstheme="minorHAnsi"/>
          <w:sz w:val="24"/>
          <w:szCs w:val="24"/>
        </w:rPr>
        <w:t xml:space="preserve">(top) </w:t>
      </w:r>
      <w:r w:rsidRPr="00C42A81">
        <w:rPr>
          <w:rFonts w:cstheme="minorHAnsi"/>
          <w:sz w:val="24"/>
          <w:szCs w:val="24"/>
        </w:rPr>
        <w:t xml:space="preserve">in the </w:t>
      </w:r>
      <w:r w:rsidR="006760C7" w:rsidRPr="00C42A81">
        <w:rPr>
          <w:rFonts w:cstheme="minorHAnsi"/>
          <w:sz w:val="24"/>
          <w:szCs w:val="24"/>
        </w:rPr>
        <w:t>sham</w:t>
      </w:r>
      <w:r w:rsidRPr="00C42A81">
        <w:rPr>
          <w:rFonts w:cstheme="minorHAnsi"/>
          <w:sz w:val="24"/>
          <w:szCs w:val="24"/>
        </w:rPr>
        <w:t xml:space="preserve"> (left) and </w:t>
      </w:r>
      <w:r w:rsidR="006760C7" w:rsidRPr="00C42A81">
        <w:rPr>
          <w:rFonts w:cstheme="minorHAnsi"/>
          <w:sz w:val="24"/>
          <w:szCs w:val="24"/>
        </w:rPr>
        <w:t>lesion</w:t>
      </w:r>
      <w:r w:rsidRPr="00C42A81">
        <w:rPr>
          <w:rFonts w:cstheme="minorHAnsi"/>
          <w:sz w:val="24"/>
          <w:szCs w:val="24"/>
        </w:rPr>
        <w:t xml:space="preserve"> (right) groups</w:t>
      </w:r>
      <w:r w:rsidR="008376FB" w:rsidRPr="00C42A81">
        <w:rPr>
          <w:rFonts w:cstheme="minorHAnsi"/>
          <w:sz w:val="24"/>
          <w:szCs w:val="24"/>
        </w:rPr>
        <w:t>. Coronal slice located approximately +4.20 mm anterior to bregma.</w:t>
      </w:r>
      <w:r w:rsidR="004C6C2D" w:rsidRPr="00C42A81">
        <w:rPr>
          <w:rFonts w:cstheme="minorHAnsi"/>
          <w:sz w:val="24"/>
          <w:szCs w:val="24"/>
        </w:rPr>
        <w:t xml:space="preserve"> </w:t>
      </w:r>
      <w:r w:rsidRPr="00C42A81">
        <w:rPr>
          <w:rFonts w:cstheme="minorHAnsi"/>
          <w:sz w:val="24"/>
          <w:szCs w:val="24"/>
        </w:rPr>
        <w:t xml:space="preserve">Semi-transparent grey patches </w:t>
      </w:r>
      <w:r w:rsidR="004C6C2D" w:rsidRPr="00C42A81">
        <w:rPr>
          <w:rFonts w:cstheme="minorHAnsi"/>
          <w:sz w:val="24"/>
          <w:szCs w:val="24"/>
        </w:rPr>
        <w:t xml:space="preserve">(bottom) </w:t>
      </w:r>
      <w:r w:rsidRPr="00C42A81">
        <w:rPr>
          <w:rFonts w:cstheme="minorHAnsi"/>
          <w:sz w:val="24"/>
          <w:szCs w:val="24"/>
        </w:rPr>
        <w:t xml:space="preserve">represent lesion damage in </w:t>
      </w:r>
      <w:r w:rsidR="0018301C" w:rsidRPr="00C42A81">
        <w:rPr>
          <w:rFonts w:cstheme="minorHAnsi"/>
          <w:sz w:val="24"/>
          <w:szCs w:val="24"/>
        </w:rPr>
        <w:t>each subject</w:t>
      </w:r>
      <w:r w:rsidRPr="00C42A81">
        <w:rPr>
          <w:rFonts w:cstheme="minorHAnsi"/>
          <w:sz w:val="24"/>
          <w:szCs w:val="24"/>
        </w:rPr>
        <w:t xml:space="preserve">, </w:t>
      </w:r>
      <w:r w:rsidRPr="00C42A81">
        <w:rPr>
          <w:rFonts w:cstheme="minorHAnsi"/>
          <w:sz w:val="24"/>
          <w:szCs w:val="24"/>
        </w:rPr>
        <w:lastRenderedPageBreak/>
        <w:t>and darker areas represent overlapping damage across multiple subjects. Coronal sections are identified in mm relative to bregma (Paxinos and Watson, 1997).</w:t>
      </w:r>
    </w:p>
    <w:p w14:paraId="22198700" w14:textId="74C7BF9E" w:rsidR="004E4C64" w:rsidRPr="00C42A81" w:rsidRDefault="004E4C64" w:rsidP="00D622E0">
      <w:pPr>
        <w:spacing w:line="480" w:lineRule="auto"/>
        <w:rPr>
          <w:rFonts w:cstheme="minorHAnsi"/>
          <w:b/>
          <w:sz w:val="24"/>
          <w:szCs w:val="24"/>
        </w:rPr>
      </w:pPr>
      <w:r w:rsidRPr="00C42A81">
        <w:rPr>
          <w:rFonts w:cstheme="minorHAnsi"/>
          <w:b/>
          <w:sz w:val="24"/>
          <w:szCs w:val="24"/>
        </w:rPr>
        <w:br w:type="page"/>
      </w:r>
    </w:p>
    <w:p w14:paraId="2E0F0F8E" w14:textId="7C30D9EB" w:rsidR="00623FBE" w:rsidRPr="00C42A81" w:rsidRDefault="004E4C64" w:rsidP="00D622E0">
      <w:pPr>
        <w:spacing w:line="480" w:lineRule="auto"/>
        <w:rPr>
          <w:rFonts w:cstheme="minorHAnsi"/>
          <w:b/>
          <w:sz w:val="24"/>
          <w:szCs w:val="24"/>
        </w:rPr>
      </w:pPr>
      <w:r w:rsidRPr="00C42A81">
        <w:rPr>
          <w:rFonts w:cstheme="minorHAnsi"/>
          <w:b/>
          <w:noProof/>
          <w:sz w:val="24"/>
          <w:szCs w:val="24"/>
        </w:rPr>
        <w:lastRenderedPageBreak/>
        <w:drawing>
          <wp:inline distT="0" distB="0" distL="0" distR="0" wp14:anchorId="410F5B89" wp14:editId="03AC1867">
            <wp:extent cx="2519045"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156EDAB1" w14:textId="37C385F8" w:rsidR="00FF1B68" w:rsidRPr="00C42A81" w:rsidRDefault="00FF1B68" w:rsidP="00D622E0">
      <w:pPr>
        <w:spacing w:line="480" w:lineRule="auto"/>
        <w:rPr>
          <w:rFonts w:cstheme="minorHAnsi"/>
          <w:sz w:val="24"/>
          <w:szCs w:val="24"/>
        </w:rPr>
      </w:pPr>
      <w:r w:rsidRPr="00C42A81">
        <w:rPr>
          <w:rFonts w:cstheme="minorHAnsi"/>
          <w:b/>
          <w:sz w:val="24"/>
          <w:szCs w:val="24"/>
        </w:rPr>
        <w:t xml:space="preserve">Figure 1-figure supplement </w:t>
      </w:r>
      <w:r w:rsidR="005B18DB" w:rsidRPr="00C42A81">
        <w:rPr>
          <w:rFonts w:cstheme="minorHAnsi"/>
          <w:b/>
          <w:sz w:val="24"/>
          <w:szCs w:val="24"/>
        </w:rPr>
        <w:t>2</w:t>
      </w:r>
      <w:r w:rsidRPr="00C42A81">
        <w:rPr>
          <w:rFonts w:cstheme="minorHAnsi"/>
          <w:b/>
          <w:sz w:val="24"/>
          <w:szCs w:val="24"/>
        </w:rPr>
        <w:t>.</w:t>
      </w:r>
      <w:r w:rsidRPr="00C42A81">
        <w:rPr>
          <w:rFonts w:cstheme="minorHAnsi"/>
          <w:sz w:val="24"/>
          <w:szCs w:val="24"/>
        </w:rPr>
        <w:t xml:space="preserve"> Responding on each trial within-session is presented following a general satiety manipulation</w:t>
      </w:r>
      <w:r w:rsidR="00FE4748" w:rsidRPr="00C42A81">
        <w:rPr>
          <w:rFonts w:cstheme="minorHAnsi"/>
          <w:sz w:val="24"/>
          <w:szCs w:val="24"/>
        </w:rPr>
        <w:t xml:space="preserve"> (</w:t>
      </w:r>
      <w:r w:rsidR="00B9524E">
        <w:rPr>
          <w:rFonts w:cstheme="minorHAnsi"/>
          <w:sz w:val="24"/>
          <w:szCs w:val="24"/>
        </w:rPr>
        <w:t xml:space="preserve">session average presented in </w:t>
      </w:r>
      <w:r w:rsidR="00FE4748" w:rsidRPr="00C42A81">
        <w:rPr>
          <w:rFonts w:cstheme="minorHAnsi"/>
          <w:sz w:val="24"/>
          <w:szCs w:val="24"/>
        </w:rPr>
        <w:t>Figure 1</w:t>
      </w:r>
      <w:r w:rsidR="00681EF5" w:rsidRPr="00C42A81">
        <w:rPr>
          <w:rFonts w:cstheme="minorHAnsi"/>
          <w:sz w:val="24"/>
          <w:szCs w:val="24"/>
        </w:rPr>
        <w:t>B)</w:t>
      </w:r>
      <w:r w:rsidRPr="00C42A81">
        <w:rPr>
          <w:rFonts w:cstheme="minorHAnsi"/>
          <w:sz w:val="24"/>
          <w:szCs w:val="24"/>
        </w:rPr>
        <w:t xml:space="preserve">. </w:t>
      </w:r>
      <w:r w:rsidR="009F3D6B" w:rsidRPr="00C42A81">
        <w:rPr>
          <w:rFonts w:cstheme="minorHAnsi"/>
          <w:sz w:val="24"/>
          <w:szCs w:val="24"/>
        </w:rPr>
        <w:t xml:space="preserve">Conditioned responding </w:t>
      </w:r>
      <w:r w:rsidR="00EF40DC" w:rsidRPr="00C42A81">
        <w:rPr>
          <w:rFonts w:cstheme="minorHAnsi"/>
          <w:sz w:val="24"/>
          <w:szCs w:val="24"/>
        </w:rPr>
        <w:t>was not significantly different between the lesion and sham group</w:t>
      </w:r>
      <w:r w:rsidRPr="00C42A81">
        <w:rPr>
          <w:rFonts w:cstheme="minorHAnsi"/>
          <w:sz w:val="24"/>
          <w:szCs w:val="24"/>
        </w:rPr>
        <w:t>, and this is evident on trial 1 prior to contact with the reward</w:t>
      </w:r>
      <w:r w:rsidR="009F3D6B" w:rsidRPr="00C42A81">
        <w:rPr>
          <w:rFonts w:cstheme="minorHAnsi"/>
          <w:sz w:val="24"/>
          <w:szCs w:val="24"/>
        </w:rPr>
        <w:t xml:space="preserve"> (</w:t>
      </w:r>
      <m:oMath>
        <m:r>
          <w:rPr>
            <w:rFonts w:ascii="Cambria Math" w:hAnsi="Cambria Math" w:cstheme="minorHAnsi"/>
            <w:sz w:val="24"/>
            <w:szCs w:val="24"/>
          </w:rPr>
          <m:t>t(13)=1.04</m:t>
        </m:r>
      </m:oMath>
      <w:r w:rsidR="009F3D6B" w:rsidRPr="00C42A81">
        <w:rPr>
          <w:rFonts w:cstheme="minorHAnsi"/>
          <w:sz w:val="24"/>
          <w:szCs w:val="24"/>
        </w:rPr>
        <w:t xml:space="preserve">, </w:t>
      </w:r>
      <m:oMath>
        <m:r>
          <w:rPr>
            <w:rFonts w:ascii="Cambria Math" w:hAnsi="Cambria Math" w:cstheme="minorHAnsi"/>
            <w:sz w:val="24"/>
            <w:szCs w:val="24"/>
          </w:rPr>
          <m:t>p=.317</m:t>
        </m:r>
      </m:oMath>
      <w:r w:rsidR="009F3D6B" w:rsidRPr="00C42A81">
        <w:rPr>
          <w:rFonts w:cstheme="minorHAnsi"/>
          <w:sz w:val="24"/>
          <w:szCs w:val="24"/>
        </w:rPr>
        <w:t>)</w:t>
      </w:r>
      <w:r w:rsidRPr="00C42A81">
        <w:rPr>
          <w:rFonts w:cstheme="minorHAnsi"/>
          <w:sz w:val="24"/>
          <w:szCs w:val="24"/>
        </w:rPr>
        <w:t xml:space="preserve">. </w:t>
      </w:r>
      <w:r w:rsidRPr="00C42A81">
        <w:rPr>
          <w:rFonts w:cstheme="minorHAnsi"/>
          <w:color w:val="212121"/>
          <w:sz w:val="24"/>
          <w:szCs w:val="24"/>
          <w:shd w:val="clear" w:color="auto" w:fill="FFFFFF"/>
        </w:rPr>
        <w:t>Error bars depict ± SEM.</w:t>
      </w:r>
    </w:p>
    <w:p w14:paraId="0FEA4C6B" w14:textId="574ECB07" w:rsidR="00050B87" w:rsidRPr="00C42A81" w:rsidRDefault="00050B87" w:rsidP="00D622E0">
      <w:pPr>
        <w:spacing w:line="480" w:lineRule="auto"/>
        <w:rPr>
          <w:rFonts w:cstheme="minorHAnsi"/>
          <w:sz w:val="24"/>
          <w:szCs w:val="24"/>
        </w:rPr>
      </w:pPr>
      <w:r w:rsidRPr="00C42A81">
        <w:rPr>
          <w:rFonts w:cstheme="minorHAnsi"/>
          <w:sz w:val="24"/>
          <w:szCs w:val="24"/>
        </w:rPr>
        <w:br w:type="page"/>
      </w:r>
    </w:p>
    <w:p w14:paraId="04CFB379" w14:textId="1E2AC062" w:rsidR="00551425" w:rsidRPr="00C42A81" w:rsidRDefault="00C041A3" w:rsidP="00D622E0">
      <w:pPr>
        <w:spacing w:line="480" w:lineRule="auto"/>
        <w:rPr>
          <w:rFonts w:cstheme="minorHAnsi"/>
          <w:sz w:val="24"/>
          <w:szCs w:val="24"/>
        </w:rPr>
      </w:pPr>
      <w:r w:rsidRPr="00C42A81">
        <w:rPr>
          <w:rFonts w:cstheme="minorHAnsi"/>
          <w:noProof/>
          <w:sz w:val="24"/>
          <w:szCs w:val="24"/>
        </w:rPr>
        <w:lastRenderedPageBreak/>
        <w:drawing>
          <wp:inline distT="0" distB="0" distL="0" distR="0" wp14:anchorId="6CC38940" wp14:editId="7E5857BC">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11C4DECF" w14:textId="50B98E48" w:rsidR="001672C0" w:rsidRPr="00F530FE" w:rsidRDefault="001672C0" w:rsidP="00D622E0">
      <w:pPr>
        <w:pStyle w:val="BodyText"/>
        <w:spacing w:line="480" w:lineRule="auto"/>
        <w:rPr>
          <w:rFonts w:cstheme="minorHAnsi"/>
          <w:color w:val="212121"/>
          <w:shd w:val="clear" w:color="auto" w:fill="FFFFFF"/>
        </w:rPr>
      </w:pPr>
      <w:r w:rsidRPr="00F530FE">
        <w:rPr>
          <w:rFonts w:cstheme="minorHAnsi"/>
          <w:b/>
        </w:rPr>
        <w:t xml:space="preserve">Figure 1-figure supplement </w:t>
      </w:r>
      <w:r w:rsidR="005B18DB" w:rsidRPr="00F530FE">
        <w:rPr>
          <w:rFonts w:cstheme="minorHAnsi"/>
          <w:b/>
        </w:rPr>
        <w:t>3</w:t>
      </w:r>
      <w:r w:rsidRPr="00F530FE">
        <w:rPr>
          <w:rFonts w:cstheme="minorHAnsi"/>
          <w:b/>
        </w:rPr>
        <w:t>.</w:t>
      </w:r>
      <w:r w:rsidR="005B18DB" w:rsidRPr="00F530FE">
        <w:rPr>
          <w:rFonts w:cstheme="minorHAnsi"/>
        </w:rPr>
        <w:t xml:space="preserve"> </w:t>
      </w:r>
      <w:r w:rsidRPr="00F530FE">
        <w:rPr>
          <w:rFonts w:eastAsia="Times New Roman" w:cstheme="minorHAnsi"/>
          <w:lang w:val="en-AU" w:eastAsia="en-AU"/>
        </w:rPr>
        <w:t>(</w:t>
      </w:r>
      <w:r w:rsidRPr="00F530FE">
        <w:rPr>
          <w:rFonts w:eastAsia="Times New Roman" w:cstheme="minorHAnsi"/>
          <w:b/>
          <w:lang w:val="en-AU" w:eastAsia="en-AU"/>
        </w:rPr>
        <w:t>A</w:t>
      </w:r>
      <w:r w:rsidRPr="00F530FE">
        <w:rPr>
          <w:rFonts w:eastAsia="Times New Roman" w:cstheme="minorHAnsi"/>
          <w:lang w:val="en-AU" w:eastAsia="en-AU"/>
        </w:rPr>
        <w:t>) CS-PreCS response levels</w:t>
      </w:r>
      <w:r w:rsidRPr="00F530FE">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530FE">
        <w:rPr>
          <w:rFonts w:eastAsia="Times New Roman" w:cstheme="minorHAnsi"/>
          <w:lang w:val="en-AU" w:eastAsia="en-AU"/>
        </w:rPr>
        <w:t xml:space="preserve">While mean response rates suggested elevated responding in the lesion group, this observation was not supported </w:t>
      </w:r>
      <w:r w:rsidR="00C42A81" w:rsidRPr="00F530FE">
        <w:rPr>
          <w:rFonts w:eastAsia="Times New Roman" w:cstheme="minorHAnsi"/>
          <w:lang w:val="en-AU" w:eastAsia="en-AU"/>
        </w:rPr>
        <w:t xml:space="preserve">statistically </w:t>
      </w:r>
      <w:r w:rsidR="009D6B9A" w:rsidRPr="00F530FE">
        <w:rPr>
          <w:rFonts w:cstheme="minorHAnsi"/>
        </w:rPr>
        <w:t xml:space="preserve">(main effect of Block </w:t>
      </w:r>
      <m:oMath>
        <m:r>
          <w:rPr>
            <w:rFonts w:ascii="Cambria Math" w:hAnsi="Cambria Math" w:cstheme="minorHAnsi"/>
          </w:rPr>
          <m:t>F(6,66)=3.96</m:t>
        </m:r>
      </m:oMath>
      <w:r w:rsidR="009D6B9A" w:rsidRPr="00F530FE">
        <w:rPr>
          <w:rFonts w:cstheme="minorHAnsi"/>
        </w:rPr>
        <w:t xml:space="preserve">, </w:t>
      </w:r>
      <m:oMath>
        <m:r>
          <w:rPr>
            <w:rFonts w:ascii="Cambria Math" w:hAnsi="Cambria Math" w:cstheme="minorHAnsi"/>
          </w:rPr>
          <m:t>p=.002</m:t>
        </m:r>
      </m:oMath>
      <w:r w:rsidR="009D6B9A" w:rsidRPr="00F530FE">
        <w:rPr>
          <w:rFonts w:cstheme="minorHAnsi"/>
        </w:rPr>
        <w:t xml:space="preserve">, all remaining effects </w:t>
      </w:r>
      <w:r w:rsidR="009D6B9A" w:rsidRPr="00F530FE">
        <w:rPr>
          <w:rFonts w:cstheme="minorHAnsi"/>
          <w:i/>
        </w:rPr>
        <w:t>F</w:t>
      </w:r>
      <w:r w:rsidR="009D6B9A" w:rsidRPr="00F530FE">
        <w:rPr>
          <w:rFonts w:cstheme="minorHAnsi"/>
        </w:rPr>
        <w:t xml:space="preserve"> &lt; 0.98, </w:t>
      </w:r>
      <w:r w:rsidR="009D6B9A" w:rsidRPr="00F530FE">
        <w:rPr>
          <w:rFonts w:cstheme="minorHAnsi"/>
          <w:i/>
        </w:rPr>
        <w:t>p</w:t>
      </w:r>
      <w:r w:rsidR="009D6B9A" w:rsidRPr="00F530FE">
        <w:rPr>
          <w:rFonts w:cstheme="minorHAnsi"/>
        </w:rPr>
        <w:t xml:space="preserve"> &gt; .343).</w:t>
      </w:r>
      <w:r w:rsidRPr="00F530FE">
        <w:rPr>
          <w:rFonts w:eastAsia="Times New Roman" w:cstheme="minorHAnsi"/>
          <w:lang w:val="en-AU" w:eastAsia="en-AU"/>
        </w:rPr>
        <w:t xml:space="preserve"> It is likely that the elevated responding in the lesion group did not reach significance due to the reduced number of subjects in the lesion group. (</w:t>
      </w:r>
      <w:r w:rsidRPr="00F530FE">
        <w:rPr>
          <w:rFonts w:eastAsia="Times New Roman" w:cstheme="minorHAnsi"/>
          <w:b/>
          <w:lang w:val="en-AU" w:eastAsia="en-AU"/>
        </w:rPr>
        <w:t>B</w:t>
      </w:r>
      <w:r w:rsidRPr="00F530FE">
        <w:rPr>
          <w:rFonts w:eastAsia="Times New Roman" w:cstheme="minorHAnsi"/>
          <w:lang w:val="en-AU" w:eastAsia="en-AU"/>
        </w:rPr>
        <w:t xml:space="preserve">) Average consumption (g) of the outcome followed immediately followed by an injection of saline or LiCl to establish a selective taste aversion. </w:t>
      </w:r>
      <w:r w:rsidR="00F530FE" w:rsidRPr="00F530FE">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00F530FE" w:rsidRPr="00F530FE">
        <w:rPr>
          <w:rFonts w:cstheme="minorHAnsi"/>
        </w:rPr>
        <w:t xml:space="preserve">, </w:t>
      </w:r>
      <m:oMath>
        <m:r>
          <w:rPr>
            <w:rFonts w:ascii="Cambria Math" w:hAnsi="Cambria Math" w:cstheme="minorHAnsi"/>
          </w:rPr>
          <m:t>p&lt;.001</m:t>
        </m:r>
      </m:oMath>
      <w:r w:rsidR="00F530FE" w:rsidRPr="00F530FE">
        <w:rPr>
          <w:rFonts w:cstheme="minorHAnsi"/>
        </w:rPr>
        <w:t xml:space="preserve">, all remaining effects </w:t>
      </w:r>
      <w:r w:rsidR="00F530FE" w:rsidRPr="00F530FE">
        <w:rPr>
          <w:rFonts w:cstheme="minorHAnsi"/>
          <w:i/>
        </w:rPr>
        <w:t>F</w:t>
      </w:r>
      <w:r w:rsidR="00F530FE" w:rsidRPr="00F530FE">
        <w:rPr>
          <w:rFonts w:cstheme="minorHAnsi"/>
        </w:rPr>
        <w:t xml:space="preserve"> &lt; 2.03, </w:t>
      </w:r>
      <w:r w:rsidR="00F530FE" w:rsidRPr="00F530FE">
        <w:rPr>
          <w:rFonts w:cstheme="minorHAnsi"/>
          <w:i/>
        </w:rPr>
        <w:t>p</w:t>
      </w:r>
      <w:r w:rsidR="00F530FE" w:rsidRPr="00F530FE">
        <w:rPr>
          <w:rFonts w:cstheme="minorHAnsi"/>
        </w:rPr>
        <w:t xml:space="preserve"> &gt; .182), which did not significantly differ between lesion groups. Specifically, consumption of the outcome </w:t>
      </w:r>
      <w:r w:rsidR="00F530FE" w:rsidRPr="00F530FE">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00F530FE" w:rsidRPr="00F530FE">
        <w:rPr>
          <w:rFonts w:cstheme="minorHAnsi"/>
        </w:rPr>
        <w:t xml:space="preserve">, </w:t>
      </w:r>
      <m:oMath>
        <m:r>
          <w:rPr>
            <w:rFonts w:ascii="Cambria Math" w:hAnsi="Cambria Math" w:cstheme="minorHAnsi"/>
          </w:rPr>
          <m:t>p=.001</m:t>
        </m:r>
      </m:oMath>
      <w:r w:rsidR="00F530FE" w:rsidRPr="00F530FE">
        <w:rPr>
          <w:rFonts w:cstheme="minorHAnsi"/>
        </w:rPr>
        <w:t xml:space="preserve">), whereas consumption of the outcome paired with saline increased (saline: pairing 1 vs 2 </w:t>
      </w:r>
      <m:oMath>
        <m:r>
          <w:rPr>
            <w:rFonts w:ascii="Cambria Math" w:hAnsi="Cambria Math" w:cstheme="minorHAnsi"/>
          </w:rPr>
          <m:t>t(11)=-3.74</m:t>
        </m:r>
      </m:oMath>
      <w:r w:rsidR="00F530FE" w:rsidRPr="00F530FE">
        <w:rPr>
          <w:rFonts w:cstheme="minorHAnsi"/>
        </w:rPr>
        <w:t xml:space="preserve">, </w:t>
      </w:r>
      <m:oMath>
        <m:r>
          <w:rPr>
            <w:rFonts w:ascii="Cambria Math" w:hAnsi="Cambria Math" w:cstheme="minorHAnsi"/>
          </w:rPr>
          <m:t>p=.003</m:t>
        </m:r>
      </m:oMath>
      <w:r w:rsidR="00F530FE" w:rsidRPr="00F530FE">
        <w:rPr>
          <w:rFonts w:cstheme="minorHAnsi"/>
        </w:rPr>
        <w:t>).</w:t>
      </w:r>
      <w:r w:rsidRPr="00F530FE">
        <w:rPr>
          <w:rFonts w:cstheme="minorHAnsi"/>
          <w:color w:val="212121"/>
          <w:shd w:val="clear" w:color="auto" w:fill="FFFFFF"/>
        </w:rPr>
        <w:t>Error bars depict ± SEM.</w:t>
      </w:r>
    </w:p>
    <w:p w14:paraId="43D81963" w14:textId="501825F9" w:rsidR="00F530FE" w:rsidRDefault="00F530FE" w:rsidP="00D622E0">
      <w:pPr>
        <w:spacing w:line="480" w:lineRule="auto"/>
        <w:rPr>
          <w:rFonts w:cstheme="minorHAnsi"/>
          <w:color w:val="212121"/>
          <w:sz w:val="24"/>
          <w:szCs w:val="24"/>
          <w:shd w:val="clear" w:color="auto" w:fill="FFFFFF"/>
        </w:rPr>
      </w:pPr>
      <w:r>
        <w:rPr>
          <w:rFonts w:cstheme="minorHAnsi"/>
          <w:color w:val="212121"/>
          <w:sz w:val="24"/>
          <w:szCs w:val="24"/>
          <w:shd w:val="clear" w:color="auto" w:fill="FFFFFF"/>
        </w:rPr>
        <w:br w:type="page"/>
      </w:r>
    </w:p>
    <w:p w14:paraId="49759886" w14:textId="6F33464B" w:rsidR="003C6F6E" w:rsidRPr="00C42A81" w:rsidRDefault="000951DF" w:rsidP="00D622E0">
      <w:pPr>
        <w:spacing w:line="480" w:lineRule="auto"/>
        <w:rPr>
          <w:rFonts w:cstheme="minorHAnsi"/>
          <w:color w:val="212121"/>
          <w:sz w:val="24"/>
          <w:szCs w:val="24"/>
          <w:shd w:val="clear" w:color="auto" w:fill="FFFFFF"/>
        </w:rPr>
      </w:pPr>
      <w:r>
        <w:rPr>
          <w:rFonts w:cstheme="minorHAnsi"/>
          <w:noProof/>
          <w:color w:val="212121"/>
          <w:sz w:val="24"/>
          <w:szCs w:val="24"/>
          <w:shd w:val="clear" w:color="auto" w:fill="FFFFFF"/>
        </w:rPr>
        <w:lastRenderedPageBreak/>
        <w:drawing>
          <wp:inline distT="0" distB="0" distL="0" distR="0" wp14:anchorId="1591D58C" wp14:editId="6C90199B">
            <wp:extent cx="3416300" cy="2338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6300" cy="2338070"/>
                    </a:xfrm>
                    <a:prstGeom prst="rect">
                      <a:avLst/>
                    </a:prstGeom>
                    <a:noFill/>
                    <a:ln>
                      <a:noFill/>
                    </a:ln>
                  </pic:spPr>
                </pic:pic>
              </a:graphicData>
            </a:graphic>
          </wp:inline>
        </w:drawing>
      </w:r>
    </w:p>
    <w:p w14:paraId="32E074E2" w14:textId="2DC100B2" w:rsidR="00081908" w:rsidRDefault="003C6F6E" w:rsidP="00D622E0">
      <w:pPr>
        <w:spacing w:line="480" w:lineRule="auto"/>
        <w:rPr>
          <w:rFonts w:cstheme="minorHAnsi"/>
          <w:color w:val="212121"/>
          <w:sz w:val="24"/>
          <w:szCs w:val="24"/>
          <w:shd w:val="clear" w:color="auto" w:fill="FFFFFF"/>
        </w:rPr>
      </w:pPr>
      <w:r w:rsidRPr="00C42A81">
        <w:rPr>
          <w:rFonts w:cstheme="minorHAnsi"/>
          <w:b/>
          <w:color w:val="212121"/>
          <w:sz w:val="24"/>
          <w:szCs w:val="24"/>
          <w:shd w:val="clear" w:color="auto" w:fill="FFFFFF"/>
        </w:rPr>
        <w:t>Figure 2</w:t>
      </w:r>
      <w:r w:rsidR="003E2A30" w:rsidRPr="00C42A81">
        <w:rPr>
          <w:rFonts w:cstheme="minorHAnsi"/>
          <w:b/>
          <w:color w:val="212121"/>
          <w:sz w:val="24"/>
          <w:szCs w:val="24"/>
          <w:shd w:val="clear" w:color="auto" w:fill="FFFFFF"/>
        </w:rPr>
        <w:t>.</w:t>
      </w:r>
      <w:r w:rsidR="003E2A30" w:rsidRPr="00C42A81">
        <w:rPr>
          <w:rFonts w:cstheme="minorHAnsi"/>
          <w:color w:val="212121"/>
          <w:sz w:val="24"/>
          <w:szCs w:val="24"/>
          <w:shd w:val="clear" w:color="auto" w:fill="FFFFFF"/>
        </w:rPr>
        <w:t xml:space="preserve"> </w:t>
      </w:r>
      <w:r w:rsidR="008A37F7" w:rsidRPr="00C42A81">
        <w:rPr>
          <w:rFonts w:cstheme="minorHAnsi"/>
          <w:color w:val="212121"/>
          <w:sz w:val="24"/>
          <w:szCs w:val="24"/>
          <w:shd w:val="clear" w:color="auto" w:fill="FFFFFF"/>
        </w:rPr>
        <w:t>P</w:t>
      </w:r>
      <w:r w:rsidR="00E01250" w:rsidRPr="00C42A81">
        <w:rPr>
          <w:rFonts w:cstheme="minorHAnsi"/>
          <w:color w:val="212121"/>
          <w:sz w:val="24"/>
          <w:szCs w:val="24"/>
          <w:shd w:val="clear" w:color="auto" w:fill="FFFFFF"/>
        </w:rPr>
        <w:t xml:space="preserve">ost-training </w:t>
      </w:r>
      <w:r w:rsidR="009A07AF" w:rsidRPr="00C42A81">
        <w:rPr>
          <w:rFonts w:cstheme="minorHAnsi"/>
          <w:color w:val="212121"/>
          <w:sz w:val="24"/>
          <w:szCs w:val="24"/>
          <w:shd w:val="clear" w:color="auto" w:fill="FFFFFF"/>
        </w:rPr>
        <w:t xml:space="preserve">OFC </w:t>
      </w:r>
      <w:r w:rsidR="00E01250" w:rsidRPr="00C42A81">
        <w:rPr>
          <w:rFonts w:cstheme="minorHAnsi"/>
          <w:color w:val="212121"/>
          <w:sz w:val="24"/>
          <w:szCs w:val="24"/>
          <w:shd w:val="clear" w:color="auto" w:fill="FFFFFF"/>
        </w:rPr>
        <w:t xml:space="preserve">inactivation </w:t>
      </w:r>
      <w:r w:rsidR="008A37F7" w:rsidRPr="00C42A81">
        <w:rPr>
          <w:rFonts w:cstheme="minorHAnsi"/>
          <w:color w:val="212121"/>
          <w:sz w:val="24"/>
          <w:szCs w:val="24"/>
          <w:shd w:val="clear" w:color="auto" w:fill="FFFFFF"/>
        </w:rPr>
        <w:t>suppress</w:t>
      </w:r>
      <w:r w:rsidR="002D2F33">
        <w:rPr>
          <w:rFonts w:cstheme="minorHAnsi"/>
          <w:color w:val="212121"/>
          <w:sz w:val="24"/>
          <w:szCs w:val="24"/>
          <w:shd w:val="clear" w:color="auto" w:fill="FFFFFF"/>
        </w:rPr>
        <w:t>es</w:t>
      </w:r>
      <w:r w:rsidR="008A37F7" w:rsidRPr="00C42A81">
        <w:rPr>
          <w:rFonts w:cstheme="minorHAnsi"/>
          <w:color w:val="212121"/>
          <w:sz w:val="24"/>
          <w:szCs w:val="24"/>
          <w:shd w:val="clear" w:color="auto" w:fill="FFFFFF"/>
        </w:rPr>
        <w:t xml:space="preserve"> Pavlovian acquisition </w:t>
      </w:r>
      <w:r w:rsidR="00600CA9" w:rsidRPr="00C42A81">
        <w:rPr>
          <w:rFonts w:cstheme="minorHAnsi"/>
          <w:color w:val="212121"/>
          <w:sz w:val="24"/>
          <w:szCs w:val="24"/>
          <w:shd w:val="clear" w:color="auto" w:fill="FFFFFF"/>
        </w:rPr>
        <w:t>behaviour, in contrast to pre-training lesions</w:t>
      </w:r>
      <w:r w:rsidR="00A1631D">
        <w:rPr>
          <w:rFonts w:cstheme="minorHAnsi"/>
          <w:color w:val="212121"/>
          <w:sz w:val="24"/>
          <w:szCs w:val="24"/>
          <w:shd w:val="clear" w:color="auto" w:fill="FFFFFF"/>
        </w:rPr>
        <w:t xml:space="preserve"> which increased </w:t>
      </w:r>
      <w:r w:rsidR="00737C46">
        <w:rPr>
          <w:rFonts w:cstheme="minorHAnsi"/>
          <w:color w:val="212121"/>
          <w:sz w:val="24"/>
          <w:szCs w:val="24"/>
          <w:shd w:val="clear" w:color="auto" w:fill="FFFFFF"/>
        </w:rPr>
        <w:t>Pavlovian acquisition behaviour</w:t>
      </w:r>
      <w:r w:rsidR="00600CA9" w:rsidRPr="00C42A81">
        <w:rPr>
          <w:rFonts w:cstheme="minorHAnsi"/>
          <w:color w:val="212121"/>
          <w:sz w:val="24"/>
          <w:szCs w:val="24"/>
          <w:shd w:val="clear" w:color="auto" w:fill="FFFFFF"/>
        </w:rPr>
        <w:t xml:space="preserve">. </w:t>
      </w:r>
      <w:r w:rsidR="0001063D" w:rsidRPr="00C42A81">
        <w:rPr>
          <w:rFonts w:cstheme="minorHAnsi"/>
          <w:color w:val="212121"/>
          <w:sz w:val="24"/>
          <w:szCs w:val="24"/>
          <w:shd w:val="clear" w:color="auto" w:fill="FFFFFF"/>
        </w:rPr>
        <w:t>If pre-training lesions increase Pavlovian learning</w:t>
      </w:r>
      <w:r w:rsidR="003C486A" w:rsidRPr="00C42A81">
        <w:rPr>
          <w:rFonts w:cstheme="minorHAnsi"/>
          <w:color w:val="212121"/>
          <w:sz w:val="24"/>
          <w:szCs w:val="24"/>
          <w:shd w:val="clear" w:color="auto" w:fill="FFFFFF"/>
        </w:rPr>
        <w:t>, then post-training lesions or inactivation should also increase learning</w:t>
      </w:r>
      <w:r w:rsidR="00586BE8" w:rsidRPr="00C42A81">
        <w:rPr>
          <w:rFonts w:cstheme="minorHAnsi"/>
          <w:color w:val="212121"/>
          <w:sz w:val="24"/>
          <w:szCs w:val="24"/>
          <w:shd w:val="clear" w:color="auto" w:fill="FFFFFF"/>
        </w:rPr>
        <w:t xml:space="preserve"> (</w:t>
      </w:r>
      <w:r w:rsidR="00737C46">
        <w:rPr>
          <w:rFonts w:cstheme="minorHAnsi"/>
          <w:color w:val="212121"/>
          <w:sz w:val="24"/>
          <w:szCs w:val="24"/>
          <w:shd w:val="clear" w:color="auto" w:fill="FFFFFF"/>
        </w:rPr>
        <w:t xml:space="preserve">rationale and </w:t>
      </w:r>
      <w:r w:rsidR="00586BE8" w:rsidRPr="00C42A81">
        <w:rPr>
          <w:rFonts w:cstheme="minorHAnsi"/>
          <w:color w:val="212121"/>
          <w:sz w:val="24"/>
          <w:szCs w:val="24"/>
          <w:shd w:val="clear" w:color="auto" w:fill="FFFFFF"/>
        </w:rPr>
        <w:t xml:space="preserve">learning model predictions in </w:t>
      </w:r>
      <w:r w:rsidR="00586BE8" w:rsidRPr="00C42A81">
        <w:rPr>
          <w:rFonts w:cstheme="minorHAnsi"/>
          <w:color w:val="212121"/>
          <w:sz w:val="24"/>
          <w:szCs w:val="24"/>
          <w:u w:val="single"/>
          <w:shd w:val="clear" w:color="auto" w:fill="FFFFFF"/>
        </w:rPr>
        <w:t>Figure 2-figure supplement 1</w:t>
      </w:r>
      <w:r w:rsidR="00586BE8" w:rsidRPr="00C42A81">
        <w:rPr>
          <w:rFonts w:cstheme="minorHAnsi"/>
          <w:color w:val="212121"/>
          <w:sz w:val="24"/>
          <w:szCs w:val="24"/>
          <w:shd w:val="clear" w:color="auto" w:fill="FFFFFF"/>
        </w:rPr>
        <w:t>)</w:t>
      </w:r>
      <w:r w:rsidR="00AF02A1">
        <w:rPr>
          <w:rFonts w:cstheme="minorHAnsi"/>
          <w:color w:val="212121"/>
          <w:sz w:val="24"/>
          <w:szCs w:val="24"/>
          <w:shd w:val="clear" w:color="auto" w:fill="FFFFFF"/>
        </w:rPr>
        <w:t>.</w:t>
      </w:r>
      <w:r w:rsidR="00586BE8" w:rsidRPr="00C42A81">
        <w:rPr>
          <w:rFonts w:cstheme="minorHAnsi"/>
          <w:color w:val="212121"/>
          <w:sz w:val="24"/>
          <w:szCs w:val="24"/>
          <w:shd w:val="clear" w:color="auto" w:fill="FFFFFF"/>
        </w:rPr>
        <w:t xml:space="preserve"> </w:t>
      </w:r>
      <w:r w:rsidR="002873D6">
        <w:rPr>
          <w:rFonts w:cstheme="minorHAnsi"/>
          <w:color w:val="212121"/>
          <w:sz w:val="24"/>
          <w:szCs w:val="24"/>
          <w:shd w:val="clear" w:color="auto" w:fill="FFFFFF"/>
        </w:rPr>
        <w:t xml:space="preserve">Experiment 2: </w:t>
      </w:r>
      <w:r w:rsidR="00952904" w:rsidRPr="00C42A81">
        <w:rPr>
          <w:rFonts w:cstheme="minorHAnsi"/>
          <w:color w:val="212121"/>
          <w:sz w:val="24"/>
          <w:szCs w:val="24"/>
          <w:shd w:val="clear" w:color="auto" w:fill="FFFFFF"/>
        </w:rPr>
        <w:t xml:space="preserve">Rates of discriminative responding (CS-PreCS) </w:t>
      </w:r>
      <w:r w:rsidR="003418ED" w:rsidRPr="00C42A81">
        <w:rPr>
          <w:rFonts w:cstheme="minorHAnsi"/>
          <w:color w:val="212121"/>
          <w:sz w:val="24"/>
          <w:szCs w:val="24"/>
          <w:shd w:val="clear" w:color="auto" w:fill="FFFFFF"/>
        </w:rPr>
        <w:t>during initial acquisition (session</w:t>
      </w:r>
      <w:r w:rsidR="003867CB" w:rsidRPr="00C42A81">
        <w:rPr>
          <w:rFonts w:cstheme="minorHAnsi"/>
          <w:color w:val="212121"/>
          <w:sz w:val="24"/>
          <w:szCs w:val="24"/>
          <w:shd w:val="clear" w:color="auto" w:fill="FFFFFF"/>
        </w:rPr>
        <w:t>s</w:t>
      </w:r>
      <w:r w:rsidR="003418ED" w:rsidRPr="00C42A81">
        <w:rPr>
          <w:rFonts w:cstheme="minorHAnsi"/>
          <w:color w:val="212121"/>
          <w:sz w:val="24"/>
          <w:szCs w:val="24"/>
          <w:shd w:val="clear" w:color="auto" w:fill="FFFFFF"/>
        </w:rPr>
        <w:t xml:space="preserve"> 1-9), post-operative recovery (post), </w:t>
      </w:r>
      <w:r w:rsidR="00402B81" w:rsidRPr="00C42A81">
        <w:rPr>
          <w:rFonts w:cstheme="minorHAnsi"/>
          <w:color w:val="212121"/>
          <w:sz w:val="24"/>
          <w:szCs w:val="24"/>
          <w:shd w:val="clear" w:color="auto" w:fill="FFFFFF"/>
        </w:rPr>
        <w:t>following</w:t>
      </w:r>
      <w:r w:rsidR="003418ED" w:rsidRPr="00C42A81">
        <w:rPr>
          <w:rFonts w:cstheme="minorHAnsi"/>
          <w:color w:val="212121"/>
          <w:sz w:val="24"/>
          <w:szCs w:val="24"/>
          <w:shd w:val="clear" w:color="auto" w:fill="FFFFFF"/>
        </w:rPr>
        <w:t xml:space="preserve"> intra-OFC infusion of muscimol or saline</w:t>
      </w:r>
      <w:r w:rsidR="00402B81" w:rsidRPr="00C42A81">
        <w:rPr>
          <w:rFonts w:cstheme="minorHAnsi"/>
          <w:color w:val="212121"/>
          <w:sz w:val="24"/>
          <w:szCs w:val="24"/>
          <w:shd w:val="clear" w:color="auto" w:fill="FFFFFF"/>
        </w:rPr>
        <w:t xml:space="preserve"> (session</w:t>
      </w:r>
      <w:r w:rsidR="003867CB" w:rsidRPr="00C42A81">
        <w:rPr>
          <w:rFonts w:cstheme="minorHAnsi"/>
          <w:color w:val="212121"/>
          <w:sz w:val="24"/>
          <w:szCs w:val="24"/>
          <w:shd w:val="clear" w:color="auto" w:fill="FFFFFF"/>
        </w:rPr>
        <w:t>s</w:t>
      </w:r>
      <w:r w:rsidR="00402B81" w:rsidRPr="00C42A81">
        <w:rPr>
          <w:rFonts w:cstheme="minorHAnsi"/>
          <w:color w:val="212121"/>
          <w:sz w:val="24"/>
          <w:szCs w:val="24"/>
          <w:shd w:val="clear" w:color="auto" w:fill="FFFFFF"/>
        </w:rPr>
        <w:t xml:space="preserve"> 12-15), and </w:t>
      </w:r>
      <w:r w:rsidR="00513B90" w:rsidRPr="00C42A81">
        <w:rPr>
          <w:rFonts w:cstheme="minorHAnsi"/>
          <w:color w:val="212121"/>
          <w:sz w:val="24"/>
          <w:szCs w:val="24"/>
          <w:shd w:val="clear" w:color="auto" w:fill="FFFFFF"/>
        </w:rPr>
        <w:t>without infusion (</w:t>
      </w:r>
      <w:r w:rsidR="003867CB" w:rsidRPr="00C42A81">
        <w:rPr>
          <w:rFonts w:cstheme="minorHAnsi"/>
          <w:color w:val="212121"/>
          <w:sz w:val="24"/>
          <w:szCs w:val="24"/>
          <w:shd w:val="clear" w:color="auto" w:fill="FFFFFF"/>
        </w:rPr>
        <w:t>sessions</w:t>
      </w:r>
      <w:r w:rsidR="00513B90" w:rsidRPr="00C42A81">
        <w:rPr>
          <w:rFonts w:cstheme="minorHAnsi"/>
          <w:color w:val="212121"/>
          <w:sz w:val="24"/>
          <w:szCs w:val="24"/>
          <w:shd w:val="clear" w:color="auto" w:fill="FFFFFF"/>
        </w:rPr>
        <w:t xml:space="preserve"> 16-17)</w:t>
      </w:r>
      <w:r w:rsidR="00BC0E1B" w:rsidRPr="00C42A81">
        <w:rPr>
          <w:rFonts w:cstheme="minorHAnsi"/>
          <w:color w:val="212121"/>
          <w:sz w:val="24"/>
          <w:szCs w:val="24"/>
          <w:shd w:val="clear" w:color="auto" w:fill="FFFFFF"/>
        </w:rPr>
        <w:t xml:space="preserve">. Cannulae placements depicted in </w:t>
      </w:r>
      <w:r w:rsidR="000D3E8D" w:rsidRPr="00C42A81">
        <w:rPr>
          <w:rFonts w:cstheme="minorHAnsi"/>
          <w:color w:val="212121"/>
          <w:sz w:val="24"/>
          <w:szCs w:val="24"/>
          <w:u w:val="single"/>
          <w:shd w:val="clear" w:color="auto" w:fill="FFFFFF"/>
        </w:rPr>
        <w:t>Figure 2-figure supplement 2</w:t>
      </w:r>
      <w:r w:rsidR="000D3E8D" w:rsidRPr="00C42A81">
        <w:rPr>
          <w:rFonts w:cstheme="minorHAnsi"/>
          <w:color w:val="212121"/>
          <w:sz w:val="24"/>
          <w:szCs w:val="24"/>
          <w:shd w:val="clear" w:color="auto" w:fill="FFFFFF"/>
        </w:rPr>
        <w:t xml:space="preserve">. </w:t>
      </w:r>
      <w:r w:rsidR="009654D2">
        <w:rPr>
          <w:rFonts w:cstheme="minorHAnsi"/>
          <w:color w:val="212121"/>
          <w:sz w:val="24"/>
          <w:szCs w:val="24"/>
          <w:shd w:val="clear" w:color="auto" w:fill="FFFFFF"/>
        </w:rPr>
        <w:t>The</w:t>
      </w:r>
      <w:r w:rsidR="008D57C2">
        <w:rPr>
          <w:rFonts w:cstheme="minorHAnsi"/>
          <w:color w:val="212121"/>
          <w:sz w:val="24"/>
          <w:szCs w:val="24"/>
          <w:shd w:val="clear" w:color="auto" w:fill="FFFFFF"/>
        </w:rPr>
        <w:t xml:space="preserve"> effect of post-training lesions on acquisition revealed the same pattern of results </w:t>
      </w:r>
      <w:r w:rsidR="002D2740">
        <w:rPr>
          <w:rFonts w:cstheme="minorHAnsi"/>
          <w:color w:val="212121"/>
          <w:sz w:val="24"/>
          <w:szCs w:val="24"/>
          <w:shd w:val="clear" w:color="auto" w:fill="FFFFFF"/>
        </w:rPr>
        <w:t>(</w:t>
      </w:r>
      <w:r w:rsidR="008D57C2" w:rsidRPr="00C42A81">
        <w:rPr>
          <w:rFonts w:cstheme="minorHAnsi"/>
          <w:color w:val="212121"/>
          <w:sz w:val="24"/>
          <w:szCs w:val="24"/>
          <w:u w:val="single"/>
          <w:shd w:val="clear" w:color="auto" w:fill="FFFFFF"/>
        </w:rPr>
        <w:t xml:space="preserve">Figure 2-figure supplement </w:t>
      </w:r>
      <w:r w:rsidR="008D57C2">
        <w:rPr>
          <w:rFonts w:cstheme="minorHAnsi"/>
          <w:color w:val="212121"/>
          <w:sz w:val="24"/>
          <w:szCs w:val="24"/>
          <w:u w:val="single"/>
          <w:shd w:val="clear" w:color="auto" w:fill="FFFFFF"/>
        </w:rPr>
        <w:t>3</w:t>
      </w:r>
      <w:r w:rsidR="002D2740">
        <w:rPr>
          <w:rFonts w:cstheme="minorHAnsi"/>
          <w:color w:val="212121"/>
          <w:sz w:val="24"/>
          <w:szCs w:val="24"/>
          <w:u w:val="single"/>
          <w:shd w:val="clear" w:color="auto" w:fill="FFFFFF"/>
        </w:rPr>
        <w:t xml:space="preserve">, </w:t>
      </w:r>
      <w:r w:rsidR="002D2740" w:rsidRPr="00C42A81">
        <w:rPr>
          <w:rFonts w:cstheme="minorHAnsi"/>
          <w:color w:val="212121"/>
          <w:sz w:val="24"/>
          <w:szCs w:val="24"/>
          <w:u w:val="single"/>
          <w:shd w:val="clear" w:color="auto" w:fill="FFFFFF"/>
        </w:rPr>
        <w:t xml:space="preserve">Figure 2-figure supplement </w:t>
      </w:r>
      <w:r w:rsidR="002D2740">
        <w:rPr>
          <w:rFonts w:cstheme="minorHAnsi"/>
          <w:color w:val="212121"/>
          <w:sz w:val="24"/>
          <w:szCs w:val="24"/>
          <w:u w:val="single"/>
          <w:shd w:val="clear" w:color="auto" w:fill="FFFFFF"/>
        </w:rPr>
        <w:t>4</w:t>
      </w:r>
      <w:r w:rsidR="002D2740" w:rsidRPr="00C42A81">
        <w:rPr>
          <w:rFonts w:cstheme="minorHAnsi"/>
          <w:color w:val="212121"/>
          <w:sz w:val="24"/>
          <w:szCs w:val="24"/>
          <w:shd w:val="clear" w:color="auto" w:fill="FFFFFF"/>
        </w:rPr>
        <w:t>). Error bars depict ± SEM.</w:t>
      </w:r>
    </w:p>
    <w:p w14:paraId="58E7FBE3" w14:textId="77777777" w:rsidR="00081908" w:rsidRDefault="00081908" w:rsidP="00D622E0">
      <w:pPr>
        <w:spacing w:line="480" w:lineRule="auto"/>
        <w:rPr>
          <w:rFonts w:cstheme="minorHAnsi"/>
          <w:color w:val="212121"/>
          <w:sz w:val="24"/>
          <w:szCs w:val="24"/>
          <w:shd w:val="clear" w:color="auto" w:fill="FFFFFF"/>
        </w:rPr>
      </w:pPr>
      <w:r>
        <w:rPr>
          <w:rFonts w:cstheme="minorHAnsi"/>
          <w:color w:val="212121"/>
          <w:sz w:val="24"/>
          <w:szCs w:val="24"/>
          <w:shd w:val="clear" w:color="auto" w:fill="FFFFFF"/>
        </w:rPr>
        <w:br w:type="page"/>
      </w:r>
    </w:p>
    <w:p w14:paraId="516FD3F8" w14:textId="77777777" w:rsidR="009654D2" w:rsidRDefault="009654D2" w:rsidP="00D622E0">
      <w:pPr>
        <w:spacing w:line="480" w:lineRule="auto"/>
        <w:rPr>
          <w:rFonts w:cstheme="minorHAnsi"/>
          <w:color w:val="212121"/>
          <w:sz w:val="24"/>
          <w:szCs w:val="24"/>
          <w:shd w:val="clear" w:color="auto" w:fill="FFFFFF"/>
        </w:rPr>
      </w:pPr>
    </w:p>
    <w:p w14:paraId="2E3F70E4" w14:textId="732F7C57" w:rsidR="002C0FF8" w:rsidRPr="00C42A81" w:rsidRDefault="00E80BF4" w:rsidP="00D622E0">
      <w:pPr>
        <w:spacing w:line="480" w:lineRule="auto"/>
        <w:rPr>
          <w:rFonts w:cstheme="minorHAnsi"/>
          <w:color w:val="212121"/>
          <w:sz w:val="24"/>
          <w:szCs w:val="24"/>
          <w:shd w:val="clear" w:color="auto" w:fill="FFFFFF"/>
        </w:rPr>
      </w:pPr>
      <w:r>
        <w:rPr>
          <w:rFonts w:cstheme="minorHAnsi"/>
          <w:noProof/>
          <w:color w:val="212121"/>
          <w:sz w:val="24"/>
          <w:szCs w:val="24"/>
          <w:shd w:val="clear" w:color="auto" w:fill="FFFFFF"/>
        </w:rPr>
        <w:drawing>
          <wp:inline distT="0" distB="0" distL="0" distR="0" wp14:anchorId="4CAA8A27" wp14:editId="4EEC2922">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05972D0C" w14:textId="405929F5" w:rsidR="003C6F6E" w:rsidRPr="00C42A81" w:rsidRDefault="003C6F6E" w:rsidP="00D622E0">
      <w:pPr>
        <w:spacing w:line="480" w:lineRule="auto"/>
        <w:rPr>
          <w:rFonts w:cstheme="minorHAnsi"/>
          <w:color w:val="212121"/>
          <w:sz w:val="24"/>
          <w:szCs w:val="24"/>
          <w:shd w:val="clear" w:color="auto" w:fill="FFFFFF"/>
        </w:rPr>
      </w:pPr>
    </w:p>
    <w:p w14:paraId="29A9563E" w14:textId="77777777" w:rsidR="003C6F6E" w:rsidRPr="00C42A81" w:rsidRDefault="003C6F6E" w:rsidP="00D622E0">
      <w:pPr>
        <w:spacing w:line="480" w:lineRule="auto"/>
        <w:rPr>
          <w:rFonts w:cstheme="minorHAnsi"/>
          <w:sz w:val="24"/>
          <w:szCs w:val="24"/>
        </w:rPr>
      </w:pPr>
    </w:p>
    <w:p w14:paraId="458EAE2B" w14:textId="139C0D74" w:rsidR="006A2D02" w:rsidRPr="00C42A81" w:rsidRDefault="006A2D02" w:rsidP="00D622E0">
      <w:pPr>
        <w:spacing w:line="480" w:lineRule="auto"/>
        <w:jc w:val="both"/>
        <w:rPr>
          <w:rFonts w:cstheme="minorHAnsi"/>
          <w:sz w:val="24"/>
          <w:szCs w:val="24"/>
        </w:rPr>
      </w:pPr>
      <w:r w:rsidRPr="00C42A81">
        <w:rPr>
          <w:rStyle w:val="FiguresChar"/>
          <w:rFonts w:asciiTheme="minorHAnsi" w:hAnsiTheme="minorHAnsi" w:cstheme="minorHAnsi"/>
          <w:szCs w:val="24"/>
        </w:rPr>
        <w:t>Figure 2-figure supplement 1</w:t>
      </w:r>
      <w:r w:rsidR="005B18DB" w:rsidRPr="00C42A81">
        <w:rPr>
          <w:rStyle w:val="FiguresChar"/>
          <w:rFonts w:asciiTheme="minorHAnsi" w:hAnsiTheme="minorHAnsi" w:cstheme="minorHAnsi"/>
          <w:szCs w:val="24"/>
        </w:rPr>
        <w:t>.</w:t>
      </w:r>
      <w:r w:rsidR="00006999" w:rsidRPr="00C42A81">
        <w:rPr>
          <w:rStyle w:val="FiguresChar"/>
          <w:rFonts w:asciiTheme="minorHAnsi" w:hAnsiTheme="minorHAnsi" w:cstheme="minorHAnsi"/>
          <w:szCs w:val="24"/>
        </w:rPr>
        <w:t xml:space="preserve"> </w:t>
      </w:r>
      <w:r w:rsidRPr="00C42A81">
        <w:rPr>
          <w:rStyle w:val="FiguresChar"/>
          <w:rFonts w:asciiTheme="minorHAnsi" w:hAnsiTheme="minorHAnsi" w:cstheme="minorHAnsi"/>
          <w:b w:val="0"/>
          <w:szCs w:val="24"/>
        </w:rPr>
        <w:t xml:space="preserve">Model predictions of LO lesions as a partial loss of outcome expectancy. </w:t>
      </w:r>
      <w:r w:rsidRPr="00C42A81">
        <w:rPr>
          <w:rStyle w:val="FiguresChar"/>
          <w:rFonts w:asciiTheme="minorHAnsi" w:hAnsiTheme="minorHAnsi" w:cstheme="minorHAnsi"/>
          <w:szCs w:val="24"/>
        </w:rPr>
        <w:t>(A)</w:t>
      </w:r>
      <w:r w:rsidRPr="00C42A81">
        <w:rPr>
          <w:rFonts w:cstheme="minorHAnsi"/>
          <w:sz w:val="24"/>
          <w:szCs w:val="24"/>
        </w:rPr>
        <w:t xml:space="preserve"> The model predictions for simple Pavlovian acquisition using a standard Rescorla-Wagner learning </w:t>
      </w:r>
      <w:r w:rsidR="000D3E8D" w:rsidRPr="00C42A81">
        <w:rPr>
          <w:rFonts w:cstheme="minorHAnsi"/>
          <w:sz w:val="24"/>
          <w:szCs w:val="24"/>
        </w:rPr>
        <w:t>rule and</w:t>
      </w:r>
      <w:r w:rsidRPr="00C42A81">
        <w:rPr>
          <w:rFonts w:cstheme="minorHAnsi"/>
          <w:sz w:val="24"/>
          <w:szCs w:val="24"/>
        </w:rPr>
        <w:t xml:space="preserve">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C42A81">
        <w:rPr>
          <w:rFonts w:cstheme="minorHAnsi"/>
          <w:sz w:val="24"/>
          <w:szCs w:val="24"/>
        </w:rPr>
        <w:t>, the change in associative strength (</w:t>
      </w:r>
      <m:oMath>
        <m:r>
          <w:rPr>
            <w:rFonts w:ascii="Cambria Math" w:hAnsi="Cambria Math" w:cstheme="minorHAnsi"/>
            <w:sz w:val="24"/>
            <w:szCs w:val="24"/>
          </w:rPr>
          <m:t>∆V</m:t>
        </m:r>
      </m:oMath>
      <w:r w:rsidRPr="00C42A81">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C42A81">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C42A81">
        <w:rPr>
          <w:rFonts w:eastAsiaTheme="minorEastAsia" w:cstheme="minorHAnsi"/>
          <w:sz w:val="24"/>
          <w:szCs w:val="24"/>
        </w:rPr>
        <w:t xml:space="preserve"> = 1, and </w:t>
      </w:r>
      <w:r w:rsidRPr="00C42A81">
        <w:rPr>
          <w:rFonts w:cstheme="minorHAnsi"/>
          <w:sz w:val="24"/>
          <w:szCs w:val="24"/>
        </w:rPr>
        <w:t xml:space="preserve">γ = 0.8 for lesions and γ = 1.0 for the control condition. </w:t>
      </w:r>
      <w:r w:rsidRPr="00C42A81">
        <w:rPr>
          <w:rFonts w:cstheme="minorHAnsi"/>
          <w:b/>
          <w:sz w:val="24"/>
          <w:szCs w:val="24"/>
        </w:rPr>
        <w:t>(B)</w:t>
      </w:r>
      <w:r w:rsidRPr="00C42A81">
        <w:rPr>
          <w:rFonts w:cstheme="minorHAnsi"/>
          <w:sz w:val="24"/>
          <w:szCs w:val="24"/>
        </w:rPr>
        <w:t xml:space="preserve"> Modelled performance following pre-training sham or LO lesions. </w:t>
      </w:r>
      <w:r w:rsidRPr="00C42A81">
        <w:rPr>
          <w:rFonts w:cstheme="minorHAnsi"/>
          <w:b/>
          <w:sz w:val="24"/>
          <w:szCs w:val="24"/>
        </w:rPr>
        <w:t>(C)</w:t>
      </w:r>
      <w:r w:rsidRPr="00C42A81">
        <w:rPr>
          <w:rFonts w:cstheme="minorHAnsi"/>
          <w:sz w:val="24"/>
          <w:szCs w:val="24"/>
        </w:rPr>
        <w:t xml:space="preserve"> Modelled performance following temporary LO inactivation via muscimol after initial training.</w:t>
      </w:r>
    </w:p>
    <w:p w14:paraId="0DBC9073" w14:textId="047FCEE9" w:rsidR="006A2D02" w:rsidRPr="00C42A81" w:rsidRDefault="006A2D02" w:rsidP="00D622E0">
      <w:pPr>
        <w:spacing w:line="480" w:lineRule="auto"/>
        <w:rPr>
          <w:rFonts w:cstheme="minorHAnsi"/>
          <w:sz w:val="24"/>
          <w:szCs w:val="24"/>
        </w:rPr>
      </w:pPr>
      <w:r w:rsidRPr="00C42A81">
        <w:rPr>
          <w:rFonts w:cstheme="minorHAnsi"/>
          <w:sz w:val="24"/>
          <w:szCs w:val="24"/>
        </w:rPr>
        <w:t xml:space="preserve">One potential account of the heightened responding observed during simple acquisition following LO lesions is enhanced cue-outcome learning. However, given the </w:t>
      </w:r>
      <w:proofErr w:type="spellStart"/>
      <w:r w:rsidRPr="00C42A81">
        <w:rPr>
          <w:rFonts w:cstheme="minorHAnsi"/>
          <w:sz w:val="24"/>
          <w:szCs w:val="24"/>
        </w:rPr>
        <w:t>hypothesised</w:t>
      </w:r>
      <w:proofErr w:type="spellEnd"/>
      <w:r w:rsidRPr="00C42A81">
        <w:rPr>
          <w:rFonts w:cstheme="minorHAnsi"/>
          <w:sz w:val="24"/>
          <w:szCs w:val="24"/>
        </w:rPr>
        <w:t xml:space="preserve"> role </w:t>
      </w:r>
      <w:r w:rsidRPr="00C42A81">
        <w:rPr>
          <w:rFonts w:cstheme="minorHAnsi"/>
          <w:sz w:val="24"/>
          <w:szCs w:val="24"/>
        </w:rPr>
        <w:lastRenderedPageBreak/>
        <w:t>of the OFC in the representation of outcome expectancy value</w:t>
      </w:r>
      <w:r w:rsidR="007E191A">
        <w:rPr>
          <w:rFonts w:cstheme="minorHAnsi"/>
          <w:sz w:val="24"/>
          <w:szCs w:val="24"/>
        </w:rPr>
        <w:t xml:space="preserve"> </w:t>
      </w:r>
      <w:r w:rsidR="007E191A">
        <w:t xml:space="preserve"> </w:t>
      </w:r>
      <w:r w:rsidR="007E191A">
        <w:fldChar w:fldCharType="begin" w:fldLock="1"/>
      </w:r>
      <w:r w:rsidR="00D75EFD">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J","non-dropping-particle":"","parse-names":false,"suffix":""},{"dropping-particle":"","family":"Taylor","given":"A R","non-dropping-particle":"","parse-names":false,"suffix":""},{"dropping-particle":"","family":"Burke","given":"K A","non-dropping-particle":"","parse-names":false,"suffix":""},{"dropping-particle":"","family":"Schoenbaum","given":"G","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eoffrey","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Parker, Lindner, Izquierdo, &amp; Murray, 2000; Pears, Parkinson, Hopewell, Everitt, &amp; Roberts, 2003; Schoenbaum, Roesch, Stalnaker, &amp; Takahashi, 2009; Takahashi et al., 2009, 2011)","plainTextFormattedCitation":"(Baxter, Parker, Lindner, Izquierdo, &amp; Murray, 2000; Pears, Parkinson, Hopewell, Everitt, &amp; Roberts, 2003; Schoenbaum, Roesch, Stalnaker, &amp; Takahashi, 2009; Takahashi et al., 2009, 2011)","previouslyFormattedCitation":"(Baxter, Parker, Lindner, Izquierdo, &amp; Murray, 2000; Pears, Parkinson, Hopewell, Everitt, &amp; Roberts, 2003; Schoenbaum, Roesch, Stalnaker, &amp; Takahashi, 2009; Takahashi et al., 2009, 2011)"},"properties":{"noteIndex":0},"schema":"https://github.com/citation-style-language/schema/raw/master/csl-citation.json"}</w:instrText>
      </w:r>
      <w:r w:rsidR="007E191A">
        <w:fldChar w:fldCharType="separate"/>
      </w:r>
      <w:r w:rsidR="000423A7" w:rsidRPr="000423A7">
        <w:rPr>
          <w:noProof/>
        </w:rPr>
        <w:t>(Baxter, Parker, Lindner, Izquierdo, &amp; Murray, 2000; Pears, Parkinson, Hopewell, Everitt, &amp; Roberts, 2003; Schoenbaum, Roesch, Stalnaker, &amp; Takahashi, 2009; Takahashi et al., 2009, 2011)</w:t>
      </w:r>
      <w:r w:rsidR="007E191A">
        <w:fldChar w:fldCharType="end"/>
      </w:r>
      <w:r w:rsidRPr="00C42A81">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002B4F18">
        <w:rPr>
          <w:rFonts w:cstheme="minorHAnsi"/>
          <w:noProof/>
          <w:sz w:val="24"/>
          <w:szCs w:val="24"/>
        </w:rPr>
        <w:t xml:space="preserve"> </w:t>
      </w:r>
      <w:r w:rsidR="002B4F18">
        <w:rPr>
          <w:rFonts w:cstheme="minorHAnsi"/>
          <w:noProof/>
          <w:sz w:val="24"/>
          <w:szCs w:val="24"/>
        </w:rPr>
        <w:fldChar w:fldCharType="begin" w:fldLock="1"/>
      </w:r>
      <w:r w:rsidR="000423A7">
        <w:rPr>
          <w:rFonts w:cstheme="minorHAnsi"/>
          <w:noProof/>
          <w:sz w:val="24"/>
          <w:szCs w:val="24"/>
        </w:rPr>
        <w:instrText>ADDIN CSL_CITATION {"citationItems":[{"id":"ITEM-1","itemData":{"author":[{"dropping-particle":"","family":"Rescorla","given":"R A","non-dropping-particle":"","parse-names":false,"suffix":""},{"dropping-particle":"","family":"Wagner","given":"A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J.","non-dropping-particle":"","parse-names":false,"suffix":""},{"dropping-particle":"","family":"Schoenbaum","given":"Geoffrey","non-dropping-particle":"","parse-names":false,"suffix":""},{"dropping-particle":"","family":"Sharpe","given":"Melissa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introduction","type":"book"},"uris":["http://www.mendeley.com/documents/?uuid=1956114d-255e-443a-88aa-46006f3584cb"]}],"mendeley":{"formattedCitation":"(Esber &amp; Haselgrove, 2011; LePelley, 2004; Mackintosh, 1975; Nasser, Calu, Schoenbaum, &amp; Sharpe, 2017; Pearce &amp; Hall, 1980; Rescorla &amp; Wagner, 1972; Sutton &amp; Barto, 1998)","plainTextFormattedCitation":"(Esber &amp; Haselgrove, 2011; LePelley, 2004; Mackintosh, 1975; Nasser, Calu, Schoenbaum, &amp; Sharpe, 2017; Pearce &amp; Hall, 1980; Rescorla &amp; Wagner, 1972; Sutton &amp; Barto, 1998)","previouslyFormattedCitation":"(Esber &amp; Haselgrove, 2011; LePelley, 2004; Mackintosh, 1975; Nasser, Calu, Schoenbaum, &amp; Sharpe, 2017; Pearce &amp; Hall, 1980; Rescorla &amp; Wagner, 1972; Sutton &amp; Barto, 1998)"},"properties":{"noteIndex":0},"schema":"https://github.com/citation-style-language/schema/raw/master/csl-citation.json"}</w:instrText>
      </w:r>
      <w:r w:rsidR="002B4F18">
        <w:rPr>
          <w:rFonts w:cstheme="minorHAnsi"/>
          <w:noProof/>
          <w:sz w:val="24"/>
          <w:szCs w:val="24"/>
        </w:rPr>
        <w:fldChar w:fldCharType="separate"/>
      </w:r>
      <w:r w:rsidR="002B4F18" w:rsidRPr="002B4F18">
        <w:rPr>
          <w:rFonts w:cstheme="minorHAnsi"/>
          <w:noProof/>
          <w:sz w:val="24"/>
          <w:szCs w:val="24"/>
        </w:rPr>
        <w:t>(Esber &amp; Haselgrove, 2011; LePelley, 2004; Mackintosh, 1975; Nasser, Calu, Schoenbaum, &amp; Sharpe, 2017; Pearce &amp; Hall, 1980; Rescorla &amp; Wagner, 1972; Sutton &amp; Barto, 1998)</w:t>
      </w:r>
      <w:r w:rsidR="002B4F18">
        <w:rPr>
          <w:rFonts w:cstheme="minorHAnsi"/>
          <w:noProof/>
          <w:sz w:val="24"/>
          <w:szCs w:val="24"/>
        </w:rPr>
        <w:fldChar w:fldCharType="end"/>
      </w:r>
      <w:r w:rsidRPr="00C42A81">
        <w:rPr>
          <w:rFonts w:cstheme="minorHAnsi"/>
          <w:sz w:val="24"/>
          <w:szCs w:val="24"/>
        </w:rPr>
        <w:t xml:space="preserve">. However, OFC damage may not abolish all outcome expectancy information but instead </w:t>
      </w:r>
      <w:r w:rsidR="00DE6278" w:rsidRPr="00C42A81">
        <w:rPr>
          <w:rFonts w:cstheme="minorHAnsi"/>
          <w:sz w:val="24"/>
          <w:szCs w:val="24"/>
        </w:rPr>
        <w:t>might degrade</w:t>
      </w:r>
      <w:r w:rsidRPr="00C42A81">
        <w:rPr>
          <w:rFonts w:cstheme="minorHAnsi"/>
          <w:sz w:val="24"/>
          <w:szCs w:val="24"/>
        </w:rPr>
        <w:t xml:space="preserve"> some aspect (e.g. sensory specific properties) of the outcome expectancy information made available at the time of calculating the prediction error</w:t>
      </w:r>
      <w:r w:rsidR="007E191A">
        <w:rPr>
          <w:rFonts w:cstheme="minorHAnsi"/>
          <w:sz w:val="24"/>
          <w:szCs w:val="24"/>
        </w:rPr>
        <w:t xml:space="preserve"> </w:t>
      </w:r>
      <w:r w:rsidR="007E191A">
        <w:rPr>
          <w:rFonts w:cstheme="minorHAnsi"/>
          <w:noProof/>
          <w:sz w:val="24"/>
          <w:szCs w:val="24"/>
        </w:rPr>
        <w:fldChar w:fldCharType="begin" w:fldLock="1"/>
      </w:r>
      <w:r w:rsidR="00D75EFD">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eoffrey","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007E191A">
        <w:rPr>
          <w:rFonts w:cstheme="minorHAnsi"/>
          <w:noProof/>
          <w:sz w:val="24"/>
          <w:szCs w:val="24"/>
        </w:rPr>
        <w:fldChar w:fldCharType="separate"/>
      </w:r>
      <w:r w:rsidR="000423A7" w:rsidRPr="000423A7">
        <w:rPr>
          <w:rFonts w:cstheme="minorHAnsi"/>
          <w:noProof/>
          <w:sz w:val="24"/>
          <w:szCs w:val="24"/>
        </w:rPr>
        <w:t>(e.g. mid brain Dopamine neurons; Takahashi et al., 2011)</w:t>
      </w:r>
      <w:r w:rsidR="007E191A">
        <w:rPr>
          <w:rFonts w:cstheme="minorHAnsi"/>
          <w:noProof/>
          <w:sz w:val="24"/>
          <w:szCs w:val="24"/>
        </w:rPr>
        <w:fldChar w:fldCharType="end"/>
      </w:r>
      <w:r w:rsidRPr="00C42A81">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4B6A9D">
        <w:rPr>
          <w:rFonts w:cstheme="minorHAnsi"/>
          <w:sz w:val="24"/>
          <w:szCs w:val="24"/>
          <w:u w:val="single"/>
        </w:rPr>
        <w:t>Figure 2-Figure supplement 1A</w:t>
      </w:r>
      <w:r w:rsidRPr="00C42A81">
        <w:rPr>
          <w:rFonts w:cstheme="minorHAnsi"/>
          <w:sz w:val="24"/>
          <w:szCs w:val="24"/>
        </w:rPr>
        <w:t>). The strength/value (V) of the learned association changes in the following manner:</w:t>
      </w:r>
    </w:p>
    <w:p w14:paraId="15FE43AD" w14:textId="77777777" w:rsidR="006A2D02" w:rsidRPr="00C42A81" w:rsidRDefault="006A2D02" w:rsidP="00D622E0">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56770AA7" w14:textId="78D20CB0" w:rsidR="006A2D02" w:rsidRPr="00C42A81" w:rsidRDefault="006A2D02" w:rsidP="00D622E0">
      <w:pPr>
        <w:spacing w:after="240" w:line="480" w:lineRule="auto"/>
        <w:rPr>
          <w:rFonts w:eastAsiaTheme="minorEastAsia" w:cstheme="minorHAnsi"/>
          <w:sz w:val="24"/>
          <w:szCs w:val="24"/>
        </w:rPr>
      </w:pPr>
      <w:r w:rsidRPr="00C42A81">
        <w:rPr>
          <w:rFonts w:cstheme="minorHAnsi"/>
          <w:sz w:val="24"/>
          <w:szCs w:val="24"/>
        </w:rPr>
        <w:t xml:space="preserve">Such that </w:t>
      </w:r>
      <m:oMath>
        <m:r>
          <w:rPr>
            <w:rFonts w:ascii="Cambria Math" w:hAnsi="Cambria Math" w:cstheme="minorHAnsi"/>
            <w:sz w:val="24"/>
            <w:szCs w:val="24"/>
          </w:rPr>
          <m:t>∆V</m:t>
        </m:r>
      </m:oMath>
      <w:r w:rsidRPr="00C42A81">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C42A81">
        <w:rPr>
          <w:rFonts w:eastAsiaTheme="minorEastAsia" w:cstheme="minorHAnsi"/>
          <w:sz w:val="24"/>
          <w:szCs w:val="24"/>
        </w:rPr>
        <w:t xml:space="preserve"> are learning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w:t>
      </w:r>
      <m:oMath>
        <m:r>
          <w:rPr>
            <w:rFonts w:ascii="Cambria Math" w:hAnsi="Cambria Math" w:cstheme="minorHAnsi"/>
            <w:sz w:val="24"/>
            <w:szCs w:val="24"/>
          </w:rPr>
          <m:t>λ</m:t>
        </m:r>
      </m:oMath>
      <w:r w:rsidRPr="00C42A81">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C42A81">
        <w:rPr>
          <w:rFonts w:eastAsiaTheme="minorEastAsia" w:cstheme="minorHAnsi"/>
          <w:sz w:val="24"/>
          <w:szCs w:val="24"/>
        </w:rPr>
        <w:t xml:space="preserve"> is the sum of the associative strength i.e. the expected value. </w:t>
      </w:r>
      <w:r w:rsidRPr="00C42A81">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C42A81">
        <w:rPr>
          <w:rFonts w:cstheme="minorHAnsi"/>
          <w:sz w:val="24"/>
          <w:szCs w:val="24"/>
        </w:rPr>
        <w:t xml:space="preserve"> </w:t>
      </w:r>
      <w:r w:rsidRPr="00C42A81">
        <w:rPr>
          <w:rFonts w:cstheme="minorHAnsi"/>
          <w:sz w:val="24"/>
          <w:szCs w:val="24"/>
        </w:rPr>
        <w:lastRenderedPageBreak/>
        <w:t xml:space="preserve">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w:t>
      </w:r>
      <w:r w:rsidRPr="00C42A81">
        <w:rPr>
          <w:rFonts w:cstheme="minorHAnsi"/>
          <w:sz w:val="24"/>
          <w:szCs w:val="24"/>
        </w:rPr>
        <w:t xml:space="preserve">In a healthy control animal 100% (γ = 1) of the available outcome expectancy information is available to guide learning. Consequently, further 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eastAsiaTheme="minorEastAsia" w:cstheme="minorHAnsi"/>
          <w:sz w:val="24"/>
          <w:szCs w:val="24"/>
        </w:rPr>
        <w:t xml:space="preserve"> as the current expected value of the outcome fully accounts for the actual value of the outcome. </w:t>
      </w:r>
      <w:r w:rsidRPr="00C42A81">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C42A81">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C42A81">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00B4493A">
        <w:rPr>
          <w:rFonts w:eastAsiaTheme="minorEastAsia" w:cstheme="minorHAnsi"/>
          <w:sz w:val="24"/>
          <w:szCs w:val="24"/>
        </w:rPr>
        <w:t xml:space="preserve"> </w:t>
      </w:r>
      <w:r w:rsidRPr="00C42A81">
        <w:rPr>
          <w:rFonts w:eastAsiaTheme="minorEastAsia" w:cstheme="minorHAnsi"/>
          <w:sz w:val="24"/>
          <w:szCs w:val="24"/>
        </w:rPr>
        <w:t>, therefore asymptotic conditioned behaviour will be higher following a lesion in this model (</w:t>
      </w:r>
      <m:oMath>
        <m:r>
          <m:rPr>
            <m:sty m:val="p"/>
          </m:rPr>
          <w:rPr>
            <w:rFonts w:ascii="Cambria Math" w:hAnsi="Cambria Math" w:cstheme="minorHAnsi"/>
            <w:sz w:val="24"/>
            <w:szCs w:val="24"/>
          </w:rPr>
          <m:t>γ&lt;1)</m:t>
        </m:r>
      </m:oMath>
      <w:r w:rsidRPr="00C42A81">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C42A81">
        <w:rPr>
          <w:rFonts w:eastAsiaTheme="minorEastAsia" w:cstheme="minorHAnsi"/>
          <w:sz w:val="24"/>
          <w:szCs w:val="24"/>
        </w:rPr>
        <w:t>.</w:t>
      </w:r>
    </w:p>
    <w:p w14:paraId="2FE09B76" w14:textId="6DA1287F" w:rsidR="006A2D02" w:rsidRPr="00C42A81" w:rsidRDefault="006A2D02" w:rsidP="00D622E0">
      <w:pPr>
        <w:spacing w:after="240" w:line="480" w:lineRule="auto"/>
        <w:rPr>
          <w:rFonts w:cstheme="minorHAnsi"/>
          <w:sz w:val="24"/>
          <w:szCs w:val="24"/>
        </w:rPr>
      </w:pPr>
      <w:r w:rsidRPr="00C42A81">
        <w:rPr>
          <w:rFonts w:eastAsiaTheme="minorEastAsia" w:cstheme="minorHAnsi"/>
          <w:sz w:val="24"/>
          <w:szCs w:val="24"/>
        </w:rPr>
        <w:t xml:space="preserve">The following simulation of this model (with the lesion parameter set at </w:t>
      </w:r>
      <w:r w:rsidRPr="00C42A81">
        <w:rPr>
          <w:rFonts w:cstheme="minorHAnsi"/>
          <w:sz w:val="24"/>
          <w:szCs w:val="24"/>
        </w:rPr>
        <w:t>γ = 0.8</w:t>
      </w:r>
      <w:r w:rsidRPr="00C42A81">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w:t>
      </w:r>
      <w:r w:rsidRPr="00C42A81">
        <w:rPr>
          <w:rFonts w:eastAsiaTheme="minorEastAsia" w:cstheme="minorHAnsi"/>
          <w:sz w:val="24"/>
          <w:szCs w:val="24"/>
          <w:highlight w:val="yellow"/>
        </w:rPr>
        <w:t>Figure 1</w:t>
      </w:r>
      <w:r w:rsidR="00445AF0" w:rsidRPr="00C42A81">
        <w:rPr>
          <w:rFonts w:eastAsiaTheme="minorEastAsia" w:cstheme="minorHAnsi"/>
          <w:sz w:val="24"/>
          <w:szCs w:val="24"/>
          <w:highlight w:val="yellow"/>
        </w:rPr>
        <w:t>A</w:t>
      </w:r>
      <w:r w:rsidRPr="00C42A81">
        <w:rPr>
          <w:rFonts w:eastAsiaTheme="minorEastAsia" w:cstheme="minorHAnsi"/>
          <w:sz w:val="24"/>
          <w:szCs w:val="24"/>
        </w:rPr>
        <w:t xml:space="preserve"> with a range of values of </w:t>
      </w:r>
      <w:r w:rsidRPr="00C42A81">
        <w:rPr>
          <w:rFonts w:cstheme="minorHAnsi"/>
          <w:sz w:val="24"/>
          <w:szCs w:val="24"/>
        </w:rPr>
        <w:t xml:space="preserve">γ &gt; 0.6. This provides prima facie evidence of how well the model accounts for the present </w:t>
      </w:r>
      <w:r w:rsidR="00D874A4" w:rsidRPr="00C42A81">
        <w:rPr>
          <w:rFonts w:cstheme="minorHAnsi"/>
          <w:sz w:val="24"/>
          <w:szCs w:val="24"/>
        </w:rPr>
        <w:t>data;</w:t>
      </w:r>
      <w:r w:rsidRPr="00C42A81">
        <w:rPr>
          <w:rFonts w:cstheme="minorHAnsi"/>
          <w:sz w:val="24"/>
          <w:szCs w:val="24"/>
        </w:rPr>
        <w:t xml:space="preserve"> </w:t>
      </w:r>
      <w:proofErr w:type="gramStart"/>
      <w:r w:rsidRPr="00C42A81">
        <w:rPr>
          <w:rFonts w:cstheme="minorHAnsi"/>
          <w:sz w:val="24"/>
          <w:szCs w:val="24"/>
        </w:rPr>
        <w:t>however</w:t>
      </w:r>
      <w:proofErr w:type="gramEnd"/>
      <w:r w:rsidRPr="00C42A81">
        <w:rPr>
          <w:rFonts w:cstheme="minorHAnsi"/>
          <w:sz w:val="24"/>
          <w:szCs w:val="24"/>
        </w:rPr>
        <w:t xml:space="preserve"> the most valid test of the model would be an experimental test of a hypothesis generated from the model. This model predicts that if acquisition initially occurs with a functional LO until asymptote (</w:t>
      </w:r>
      <w:r w:rsidRPr="00C42A81">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C42A81">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C42A81">
        <w:rPr>
          <w:rFonts w:eastAsiaTheme="minorEastAsia" w:cstheme="minorHAnsi"/>
          <w:sz w:val="24"/>
          <w:szCs w:val="24"/>
        </w:rPr>
        <w:t xml:space="preserve">. Informally, the inactivation of LO will cause the outcome to no longer be fully predicted by the CS because </w:t>
      </w:r>
      <w:r w:rsidR="00D565AC">
        <w:rPr>
          <w:rFonts w:eastAsiaTheme="minorEastAsia" w:cstheme="minorHAnsi"/>
          <w:sz w:val="24"/>
          <w:szCs w:val="24"/>
        </w:rPr>
        <w:t>part of the expectation is now missing</w:t>
      </w:r>
      <w:r w:rsidRPr="00C42A81">
        <w:rPr>
          <w:rFonts w:eastAsiaTheme="minorEastAsia" w:cstheme="minorHAnsi"/>
          <w:sz w:val="24"/>
          <w:szCs w:val="24"/>
        </w:rPr>
        <w:t xml:space="preserve">.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cstheme="minorHAnsi"/>
          <w:sz w:val="24"/>
          <w:szCs w:val="24"/>
        </w:rPr>
        <w:t xml:space="preserve"> again. This prediction is modelled in (</w:t>
      </w:r>
      <w:r w:rsidRPr="00C42A81">
        <w:rPr>
          <w:rFonts w:cstheme="minorHAnsi"/>
          <w:b/>
          <w:sz w:val="24"/>
          <w:szCs w:val="24"/>
        </w:rPr>
        <w:t>C</w:t>
      </w:r>
      <w:r w:rsidRPr="00C42A81">
        <w:rPr>
          <w:rFonts w:cstheme="minorHAnsi"/>
          <w:sz w:val="24"/>
          <w:szCs w:val="24"/>
        </w:rPr>
        <w:t xml:space="preserve">). It is noteworthy that modelling the effect of LO damage in this way produces identical predictions in </w:t>
      </w:r>
      <w:r w:rsidRPr="00C42A81">
        <w:rPr>
          <w:rFonts w:cstheme="minorHAnsi"/>
          <w:sz w:val="24"/>
          <w:szCs w:val="24"/>
        </w:rPr>
        <w:lastRenderedPageBreak/>
        <w:t xml:space="preserve">a number of other associative learning models </w:t>
      </w:r>
      <w:r w:rsidRPr="00C42A81">
        <w:rPr>
          <w:rFonts w:cstheme="minorHAnsi"/>
          <w:noProof/>
          <w:sz w:val="24"/>
          <w:szCs w:val="24"/>
        </w:rPr>
        <w:t>(Esber &amp; Haselgrove, 2011; Mackintosh, 1975; Pearce &amp; Hall, 1980; Rescorla &amp; Wagner, 1972)</w:t>
      </w:r>
      <w:r w:rsidRPr="00C42A81">
        <w:rPr>
          <w:rFonts w:cstheme="minorHAnsi"/>
          <w:sz w:val="24"/>
          <w:szCs w:val="24"/>
        </w:rPr>
        <w:t xml:space="preserve"> and therefore may also affect other aspects of learning such as attention. Furthermore, even though the hypothesis was generated using the current mathematical model, the prediction and underlying mechanism would be the same for any interpretation of the increased responding in </w:t>
      </w:r>
      <w:r w:rsidRPr="00C42A81">
        <w:rPr>
          <w:rFonts w:cstheme="minorHAnsi"/>
          <w:sz w:val="24"/>
          <w:szCs w:val="24"/>
          <w:highlight w:val="yellow"/>
        </w:rPr>
        <w:t>Figure 1</w:t>
      </w:r>
      <w:r w:rsidR="00445AF0" w:rsidRPr="00C42A81">
        <w:rPr>
          <w:rFonts w:cstheme="minorHAnsi"/>
          <w:sz w:val="24"/>
          <w:szCs w:val="24"/>
          <w:highlight w:val="yellow"/>
        </w:rPr>
        <w:t>A</w:t>
      </w:r>
      <w:r w:rsidRPr="00C42A81">
        <w:rPr>
          <w:rFonts w:cstheme="minorHAnsi"/>
          <w:sz w:val="24"/>
          <w:szCs w:val="24"/>
        </w:rPr>
        <w:t xml:space="preserve"> as increased cue-outcome learning. If OFC damage increases learning, then transient inactivation of OFC should temporarily allow learning to increase.</w:t>
      </w:r>
    </w:p>
    <w:p w14:paraId="1B8FE278" w14:textId="77777777" w:rsidR="00AB1772" w:rsidRDefault="00AB1772" w:rsidP="00D622E0">
      <w:pPr>
        <w:spacing w:line="480" w:lineRule="auto"/>
        <w:rPr>
          <w:rFonts w:cstheme="minorHAnsi"/>
          <w:b/>
          <w:sz w:val="24"/>
          <w:szCs w:val="24"/>
        </w:rPr>
      </w:pPr>
      <w:r>
        <w:rPr>
          <w:rFonts w:cstheme="minorHAnsi"/>
          <w:b/>
          <w:sz w:val="24"/>
          <w:szCs w:val="24"/>
        </w:rPr>
        <w:br w:type="page"/>
      </w:r>
    </w:p>
    <w:p w14:paraId="7F046914" w14:textId="4DC99C51" w:rsidR="00AB1772" w:rsidRDefault="00AB1772" w:rsidP="00D622E0">
      <w:pPr>
        <w:spacing w:line="480" w:lineRule="auto"/>
        <w:rPr>
          <w:rFonts w:cstheme="minorHAnsi"/>
          <w:b/>
          <w:sz w:val="24"/>
          <w:szCs w:val="24"/>
        </w:rPr>
      </w:pPr>
      <w:r>
        <w:rPr>
          <w:rFonts w:cstheme="minorHAnsi"/>
          <w:b/>
          <w:noProof/>
          <w:sz w:val="24"/>
          <w:szCs w:val="24"/>
        </w:rPr>
        <w:lastRenderedPageBreak/>
        <w:drawing>
          <wp:inline distT="0" distB="0" distL="0" distR="0" wp14:anchorId="4E374FAB" wp14:editId="7828BC38">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6C86E2E7" w14:textId="34AC5D31" w:rsidR="00402212" w:rsidRDefault="00402212" w:rsidP="00D622E0">
      <w:pPr>
        <w:spacing w:line="480" w:lineRule="auto"/>
        <w:rPr>
          <w:rFonts w:cstheme="minorHAnsi"/>
          <w:sz w:val="24"/>
          <w:szCs w:val="24"/>
        </w:rPr>
      </w:pPr>
      <w:r w:rsidRPr="00C42A81">
        <w:rPr>
          <w:rFonts w:cstheme="minorHAnsi"/>
          <w:b/>
          <w:sz w:val="24"/>
          <w:szCs w:val="24"/>
        </w:rPr>
        <w:t xml:space="preserve">Figure 2-figure supplement </w:t>
      </w:r>
      <w:r w:rsidR="000F11E8" w:rsidRPr="00C42A81">
        <w:rPr>
          <w:rFonts w:cstheme="minorHAnsi"/>
          <w:b/>
          <w:sz w:val="24"/>
          <w:szCs w:val="24"/>
        </w:rPr>
        <w:t>2</w:t>
      </w:r>
      <w:r w:rsidRPr="00C42A81">
        <w:rPr>
          <w:rFonts w:cstheme="minorHAnsi"/>
          <w:b/>
          <w:sz w:val="24"/>
          <w:szCs w:val="24"/>
        </w:rPr>
        <w:t>.</w:t>
      </w:r>
      <w:r w:rsidRPr="00C42A81">
        <w:rPr>
          <w:rFonts w:cstheme="minorHAnsi"/>
          <w:sz w:val="24"/>
          <w:szCs w:val="24"/>
        </w:rPr>
        <w:t xml:space="preserve"> Photomicrograph of representative OFC </w:t>
      </w:r>
      <w:r w:rsidR="00A452BE" w:rsidRPr="00C42A81">
        <w:rPr>
          <w:rFonts w:cstheme="minorHAnsi"/>
          <w:sz w:val="24"/>
          <w:szCs w:val="24"/>
        </w:rPr>
        <w:t>cannulae placement (top) in the saline</w:t>
      </w:r>
      <w:r w:rsidRPr="00C42A81">
        <w:rPr>
          <w:rFonts w:cstheme="minorHAnsi"/>
          <w:sz w:val="24"/>
          <w:szCs w:val="24"/>
        </w:rPr>
        <w:t xml:space="preserve"> (left) and </w:t>
      </w:r>
      <w:r w:rsidR="00A452BE" w:rsidRPr="00C42A81">
        <w:rPr>
          <w:rFonts w:cstheme="minorHAnsi"/>
          <w:sz w:val="24"/>
          <w:szCs w:val="24"/>
        </w:rPr>
        <w:t>muscimol</w:t>
      </w:r>
      <w:r w:rsidRPr="00C42A81">
        <w:rPr>
          <w:rFonts w:cstheme="minorHAnsi"/>
          <w:sz w:val="24"/>
          <w:szCs w:val="24"/>
        </w:rPr>
        <w:t xml:space="preserve"> (right)</w:t>
      </w:r>
      <w:r w:rsidR="00A452BE" w:rsidRPr="00C42A81">
        <w:rPr>
          <w:rFonts w:cstheme="minorHAnsi"/>
          <w:sz w:val="24"/>
          <w:szCs w:val="24"/>
        </w:rPr>
        <w:t xml:space="preserve"> infusion</w:t>
      </w:r>
      <w:r w:rsidRPr="00C42A81">
        <w:rPr>
          <w:rFonts w:cstheme="minorHAnsi"/>
          <w:sz w:val="24"/>
          <w:szCs w:val="24"/>
        </w:rPr>
        <w:t xml:space="preserve"> groups. Coronal slice located approximately +4.20 mm anterior to bregma. </w:t>
      </w:r>
      <w:r w:rsidR="00536D9C" w:rsidRPr="00C42A81">
        <w:rPr>
          <w:rFonts w:cstheme="minorHAnsi"/>
          <w:sz w:val="24"/>
          <w:szCs w:val="24"/>
        </w:rPr>
        <w:t>Cannulae tip</w:t>
      </w:r>
      <w:r w:rsidRPr="00C42A81">
        <w:rPr>
          <w:rFonts w:cstheme="minorHAnsi"/>
          <w:sz w:val="24"/>
          <w:szCs w:val="24"/>
        </w:rPr>
        <w:t xml:space="preserve"> (bottom) </w:t>
      </w:r>
      <w:r w:rsidR="00E93097" w:rsidRPr="00C42A81">
        <w:rPr>
          <w:rFonts w:cstheme="minorHAnsi"/>
          <w:sz w:val="24"/>
          <w:szCs w:val="24"/>
        </w:rPr>
        <w:t xml:space="preserve">location of all subjects in </w:t>
      </w:r>
      <w:r w:rsidR="00E93097" w:rsidRPr="00C42A81">
        <w:rPr>
          <w:rFonts w:cstheme="minorHAnsi"/>
          <w:sz w:val="24"/>
          <w:szCs w:val="24"/>
        </w:rPr>
        <w:lastRenderedPageBreak/>
        <w:t xml:space="preserve">the saline (empty circles) and </w:t>
      </w:r>
      <w:r w:rsidR="00D90185" w:rsidRPr="00C42A81">
        <w:rPr>
          <w:rFonts w:cstheme="minorHAnsi"/>
          <w:sz w:val="24"/>
          <w:szCs w:val="24"/>
        </w:rPr>
        <w:t>muscimol (filled circles) groups.</w:t>
      </w:r>
      <w:r w:rsidRPr="00C42A81">
        <w:rPr>
          <w:rFonts w:cstheme="minorHAnsi"/>
          <w:sz w:val="24"/>
          <w:szCs w:val="24"/>
        </w:rPr>
        <w:t xml:space="preserve"> Coronal sections are identified in mm relative to bregma (Paxinos and Watson, 1997).</w:t>
      </w:r>
    </w:p>
    <w:p w14:paraId="537FE8E2" w14:textId="6D15F5E6" w:rsidR="0037452E" w:rsidRDefault="0037452E" w:rsidP="00D622E0">
      <w:pPr>
        <w:spacing w:line="480" w:lineRule="auto"/>
        <w:rPr>
          <w:rFonts w:cstheme="minorHAnsi"/>
          <w:sz w:val="24"/>
          <w:szCs w:val="24"/>
        </w:rPr>
      </w:pPr>
      <w:r>
        <w:rPr>
          <w:rFonts w:cstheme="minorHAnsi"/>
          <w:sz w:val="24"/>
          <w:szCs w:val="24"/>
        </w:rPr>
        <w:br w:type="page"/>
      </w:r>
    </w:p>
    <w:p w14:paraId="7E87638C" w14:textId="00E21DCA" w:rsidR="0037452E" w:rsidRPr="00C42A81" w:rsidRDefault="0037452E" w:rsidP="00D622E0">
      <w:pPr>
        <w:spacing w:line="480" w:lineRule="auto"/>
        <w:rPr>
          <w:rFonts w:cstheme="minorHAnsi"/>
          <w:sz w:val="24"/>
          <w:szCs w:val="24"/>
        </w:rPr>
      </w:pPr>
      <w:r>
        <w:rPr>
          <w:rFonts w:cstheme="minorHAnsi"/>
          <w:noProof/>
          <w:sz w:val="24"/>
          <w:szCs w:val="24"/>
        </w:rPr>
        <w:lastRenderedPageBreak/>
        <w:drawing>
          <wp:inline distT="0" distB="0" distL="0" distR="0" wp14:anchorId="323C478C" wp14:editId="54F61DC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1BC47C8A" w14:textId="5C8FAE8F" w:rsidR="009D4714" w:rsidRDefault="00402212" w:rsidP="00D622E0">
      <w:pPr>
        <w:spacing w:line="480" w:lineRule="auto"/>
        <w:rPr>
          <w:rFonts w:cstheme="minorHAnsi"/>
          <w:sz w:val="24"/>
          <w:szCs w:val="24"/>
        </w:rPr>
      </w:pPr>
      <w:r w:rsidRPr="00C42A81">
        <w:rPr>
          <w:rFonts w:cstheme="minorHAnsi"/>
          <w:b/>
          <w:sz w:val="24"/>
          <w:szCs w:val="24"/>
        </w:rPr>
        <w:t xml:space="preserve">Figure 2-figure supplement </w:t>
      </w:r>
      <w:r w:rsidR="000F11E8" w:rsidRPr="00C42A81">
        <w:rPr>
          <w:rFonts w:cstheme="minorHAnsi"/>
          <w:b/>
          <w:sz w:val="24"/>
          <w:szCs w:val="24"/>
        </w:rPr>
        <w:t>3</w:t>
      </w:r>
      <w:r w:rsidRPr="00C42A81">
        <w:rPr>
          <w:rFonts w:cstheme="minorHAnsi"/>
          <w:b/>
          <w:sz w:val="24"/>
          <w:szCs w:val="24"/>
        </w:rPr>
        <w:t>.</w:t>
      </w:r>
      <w:r w:rsidRPr="00C42A81">
        <w:rPr>
          <w:rFonts w:cstheme="minorHAnsi"/>
          <w:sz w:val="24"/>
          <w:szCs w:val="24"/>
        </w:rPr>
        <w:t xml:space="preserve"> </w:t>
      </w:r>
      <w:r w:rsidR="006B5FF2">
        <w:rPr>
          <w:rFonts w:cstheme="minorHAnsi"/>
          <w:sz w:val="24"/>
          <w:szCs w:val="24"/>
        </w:rPr>
        <w:t>Supplementary Experiment 1</w:t>
      </w:r>
      <w:r w:rsidR="003D07F5">
        <w:rPr>
          <w:rFonts w:cstheme="minorHAnsi"/>
          <w:sz w:val="24"/>
          <w:szCs w:val="24"/>
        </w:rPr>
        <w:t>:</w:t>
      </w:r>
      <w:r w:rsidR="006B5FF2">
        <w:rPr>
          <w:rFonts w:cstheme="minorHAnsi"/>
          <w:sz w:val="24"/>
          <w:szCs w:val="24"/>
        </w:rPr>
        <w:t xml:space="preserve"> </w:t>
      </w:r>
      <w:r w:rsidRPr="00C42A81">
        <w:rPr>
          <w:rFonts w:cstheme="minorHAnsi"/>
          <w:sz w:val="24"/>
          <w:szCs w:val="24"/>
        </w:rPr>
        <w:t>Photomicrograph of representative OFC lesion damage (top) in the sham (left) and lesion (right) groups</w:t>
      </w:r>
      <w:r w:rsidR="00081908">
        <w:rPr>
          <w:rFonts w:cstheme="minorHAnsi"/>
          <w:sz w:val="24"/>
          <w:szCs w:val="24"/>
        </w:rPr>
        <w:t xml:space="preserve"> </w:t>
      </w:r>
      <w:r w:rsidR="00CF4056">
        <w:rPr>
          <w:rFonts w:cstheme="minorHAnsi"/>
          <w:sz w:val="24"/>
          <w:szCs w:val="24"/>
        </w:rPr>
        <w:t>following post-training lesions (behavioural data depicted in</w:t>
      </w:r>
      <w:r w:rsidR="00081908">
        <w:rPr>
          <w:rFonts w:cstheme="minorHAnsi"/>
          <w:sz w:val="24"/>
          <w:szCs w:val="24"/>
        </w:rPr>
        <w:t xml:space="preserve"> </w:t>
      </w:r>
      <w:r w:rsidR="00081908" w:rsidRPr="00C42A81">
        <w:rPr>
          <w:rFonts w:cstheme="minorHAnsi"/>
          <w:color w:val="212121"/>
          <w:sz w:val="24"/>
          <w:szCs w:val="24"/>
          <w:u w:val="single"/>
          <w:shd w:val="clear" w:color="auto" w:fill="FFFFFF"/>
        </w:rPr>
        <w:t xml:space="preserve">Figure 2-figure supplement </w:t>
      </w:r>
      <w:r w:rsidR="00081908">
        <w:rPr>
          <w:rFonts w:cstheme="minorHAnsi"/>
          <w:color w:val="212121"/>
          <w:sz w:val="24"/>
          <w:szCs w:val="24"/>
          <w:u w:val="single"/>
          <w:shd w:val="clear" w:color="auto" w:fill="FFFFFF"/>
        </w:rPr>
        <w:t>4</w:t>
      </w:r>
      <w:r w:rsidR="00CF4056">
        <w:rPr>
          <w:rFonts w:cstheme="minorHAnsi"/>
          <w:color w:val="212121"/>
          <w:sz w:val="24"/>
          <w:szCs w:val="24"/>
          <w:u w:val="single"/>
          <w:shd w:val="clear" w:color="auto" w:fill="FFFFFF"/>
        </w:rPr>
        <w:t>)</w:t>
      </w:r>
      <w:r w:rsidRPr="00C42A81">
        <w:rPr>
          <w:rFonts w:cstheme="minorHAnsi"/>
          <w:sz w:val="24"/>
          <w:szCs w:val="24"/>
        </w:rPr>
        <w:t xml:space="preserve">. Coronal slice </w:t>
      </w:r>
      <w:r w:rsidRPr="00C42A81">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(Paxinos and Watson, 1997).</w:t>
      </w:r>
    </w:p>
    <w:p w14:paraId="2BB49431" w14:textId="12B97012" w:rsidR="00402212" w:rsidRDefault="009D4714" w:rsidP="00D622E0">
      <w:pPr>
        <w:spacing w:line="480" w:lineRule="auto"/>
        <w:rPr>
          <w:rFonts w:cstheme="minorHAnsi"/>
          <w:sz w:val="24"/>
          <w:szCs w:val="24"/>
        </w:rPr>
      </w:pPr>
      <w:r>
        <w:rPr>
          <w:rFonts w:cstheme="minorHAnsi"/>
          <w:noProof/>
          <w:sz w:val="24"/>
          <w:szCs w:val="24"/>
        </w:rPr>
        <w:drawing>
          <wp:inline distT="0" distB="0" distL="0" distR="0" wp14:anchorId="4144B640" wp14:editId="03C6E119">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3F3875C9" w14:textId="77777777" w:rsidR="002157C3" w:rsidRDefault="009D4714" w:rsidP="00D622E0">
      <w:pPr>
        <w:spacing w:line="480" w:lineRule="auto"/>
        <w:rPr>
          <w:rFonts w:cstheme="minorHAnsi"/>
          <w:color w:val="212121"/>
          <w:sz w:val="24"/>
          <w:szCs w:val="24"/>
          <w:shd w:val="clear" w:color="auto" w:fill="FFFFFF"/>
        </w:rPr>
      </w:pPr>
      <w:r w:rsidRPr="00C42A81">
        <w:rPr>
          <w:rFonts w:cstheme="minorHAnsi"/>
          <w:b/>
          <w:sz w:val="24"/>
          <w:szCs w:val="24"/>
        </w:rPr>
        <w:t xml:space="preserve">Figure 2-figure supplement </w:t>
      </w:r>
      <w:r>
        <w:rPr>
          <w:rFonts w:cstheme="minorHAnsi"/>
          <w:b/>
          <w:sz w:val="24"/>
          <w:szCs w:val="24"/>
        </w:rPr>
        <w:t>4</w:t>
      </w:r>
      <w:r w:rsidRPr="00C42A81">
        <w:rPr>
          <w:rFonts w:cstheme="minorHAnsi"/>
          <w:b/>
          <w:sz w:val="24"/>
          <w:szCs w:val="24"/>
        </w:rPr>
        <w:t>.</w:t>
      </w:r>
      <w:r w:rsidRPr="00C42A81">
        <w:rPr>
          <w:rFonts w:cstheme="minorHAnsi"/>
          <w:sz w:val="24"/>
          <w:szCs w:val="24"/>
        </w:rPr>
        <w:t xml:space="preserve"> </w:t>
      </w:r>
      <w:r w:rsidR="00CF4056">
        <w:rPr>
          <w:rFonts w:cstheme="minorHAnsi"/>
          <w:sz w:val="24"/>
          <w:szCs w:val="24"/>
        </w:rPr>
        <w:t xml:space="preserve"> </w:t>
      </w:r>
      <w:r w:rsidR="006B5FF2">
        <w:rPr>
          <w:rFonts w:cstheme="minorHAnsi"/>
          <w:sz w:val="24"/>
          <w:szCs w:val="24"/>
        </w:rPr>
        <w:t>Supplementary Experiment 1</w:t>
      </w:r>
      <w:r w:rsidR="003D07F5">
        <w:rPr>
          <w:rFonts w:cstheme="minorHAnsi"/>
          <w:sz w:val="24"/>
          <w:szCs w:val="24"/>
        </w:rPr>
        <w:t xml:space="preserve">: </w:t>
      </w:r>
      <w:r w:rsidR="002D2740" w:rsidRPr="00C42A81">
        <w:rPr>
          <w:rFonts w:cstheme="minorHAnsi"/>
          <w:color w:val="212121"/>
          <w:sz w:val="24"/>
          <w:szCs w:val="24"/>
          <w:shd w:val="clear" w:color="auto" w:fill="FFFFFF"/>
        </w:rPr>
        <w:t>Post-training OFC lesions suppress Pavlovian acquisition behaviour. Rates of discriminative responding (CS-PreCS) during initial acquisition (</w:t>
      </w:r>
      <w:r w:rsidR="002D2740">
        <w:rPr>
          <w:rFonts w:cstheme="minorHAnsi"/>
          <w:color w:val="212121"/>
          <w:sz w:val="24"/>
          <w:szCs w:val="24"/>
          <w:shd w:val="clear" w:color="auto" w:fill="FFFFFF"/>
        </w:rPr>
        <w:t>P</w:t>
      </w:r>
      <w:r w:rsidR="002D2740" w:rsidRPr="00C42A81">
        <w:rPr>
          <w:rFonts w:cstheme="minorHAnsi"/>
          <w:color w:val="212121"/>
          <w:sz w:val="24"/>
          <w:szCs w:val="24"/>
          <w:shd w:val="clear" w:color="auto" w:fill="FFFFFF"/>
        </w:rPr>
        <w:t>re-</w:t>
      </w:r>
      <w:r w:rsidR="002D2740">
        <w:rPr>
          <w:rFonts w:cstheme="minorHAnsi"/>
          <w:color w:val="212121"/>
          <w:sz w:val="24"/>
          <w:szCs w:val="24"/>
          <w:shd w:val="clear" w:color="auto" w:fill="FFFFFF"/>
        </w:rPr>
        <w:t>S</w:t>
      </w:r>
      <w:r w:rsidR="002D2740" w:rsidRPr="00C42A81">
        <w:rPr>
          <w:rFonts w:cstheme="minorHAnsi"/>
          <w:color w:val="212121"/>
          <w:sz w:val="24"/>
          <w:szCs w:val="24"/>
          <w:shd w:val="clear" w:color="auto" w:fill="FFFFFF"/>
        </w:rPr>
        <w:t xml:space="preserve">urgery, </w:t>
      </w:r>
      <w:proofErr w:type="gramStart"/>
      <w:r w:rsidR="002D2740">
        <w:rPr>
          <w:rFonts w:cstheme="minorHAnsi"/>
          <w:color w:val="212121"/>
          <w:sz w:val="24"/>
          <w:szCs w:val="24"/>
          <w:shd w:val="clear" w:color="auto" w:fill="FFFFFF"/>
        </w:rPr>
        <w:t>B</w:t>
      </w:r>
      <w:r w:rsidR="002D2740" w:rsidRPr="00C42A81">
        <w:rPr>
          <w:rFonts w:cstheme="minorHAnsi"/>
          <w:color w:val="212121"/>
          <w:sz w:val="24"/>
          <w:szCs w:val="24"/>
          <w:shd w:val="clear" w:color="auto" w:fill="FFFFFF"/>
        </w:rPr>
        <w:t>locks</w:t>
      </w:r>
      <w:proofErr w:type="gramEnd"/>
      <w:r w:rsidR="002D2740" w:rsidRPr="00C42A81">
        <w:rPr>
          <w:rFonts w:cstheme="minorHAnsi"/>
          <w:color w:val="212121"/>
          <w:sz w:val="24"/>
          <w:szCs w:val="24"/>
          <w:shd w:val="clear" w:color="auto" w:fill="FFFFFF"/>
        </w:rPr>
        <w:t xml:space="preserve"> 1-3), and following OFC or sham lesions (</w:t>
      </w:r>
      <w:r w:rsidR="002D2740">
        <w:rPr>
          <w:rFonts w:cstheme="minorHAnsi"/>
          <w:color w:val="212121"/>
          <w:sz w:val="24"/>
          <w:szCs w:val="24"/>
          <w:shd w:val="clear" w:color="auto" w:fill="FFFFFF"/>
        </w:rPr>
        <w:t>P</w:t>
      </w:r>
      <w:r w:rsidR="002D2740" w:rsidRPr="00C42A81">
        <w:rPr>
          <w:rFonts w:cstheme="minorHAnsi"/>
          <w:color w:val="212121"/>
          <w:sz w:val="24"/>
          <w:szCs w:val="24"/>
          <w:shd w:val="clear" w:color="auto" w:fill="FFFFFF"/>
        </w:rPr>
        <w:t>ost-</w:t>
      </w:r>
      <w:r w:rsidR="002D2740">
        <w:rPr>
          <w:rFonts w:cstheme="minorHAnsi"/>
          <w:color w:val="212121"/>
          <w:sz w:val="24"/>
          <w:szCs w:val="24"/>
          <w:shd w:val="clear" w:color="auto" w:fill="FFFFFF"/>
        </w:rPr>
        <w:t>S</w:t>
      </w:r>
      <w:r w:rsidR="002D2740" w:rsidRPr="00C42A81">
        <w:rPr>
          <w:rFonts w:cstheme="minorHAnsi"/>
          <w:color w:val="212121"/>
          <w:sz w:val="24"/>
          <w:szCs w:val="24"/>
          <w:shd w:val="clear" w:color="auto" w:fill="FFFFFF"/>
        </w:rPr>
        <w:t xml:space="preserve">urgery, </w:t>
      </w:r>
      <w:r w:rsidR="002D2740">
        <w:rPr>
          <w:rFonts w:cstheme="minorHAnsi"/>
          <w:color w:val="212121"/>
          <w:sz w:val="24"/>
          <w:szCs w:val="24"/>
          <w:shd w:val="clear" w:color="auto" w:fill="FFFFFF"/>
        </w:rPr>
        <w:t>B</w:t>
      </w:r>
      <w:r w:rsidR="002D2740" w:rsidRPr="00C42A81">
        <w:rPr>
          <w:rFonts w:cstheme="minorHAnsi"/>
          <w:color w:val="212121"/>
          <w:sz w:val="24"/>
          <w:szCs w:val="24"/>
          <w:shd w:val="clear" w:color="auto" w:fill="FFFFFF"/>
        </w:rPr>
        <w:t>locks 4-6).</w:t>
      </w:r>
      <w:r w:rsidR="002D2740">
        <w:rPr>
          <w:rFonts w:cstheme="minorHAnsi"/>
          <w:color w:val="212121"/>
          <w:sz w:val="24"/>
          <w:szCs w:val="24"/>
          <w:shd w:val="clear" w:color="auto" w:fill="FFFFFF"/>
        </w:rPr>
        <w:t xml:space="preserve"> Data summarized in blocks of 3 days.</w:t>
      </w:r>
      <w:r w:rsidR="002D2740" w:rsidRPr="00C42A81">
        <w:rPr>
          <w:rFonts w:cstheme="minorHAnsi"/>
          <w:color w:val="212121"/>
          <w:sz w:val="24"/>
          <w:szCs w:val="24"/>
          <w:shd w:val="clear" w:color="auto" w:fill="FFFFFF"/>
        </w:rPr>
        <w:t xml:space="preserve"> Histological characterization of lesion extent depicted in </w:t>
      </w:r>
      <w:r w:rsidR="002D2740" w:rsidRPr="00C42A81">
        <w:rPr>
          <w:rFonts w:cstheme="minorHAnsi"/>
          <w:color w:val="212121"/>
          <w:sz w:val="24"/>
          <w:szCs w:val="24"/>
          <w:u w:val="single"/>
          <w:shd w:val="clear" w:color="auto" w:fill="FFFFFF"/>
        </w:rPr>
        <w:t>Figure 2-figure supplement 3</w:t>
      </w:r>
      <w:r w:rsidR="002D2740" w:rsidRPr="00C42A81">
        <w:rPr>
          <w:rFonts w:cstheme="minorHAnsi"/>
          <w:color w:val="212121"/>
          <w:sz w:val="24"/>
          <w:szCs w:val="24"/>
          <w:shd w:val="clear" w:color="auto" w:fill="FFFFFF"/>
        </w:rPr>
        <w:t xml:space="preserve">. </w:t>
      </w:r>
      <w:r w:rsidR="00CF4056" w:rsidRPr="00C42A81">
        <w:rPr>
          <w:rFonts w:cstheme="minorHAnsi"/>
          <w:color w:val="212121"/>
          <w:sz w:val="24"/>
          <w:szCs w:val="24"/>
          <w:shd w:val="clear" w:color="auto" w:fill="FFFFFF"/>
        </w:rPr>
        <w:t>Error bars depict ± SEM.</w:t>
      </w:r>
      <w:r w:rsidR="00970809">
        <w:rPr>
          <w:rFonts w:cstheme="minorHAnsi"/>
          <w:color w:val="212121"/>
          <w:sz w:val="24"/>
          <w:szCs w:val="24"/>
          <w:shd w:val="clear" w:color="auto" w:fill="FFFFFF"/>
        </w:rPr>
        <w:t xml:space="preserve">  </w:t>
      </w:r>
    </w:p>
    <w:p w14:paraId="7399AD93" w14:textId="77777777" w:rsidR="002157C3" w:rsidRPr="008D1A3F" w:rsidRDefault="00215D66" w:rsidP="00D622E0">
      <w:pPr>
        <w:spacing w:line="480" w:lineRule="auto"/>
        <w:rPr>
          <w:rFonts w:cstheme="minorHAnsi"/>
          <w:color w:val="212121"/>
          <w:sz w:val="24"/>
          <w:szCs w:val="24"/>
          <w:shd w:val="clear" w:color="auto" w:fill="FFFFFF"/>
        </w:rPr>
      </w:pPr>
      <w:r w:rsidRPr="008D1A3F">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w:t>
      </w:r>
      <w:r w:rsidRPr="008D1A3F">
        <w:rPr>
          <w:rFonts w:cstheme="minorHAnsi"/>
          <w:sz w:val="24"/>
          <w:szCs w:val="24"/>
          <w:highlight w:val="yellow"/>
        </w:rPr>
        <w:t>Figure 2-figure supplement 3</w:t>
      </w:r>
      <w:r w:rsidRPr="008D1A3F">
        <w:rPr>
          <w:rFonts w:cstheme="minorHAnsi"/>
          <w:sz w:val="24"/>
          <w:szCs w:val="24"/>
        </w:rPr>
        <w:t>). Prior to surgery, animals acquired responding to the cue (</w:t>
      </w:r>
      <w:r w:rsidRPr="008D1A3F">
        <w:rPr>
          <w:rFonts w:cstheme="minorHAnsi"/>
          <w:sz w:val="24"/>
          <w:szCs w:val="24"/>
          <w:highlight w:val="yellow"/>
        </w:rPr>
        <w:t>Pre-Surgery</w:t>
      </w:r>
      <w:r w:rsidRPr="008D1A3F">
        <w:rPr>
          <w:rFonts w:cstheme="minorHAnsi"/>
          <w:sz w:val="24"/>
          <w:szCs w:val="24"/>
        </w:rPr>
        <w:t xml:space="preserve">; significant main effect of Block </w:t>
      </w:r>
      <m:oMath>
        <m:r>
          <w:rPr>
            <w:rFonts w:ascii="Cambria Math" w:hAnsi="Cambria Math" w:cstheme="minorHAnsi"/>
            <w:sz w:val="24"/>
            <w:szCs w:val="24"/>
          </w:rPr>
          <m:t>F(2,38)=61.98</m:t>
        </m:r>
      </m:oMath>
      <w:r w:rsidRPr="008D1A3F">
        <w:rPr>
          <w:rFonts w:cstheme="minorHAnsi"/>
          <w:sz w:val="24"/>
          <w:szCs w:val="24"/>
        </w:rPr>
        <w:t xml:space="preserve">, </w:t>
      </w:r>
      <m:oMath>
        <m:r>
          <w:rPr>
            <w:rFonts w:ascii="Cambria Math" w:hAnsi="Cambria Math" w:cstheme="minorHAnsi"/>
            <w:sz w:val="24"/>
            <w:szCs w:val="24"/>
          </w:rPr>
          <m:t>p&lt;.001</m:t>
        </m:r>
      </m:oMath>
      <w:r w:rsidRPr="008D1A3F">
        <w:rPr>
          <w:rFonts w:cstheme="minorHAnsi"/>
          <w:sz w:val="24"/>
          <w:szCs w:val="24"/>
        </w:rPr>
        <w:t xml:space="preserve">, but no main effect of Group </w:t>
      </w:r>
      <m:oMath>
        <m:r>
          <w:rPr>
            <w:rFonts w:ascii="Cambria Math" w:hAnsi="Cambria Math" w:cstheme="minorHAnsi"/>
            <w:sz w:val="24"/>
            <w:szCs w:val="24"/>
          </w:rPr>
          <m:t>F(1,19)=0.49</m:t>
        </m:r>
      </m:oMath>
      <w:r w:rsidRPr="008D1A3F">
        <w:rPr>
          <w:rFonts w:cstheme="minorHAnsi"/>
          <w:sz w:val="24"/>
          <w:szCs w:val="24"/>
        </w:rPr>
        <w:t xml:space="preserve">, </w:t>
      </w:r>
      <m:oMath>
        <m:r>
          <w:rPr>
            <w:rFonts w:ascii="Cambria Math" w:hAnsi="Cambria Math" w:cstheme="minorHAnsi"/>
            <w:sz w:val="24"/>
            <w:szCs w:val="24"/>
          </w:rPr>
          <m:t>p=.492</m:t>
        </m:r>
      </m:oMath>
      <w:r w:rsidRPr="008D1A3F">
        <w:rPr>
          <w:rFonts w:cstheme="minorHAnsi"/>
          <w:sz w:val="24"/>
          <w:szCs w:val="24"/>
        </w:rPr>
        <w:t xml:space="preserve">, or Group x Block interaction </w:t>
      </w:r>
      <m:oMath>
        <m:r>
          <w:rPr>
            <w:rFonts w:ascii="Cambria Math" w:hAnsi="Cambria Math" w:cstheme="minorHAnsi"/>
            <w:sz w:val="24"/>
            <w:szCs w:val="24"/>
          </w:rPr>
          <w:lastRenderedPageBreak/>
          <m:t>F(2,38)=0.31</m:t>
        </m:r>
      </m:oMath>
      <w:r w:rsidRPr="008D1A3F">
        <w:rPr>
          <w:rFonts w:cstheme="minorHAnsi"/>
          <w:sz w:val="24"/>
          <w:szCs w:val="24"/>
        </w:rPr>
        <w:t xml:space="preserve">, </w:t>
      </w:r>
      <m:oMath>
        <m:r>
          <w:rPr>
            <w:rFonts w:ascii="Cambria Math" w:hAnsi="Cambria Math" w:cstheme="minorHAnsi"/>
            <w:sz w:val="24"/>
            <w:szCs w:val="24"/>
          </w:rPr>
          <m:t>p=.738</m:t>
        </m:r>
      </m:oMath>
      <w:r w:rsidRPr="008D1A3F">
        <w:rPr>
          <w:rFonts w:cstheme="minorHAnsi"/>
          <w:sz w:val="24"/>
          <w:szCs w:val="24"/>
        </w:rPr>
        <w:t>). After surgery, the sham group continued to acquire responding, but the lesion group did not (</w:t>
      </w:r>
      <w:r w:rsidRPr="008D1A3F">
        <w:rPr>
          <w:rFonts w:cstheme="minorHAnsi"/>
          <w:sz w:val="24"/>
          <w:szCs w:val="24"/>
          <w:highlight w:val="yellow"/>
        </w:rPr>
        <w:t>Post-Surgery;</w:t>
      </w:r>
      <w:r w:rsidRPr="008D1A3F">
        <w:rPr>
          <w:rFonts w:cstheme="minorHAnsi"/>
          <w:sz w:val="24"/>
          <w:szCs w:val="24"/>
        </w:rPr>
        <w:t xml:space="preserve"> significant Group x Block interaction </w:t>
      </w:r>
      <m:oMath>
        <m:r>
          <w:rPr>
            <w:rFonts w:ascii="Cambria Math" w:hAnsi="Cambria Math" w:cstheme="minorHAnsi"/>
            <w:sz w:val="24"/>
            <w:szCs w:val="24"/>
          </w:rPr>
          <m:t>F(2,38)=6.25</m:t>
        </m:r>
      </m:oMath>
      <w:r w:rsidRPr="008D1A3F">
        <w:rPr>
          <w:rFonts w:cstheme="minorHAnsi"/>
          <w:sz w:val="24"/>
          <w:szCs w:val="24"/>
        </w:rPr>
        <w:t xml:space="preserve">, </w:t>
      </w:r>
      <m:oMath>
        <m:r>
          <w:rPr>
            <w:rFonts w:ascii="Cambria Math" w:hAnsi="Cambria Math" w:cstheme="minorHAnsi"/>
            <w:sz w:val="24"/>
            <w:szCs w:val="24"/>
          </w:rPr>
          <m:t>p=.005</m:t>
        </m:r>
      </m:oMath>
      <w:r w:rsidRPr="008D1A3F">
        <w:rPr>
          <w:rFonts w:cstheme="minorHAnsi"/>
          <w:sz w:val="24"/>
          <w:szCs w:val="24"/>
        </w:rPr>
        <w:t xml:space="preserve"> , but no main effect of Group </w:t>
      </w:r>
      <m:oMath>
        <m:r>
          <w:rPr>
            <w:rFonts w:ascii="Cambria Math" w:hAnsi="Cambria Math" w:cstheme="minorHAnsi"/>
            <w:sz w:val="24"/>
            <w:szCs w:val="24"/>
          </w:rPr>
          <m:t>F(1,19)=2.21</m:t>
        </m:r>
      </m:oMath>
      <w:r w:rsidRPr="008D1A3F">
        <w:rPr>
          <w:rFonts w:cstheme="minorHAnsi"/>
          <w:sz w:val="24"/>
          <w:szCs w:val="24"/>
        </w:rPr>
        <w:t xml:space="preserve">, </w:t>
      </w:r>
      <m:oMath>
        <m:r>
          <w:rPr>
            <w:rFonts w:ascii="Cambria Math" w:hAnsi="Cambria Math" w:cstheme="minorHAnsi"/>
            <w:sz w:val="24"/>
            <w:szCs w:val="24"/>
          </w:rPr>
          <m:t>p=.154</m:t>
        </m:r>
      </m:oMath>
      <w:r w:rsidRPr="008D1A3F">
        <w:rPr>
          <w:rFonts w:cstheme="minorHAnsi"/>
          <w:sz w:val="24"/>
          <w:szCs w:val="24"/>
        </w:rPr>
        <w:t xml:space="preserve">, or Day </w:t>
      </w:r>
      <m:oMath>
        <m:r>
          <w:rPr>
            <w:rFonts w:ascii="Cambria Math" w:hAnsi="Cambria Math" w:cstheme="minorHAnsi"/>
            <w:sz w:val="24"/>
            <w:szCs w:val="24"/>
          </w:rPr>
          <m:t>F(2,38)=0.66</m:t>
        </m:r>
      </m:oMath>
      <w:r w:rsidRPr="008D1A3F">
        <w:rPr>
          <w:rFonts w:cstheme="minorHAnsi"/>
          <w:sz w:val="24"/>
          <w:szCs w:val="24"/>
        </w:rPr>
        <w:t xml:space="preserve">, </w:t>
      </w:r>
      <m:oMath>
        <m:r>
          <w:rPr>
            <w:rFonts w:ascii="Cambria Math" w:hAnsi="Cambria Math" w:cstheme="minorHAnsi"/>
            <w:sz w:val="24"/>
            <w:szCs w:val="24"/>
          </w:rPr>
          <m:t>p=.525</m:t>
        </m:r>
      </m:oMath>
      <w:r w:rsidRPr="008D1A3F">
        <w:rPr>
          <w:rFonts w:cstheme="minorHAnsi"/>
          <w:sz w:val="24"/>
          <w:szCs w:val="24"/>
        </w:rPr>
        <w:t xml:space="preserve">). Responding in the sham control group was significantly higher than the lesion group in the final block of 3 days (Block 4 </w:t>
      </w:r>
      <m:oMath>
        <m:r>
          <w:rPr>
            <w:rFonts w:ascii="Cambria Math" w:hAnsi="Cambria Math" w:cstheme="minorHAnsi"/>
            <w:sz w:val="24"/>
            <w:szCs w:val="24"/>
          </w:rPr>
          <m:t>t(19)=-0.25</m:t>
        </m:r>
      </m:oMath>
      <w:r w:rsidRPr="008D1A3F">
        <w:rPr>
          <w:rFonts w:cstheme="minorHAnsi"/>
          <w:sz w:val="24"/>
          <w:szCs w:val="24"/>
        </w:rPr>
        <w:t xml:space="preserve">, </w:t>
      </w:r>
      <m:oMath>
        <m:r>
          <w:rPr>
            <w:rFonts w:ascii="Cambria Math" w:hAnsi="Cambria Math" w:cstheme="minorHAnsi"/>
            <w:sz w:val="24"/>
            <w:szCs w:val="24"/>
          </w:rPr>
          <m:t>p=.806</m:t>
        </m:r>
      </m:oMath>
      <w:r w:rsidRPr="008D1A3F">
        <w:rPr>
          <w:rFonts w:cstheme="minorHAnsi"/>
          <w:sz w:val="24"/>
          <w:szCs w:val="24"/>
        </w:rPr>
        <w:t xml:space="preserve">, Block 5 </w:t>
      </w:r>
      <m:oMath>
        <m:r>
          <w:rPr>
            <w:rFonts w:ascii="Cambria Math" w:hAnsi="Cambria Math" w:cstheme="minorHAnsi"/>
            <w:sz w:val="24"/>
            <w:szCs w:val="24"/>
          </w:rPr>
          <m:t>t(19)=-0.80</m:t>
        </m:r>
      </m:oMath>
      <w:r w:rsidRPr="008D1A3F">
        <w:rPr>
          <w:rFonts w:cstheme="minorHAnsi"/>
          <w:sz w:val="24"/>
          <w:szCs w:val="24"/>
        </w:rPr>
        <w:t xml:space="preserve">, </w:t>
      </w:r>
      <m:oMath>
        <m:r>
          <w:rPr>
            <w:rFonts w:ascii="Cambria Math" w:hAnsi="Cambria Math" w:cstheme="minorHAnsi"/>
            <w:sz w:val="24"/>
            <w:szCs w:val="24"/>
          </w:rPr>
          <m:t>p=.434</m:t>
        </m:r>
      </m:oMath>
      <w:r w:rsidRPr="008D1A3F">
        <w:rPr>
          <w:rFonts w:cstheme="minorHAnsi"/>
          <w:sz w:val="24"/>
          <w:szCs w:val="24"/>
        </w:rPr>
        <w:t xml:space="preserve">, Block 6 </w:t>
      </w:r>
      <m:oMath>
        <m:r>
          <w:rPr>
            <w:rFonts w:ascii="Cambria Math" w:hAnsi="Cambria Math" w:cstheme="minorHAnsi"/>
            <w:sz w:val="24"/>
            <w:szCs w:val="24"/>
          </w:rPr>
          <m:t>t(19)=-2.65</m:t>
        </m:r>
      </m:oMath>
      <w:r w:rsidRPr="008D1A3F">
        <w:rPr>
          <w:rFonts w:cstheme="minorHAnsi"/>
          <w:sz w:val="24"/>
          <w:szCs w:val="24"/>
        </w:rPr>
        <w:t xml:space="preserve">, </w:t>
      </w:r>
      <m:oMath>
        <m:r>
          <w:rPr>
            <w:rFonts w:ascii="Cambria Math" w:hAnsi="Cambria Math" w:cstheme="minorHAnsi"/>
            <w:sz w:val="24"/>
            <w:szCs w:val="24"/>
          </w:rPr>
          <m:t>p=.016</m:t>
        </m:r>
      </m:oMath>
      <w:r w:rsidRPr="008D1A3F">
        <w:rPr>
          <w:rFonts w:cstheme="minorHAnsi"/>
          <w:sz w:val="24"/>
          <w:szCs w:val="24"/>
        </w:rPr>
        <w:t xml:space="preserve">). Furthermore, further acquisition post-surgery was completely abolished in the lesion group (Lesion: no linear trend over Blocks 4-6 </w:t>
      </w:r>
      <m:oMath>
        <m:r>
          <w:rPr>
            <w:rFonts w:ascii="Cambria Math" w:hAnsi="Cambria Math" w:cstheme="minorHAnsi"/>
            <w:sz w:val="24"/>
            <w:szCs w:val="24"/>
          </w:rPr>
          <m:t>t(19)=-1.42</m:t>
        </m:r>
      </m:oMath>
      <w:r w:rsidRPr="008D1A3F">
        <w:rPr>
          <w:rFonts w:cstheme="minorHAnsi"/>
          <w:sz w:val="24"/>
          <w:szCs w:val="24"/>
        </w:rPr>
        <w:t xml:space="preserve">, </w:t>
      </w:r>
      <m:oMath>
        <m:r>
          <w:rPr>
            <w:rFonts w:ascii="Cambria Math" w:hAnsi="Cambria Math" w:cstheme="minorHAnsi"/>
            <w:sz w:val="24"/>
            <w:szCs w:val="24"/>
          </w:rPr>
          <m:t>p=.172</m:t>
        </m:r>
      </m:oMath>
      <w:r w:rsidRPr="008D1A3F">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8D1A3F">
        <w:rPr>
          <w:rFonts w:cstheme="minorHAnsi"/>
          <w:sz w:val="24"/>
          <w:szCs w:val="24"/>
        </w:rPr>
        <w:t xml:space="preserve">, </w:t>
      </w:r>
      <m:oMath>
        <m:r>
          <w:rPr>
            <w:rFonts w:ascii="Cambria Math" w:hAnsi="Cambria Math" w:cstheme="minorHAnsi"/>
            <w:sz w:val="24"/>
            <w:szCs w:val="24"/>
          </w:rPr>
          <m:t>p=.009</m:t>
        </m:r>
      </m:oMath>
      <w:r w:rsidRPr="008D1A3F">
        <w:rPr>
          <w:rFonts w:cstheme="minorHAnsi"/>
          <w:sz w:val="24"/>
          <w:szCs w:val="24"/>
        </w:rPr>
        <w:t>. Therefore, both post-training lesions and inactivation of OFC function disrupted Pavlovian acquisition.</w:t>
      </w:r>
      <w:r w:rsidR="002157C3" w:rsidRPr="008D1A3F">
        <w:rPr>
          <w:rFonts w:cstheme="minorHAnsi"/>
          <w:sz w:val="24"/>
          <w:szCs w:val="24"/>
        </w:rPr>
        <w:t xml:space="preserve"> </w:t>
      </w:r>
    </w:p>
    <w:p w14:paraId="280FEC4E" w14:textId="245559AF" w:rsidR="00215D66" w:rsidRPr="008D1A3F" w:rsidRDefault="00215D66" w:rsidP="00D622E0">
      <w:pPr>
        <w:pStyle w:val="BodyText"/>
        <w:spacing w:line="480" w:lineRule="auto"/>
        <w:rPr>
          <w:rFonts w:cstheme="minorHAnsi"/>
        </w:rPr>
      </w:pPr>
      <w:r w:rsidRPr="008D1A3F">
        <w:rPr>
          <w:rFonts w:cstheme="minorHAnsi"/>
        </w:rPr>
        <w:t xml:space="preserve">To facilitate comparisons between experiments, CS-PreCS response rates on Block 6 in the present experiment were Sham: M = 9.61, SD = 3.88, Lesion: M = 7.18, SD = 1.74. The terminal levels of responding in the sham group are </w:t>
      </w:r>
      <w:proofErr w:type="gramStart"/>
      <w:r w:rsidRPr="008D1A3F">
        <w:rPr>
          <w:rFonts w:cstheme="minorHAnsi"/>
        </w:rPr>
        <w:t>similar to</w:t>
      </w:r>
      <w:proofErr w:type="gramEnd"/>
      <w:r w:rsidRPr="008D1A3F">
        <w:rPr>
          <w:rFonts w:cstheme="minorHAnsi"/>
        </w:rPr>
        <w:t xml:space="preserve"> those of the saline group in </w:t>
      </w:r>
      <w:r w:rsidRPr="008D1A3F">
        <w:rPr>
          <w:rFonts w:cstheme="minorHAnsi"/>
          <w:highlight w:val="yellow"/>
        </w:rPr>
        <w:t>Figure 2</w:t>
      </w:r>
      <w:r w:rsidRPr="008D1A3F">
        <w:rPr>
          <w:rFonts w:cstheme="minorHAnsi"/>
        </w:rPr>
        <w:t xml:space="preserve">, and the sham group in </w:t>
      </w:r>
      <w:r w:rsidRPr="008D1A3F">
        <w:rPr>
          <w:rFonts w:cstheme="minorHAnsi"/>
          <w:highlight w:val="yellow"/>
        </w:rPr>
        <w:t>Figure 1A</w:t>
      </w:r>
      <w:r w:rsidRPr="008D1A3F">
        <w:rPr>
          <w:rFonts w:cstheme="minorHAnsi"/>
        </w:rPr>
        <w:t xml:space="preserve"> which used identical session parameters. This suggests that the present findings are also unlikely to be due to abnormally elevated levels of responding in the control groups in any one of these experiments.</w:t>
      </w:r>
    </w:p>
    <w:p w14:paraId="1D49B515" w14:textId="06074E93" w:rsidR="0037452E" w:rsidRDefault="0037452E" w:rsidP="00D622E0">
      <w:pPr>
        <w:spacing w:line="480" w:lineRule="auto"/>
        <w:rPr>
          <w:rFonts w:cstheme="minorHAnsi"/>
          <w:sz w:val="24"/>
          <w:szCs w:val="24"/>
        </w:rPr>
      </w:pPr>
      <w:r>
        <w:rPr>
          <w:rFonts w:cstheme="minorHAnsi"/>
          <w:sz w:val="24"/>
          <w:szCs w:val="24"/>
        </w:rPr>
        <w:br w:type="page"/>
      </w:r>
    </w:p>
    <w:p w14:paraId="3FA089C4" w14:textId="2DCB59E9" w:rsidR="0037452E" w:rsidRDefault="0037452E" w:rsidP="00D622E0">
      <w:pPr>
        <w:spacing w:line="480" w:lineRule="auto"/>
        <w:rPr>
          <w:rFonts w:cstheme="minorHAnsi"/>
          <w:sz w:val="24"/>
          <w:szCs w:val="24"/>
        </w:rPr>
      </w:pPr>
    </w:p>
    <w:p w14:paraId="3C51535D" w14:textId="3A4FB16A" w:rsidR="009A48F1" w:rsidRPr="00C42A81" w:rsidRDefault="00124806" w:rsidP="00D622E0">
      <w:pPr>
        <w:spacing w:line="480" w:lineRule="auto"/>
        <w:rPr>
          <w:rFonts w:cstheme="minorHAnsi"/>
          <w:sz w:val="24"/>
          <w:szCs w:val="24"/>
        </w:rPr>
      </w:pPr>
      <w:r>
        <w:rPr>
          <w:rFonts w:cstheme="minorHAnsi"/>
          <w:noProof/>
          <w:sz w:val="24"/>
          <w:szCs w:val="24"/>
        </w:rPr>
        <w:drawing>
          <wp:inline distT="0" distB="0" distL="0" distR="0" wp14:anchorId="7463E687" wp14:editId="11E5DCAE">
            <wp:extent cx="5934710" cy="39592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2BA8586C" w14:textId="34568AD3" w:rsidR="001C36CC" w:rsidRDefault="003A3D5C" w:rsidP="00D622E0">
      <w:pPr>
        <w:spacing w:after="240" w:line="480" w:lineRule="auto"/>
        <w:rPr>
          <w:rFonts w:cstheme="minorHAnsi"/>
          <w:color w:val="212121"/>
          <w:sz w:val="24"/>
          <w:szCs w:val="24"/>
          <w:shd w:val="clear" w:color="auto" w:fill="FFFFFF"/>
        </w:rPr>
      </w:pPr>
      <w:r w:rsidRPr="00C42A81">
        <w:rPr>
          <w:rFonts w:cstheme="minorHAnsi"/>
          <w:b/>
          <w:sz w:val="24"/>
          <w:szCs w:val="24"/>
        </w:rPr>
        <w:t xml:space="preserve">Figure 3. </w:t>
      </w:r>
      <w:r w:rsidR="009C1F33" w:rsidRPr="00C42A81">
        <w:rPr>
          <w:rFonts w:cstheme="minorHAnsi"/>
          <w:sz w:val="24"/>
          <w:szCs w:val="24"/>
        </w:rPr>
        <w:t xml:space="preserve">The effect of </w:t>
      </w:r>
      <w:r w:rsidR="004C2570" w:rsidRPr="00C42A81">
        <w:rPr>
          <w:rFonts w:cstheme="minorHAnsi"/>
          <w:sz w:val="24"/>
          <w:szCs w:val="24"/>
        </w:rPr>
        <w:t>OFC inactivation during acquisition on</w:t>
      </w:r>
      <w:r w:rsidR="00CF2A42" w:rsidRPr="00C42A81">
        <w:rPr>
          <w:rFonts w:cstheme="minorHAnsi"/>
          <w:sz w:val="24"/>
          <w:szCs w:val="24"/>
        </w:rPr>
        <w:t xml:space="preserve"> </w:t>
      </w:r>
      <w:r w:rsidR="004C2570" w:rsidRPr="00C42A81">
        <w:rPr>
          <w:rFonts w:cstheme="minorHAnsi"/>
          <w:sz w:val="24"/>
          <w:szCs w:val="24"/>
        </w:rPr>
        <w:t xml:space="preserve">subsequent </w:t>
      </w:r>
      <w:r w:rsidR="00CF2A42" w:rsidRPr="00C42A81">
        <w:rPr>
          <w:rFonts w:cstheme="minorHAnsi"/>
          <w:sz w:val="24"/>
          <w:szCs w:val="24"/>
        </w:rPr>
        <w:t xml:space="preserve">learning in a </w:t>
      </w:r>
      <w:r w:rsidR="004C2570" w:rsidRPr="00C42A81">
        <w:rPr>
          <w:rFonts w:cstheme="minorHAnsi"/>
          <w:sz w:val="24"/>
          <w:szCs w:val="24"/>
        </w:rPr>
        <w:t>Pavlovian blocking</w:t>
      </w:r>
      <w:r w:rsidR="00CF2A42" w:rsidRPr="00C42A81">
        <w:rPr>
          <w:rFonts w:cstheme="minorHAnsi"/>
          <w:sz w:val="24"/>
          <w:szCs w:val="24"/>
        </w:rPr>
        <w:t xml:space="preserve"> design</w:t>
      </w:r>
      <w:r w:rsidR="004C2570" w:rsidRPr="00C42A81">
        <w:rPr>
          <w:rFonts w:cstheme="minorHAnsi"/>
          <w:sz w:val="24"/>
          <w:szCs w:val="24"/>
        </w:rPr>
        <w:t>.</w:t>
      </w:r>
      <w:r w:rsidR="00CF2A42" w:rsidRPr="00C42A81">
        <w:rPr>
          <w:rFonts w:cstheme="minorHAnsi"/>
          <w:sz w:val="24"/>
          <w:szCs w:val="24"/>
        </w:rPr>
        <w:t xml:space="preserve"> </w:t>
      </w:r>
      <w:r w:rsidR="00A06D2A">
        <w:rPr>
          <w:rFonts w:cstheme="minorHAnsi"/>
          <w:sz w:val="24"/>
          <w:szCs w:val="24"/>
        </w:rPr>
        <w:t xml:space="preserve">Experiment 3: </w:t>
      </w:r>
      <w:r w:rsidR="00CF2A42" w:rsidRPr="00C42A81">
        <w:rPr>
          <w:rFonts w:cstheme="minorHAnsi"/>
          <w:sz w:val="24"/>
          <w:szCs w:val="24"/>
        </w:rPr>
        <w:t>(</w:t>
      </w:r>
      <w:r w:rsidR="00CF2A42" w:rsidRPr="00C42A81">
        <w:rPr>
          <w:rFonts w:cstheme="minorHAnsi"/>
          <w:b/>
          <w:sz w:val="24"/>
          <w:szCs w:val="24"/>
        </w:rPr>
        <w:t>A</w:t>
      </w:r>
      <w:r w:rsidR="00CF2A42" w:rsidRPr="00C42A81">
        <w:rPr>
          <w:rFonts w:cstheme="minorHAnsi"/>
          <w:sz w:val="24"/>
          <w:szCs w:val="24"/>
        </w:rPr>
        <w:t xml:space="preserve">) </w:t>
      </w:r>
      <w:r w:rsidR="007E7ECC" w:rsidRPr="00C42A81">
        <w:rPr>
          <w:rFonts w:eastAsia="Times New Roman" w:cstheme="minorHAnsi"/>
          <w:color w:val="000000"/>
          <w:sz w:val="24"/>
          <w:szCs w:val="24"/>
          <w:lang w:val="en-AU" w:eastAsia="en-AU"/>
        </w:rPr>
        <w:t xml:space="preserve">The design used to achieve blocking of learning to cue B during stage 2 by pre-training cue A in stage 1. </w:t>
      </w:r>
      <w:r w:rsidR="00607D15" w:rsidRPr="00C42A81">
        <w:rPr>
          <w:rFonts w:eastAsia="Times New Roman" w:cstheme="minorHAnsi"/>
          <w:color w:val="000000"/>
          <w:sz w:val="24"/>
          <w:szCs w:val="24"/>
          <w:lang w:val="en-AU" w:eastAsia="en-AU"/>
        </w:rPr>
        <w:t>OFC</w:t>
      </w:r>
      <w:r w:rsidR="007E7ECC" w:rsidRPr="00C42A81">
        <w:rPr>
          <w:rFonts w:eastAsia="Times New Roman" w:cstheme="minorHAnsi"/>
          <w:color w:val="000000"/>
          <w:sz w:val="24"/>
          <w:szCs w:val="24"/>
          <w:lang w:val="en-AU" w:eastAsia="en-AU"/>
        </w:rPr>
        <w:t xml:space="preserve"> infusions of saline or muscimol were performed during stage 1 after the first 4 days of initial</w:t>
      </w:r>
      <w:r w:rsidR="00607D15" w:rsidRPr="00C42A81">
        <w:rPr>
          <w:rFonts w:eastAsia="Times New Roman" w:cstheme="minorHAnsi"/>
          <w:color w:val="000000"/>
          <w:sz w:val="24"/>
          <w:szCs w:val="24"/>
          <w:lang w:val="en-AU" w:eastAsia="en-AU"/>
        </w:rPr>
        <w:t xml:space="preserve"> </w:t>
      </w:r>
      <w:r w:rsidR="007E7ECC" w:rsidRPr="00C42A81">
        <w:rPr>
          <w:rFonts w:eastAsia="Times New Roman" w:cstheme="minorHAnsi"/>
          <w:color w:val="000000"/>
          <w:sz w:val="24"/>
          <w:szCs w:val="24"/>
          <w:lang w:val="en-AU" w:eastAsia="en-AU"/>
        </w:rPr>
        <w:t>acquisition</w:t>
      </w:r>
      <w:r w:rsidR="00607D15" w:rsidRPr="00C42A81">
        <w:rPr>
          <w:rFonts w:eastAsia="Times New Roman" w:cstheme="minorHAnsi"/>
          <w:color w:val="000000"/>
          <w:sz w:val="24"/>
          <w:szCs w:val="24"/>
          <w:lang w:val="en-AU" w:eastAsia="en-AU"/>
        </w:rPr>
        <w:t xml:space="preserve"> to cue A</w:t>
      </w:r>
      <w:r w:rsidR="007E7ECC" w:rsidRPr="00C42A81">
        <w:rPr>
          <w:rFonts w:eastAsia="Times New Roman" w:cstheme="minorHAnsi"/>
          <w:color w:val="000000"/>
          <w:sz w:val="24"/>
          <w:szCs w:val="24"/>
          <w:lang w:val="en-AU" w:eastAsia="en-AU"/>
        </w:rPr>
        <w:t>. Cues A and C were always visual cues, either darkness caused by extinguishing the houselight or flashing panel lights (5Hz). Cues B and D were always auditory cues, either an 80dB white noise or a 5Hz train of clicks.</w:t>
      </w:r>
      <w:r w:rsidR="002026E0" w:rsidRPr="00C42A81">
        <w:rPr>
          <w:rFonts w:eastAsia="Times New Roman" w:cstheme="minorHAnsi"/>
          <w:color w:val="000000"/>
          <w:sz w:val="24"/>
          <w:szCs w:val="24"/>
          <w:lang w:val="en-AU" w:eastAsia="en-AU"/>
        </w:rPr>
        <w:t xml:space="preserve"> </w:t>
      </w:r>
      <w:r w:rsidR="00B439F9" w:rsidRPr="00C42A81">
        <w:rPr>
          <w:rFonts w:eastAsia="Times New Roman" w:cstheme="minorHAnsi"/>
          <w:color w:val="000000"/>
          <w:sz w:val="24"/>
          <w:szCs w:val="24"/>
          <w:lang w:val="en-AU" w:eastAsia="en-AU"/>
        </w:rPr>
        <w:t xml:space="preserve">All cues </w:t>
      </w:r>
      <w:r w:rsidR="00A2546A" w:rsidRPr="00C42A81">
        <w:rPr>
          <w:rFonts w:eastAsia="Times New Roman" w:cstheme="minorHAnsi"/>
          <w:color w:val="000000"/>
          <w:sz w:val="24"/>
          <w:szCs w:val="24"/>
          <w:lang w:val="en-AU" w:eastAsia="en-AU"/>
        </w:rPr>
        <w:t xml:space="preserve">lasted 10s, and reward was always a </w:t>
      </w:r>
      <w:r w:rsidR="00B856C5" w:rsidRPr="00C42A81">
        <w:rPr>
          <w:rFonts w:eastAsia="Times New Roman" w:cstheme="minorHAnsi"/>
          <w:color w:val="000000"/>
          <w:sz w:val="24"/>
          <w:szCs w:val="24"/>
          <w:lang w:val="en-AU" w:eastAsia="en-AU"/>
        </w:rPr>
        <w:t>single</w:t>
      </w:r>
      <w:r w:rsidR="00572D27" w:rsidRPr="00C42A81">
        <w:rPr>
          <w:rFonts w:eastAsia="Times New Roman" w:cstheme="minorHAnsi"/>
          <w:color w:val="000000"/>
          <w:sz w:val="24"/>
          <w:szCs w:val="24"/>
          <w:lang w:val="en-AU" w:eastAsia="en-AU"/>
        </w:rPr>
        <w:t xml:space="preserve"> food pellet.</w:t>
      </w:r>
      <w:r w:rsidR="00D60994" w:rsidRPr="00C42A81">
        <w:rPr>
          <w:rFonts w:eastAsia="Times New Roman" w:cstheme="minorHAnsi"/>
          <w:color w:val="000000"/>
          <w:sz w:val="24"/>
          <w:szCs w:val="24"/>
          <w:lang w:val="en-AU" w:eastAsia="en-AU"/>
        </w:rPr>
        <w:t xml:space="preserve"> </w:t>
      </w:r>
      <w:r w:rsidR="0091550E" w:rsidRPr="00C42A81">
        <w:rPr>
          <w:rFonts w:eastAsia="Times New Roman" w:cstheme="minorHAnsi"/>
          <w:color w:val="000000"/>
          <w:sz w:val="24"/>
          <w:szCs w:val="24"/>
          <w:lang w:val="en-AU" w:eastAsia="en-AU"/>
        </w:rPr>
        <w:t xml:space="preserve">Cannulae placements depicted in </w:t>
      </w:r>
      <w:r w:rsidR="0091550E" w:rsidRPr="00C42A81">
        <w:rPr>
          <w:rFonts w:eastAsia="Times New Roman" w:cstheme="minorHAnsi"/>
          <w:color w:val="000000"/>
          <w:sz w:val="24"/>
          <w:szCs w:val="24"/>
          <w:highlight w:val="yellow"/>
          <w:lang w:val="en-AU" w:eastAsia="en-AU"/>
        </w:rPr>
        <w:t xml:space="preserve">Figure 3-figure supplement </w:t>
      </w:r>
      <w:r w:rsidR="00865AC7">
        <w:rPr>
          <w:rFonts w:eastAsia="Times New Roman" w:cstheme="minorHAnsi"/>
          <w:color w:val="000000"/>
          <w:sz w:val="24"/>
          <w:szCs w:val="24"/>
          <w:lang w:val="en-AU" w:eastAsia="en-AU"/>
        </w:rPr>
        <w:t>3</w:t>
      </w:r>
      <w:r w:rsidR="0091550E" w:rsidRPr="00C42A81">
        <w:rPr>
          <w:rFonts w:eastAsia="Times New Roman" w:cstheme="minorHAnsi"/>
          <w:color w:val="000000"/>
          <w:sz w:val="24"/>
          <w:szCs w:val="24"/>
          <w:lang w:val="en-AU" w:eastAsia="en-AU"/>
        </w:rPr>
        <w:t>.</w:t>
      </w:r>
      <w:r w:rsidR="001B37F0" w:rsidRPr="00C42A81">
        <w:rPr>
          <w:rFonts w:eastAsia="Times New Roman" w:cstheme="minorHAnsi"/>
          <w:color w:val="000000"/>
          <w:sz w:val="24"/>
          <w:szCs w:val="24"/>
          <w:lang w:val="en-AU" w:eastAsia="en-AU"/>
        </w:rPr>
        <w:t xml:space="preserve"> </w:t>
      </w:r>
      <w:r w:rsidR="002026E0" w:rsidRPr="00C42A81">
        <w:rPr>
          <w:rFonts w:eastAsia="Times New Roman" w:cstheme="minorHAnsi"/>
          <w:color w:val="000000"/>
          <w:sz w:val="24"/>
          <w:szCs w:val="24"/>
          <w:lang w:val="en-AU" w:eastAsia="en-AU"/>
        </w:rPr>
        <w:t>(</w:t>
      </w:r>
      <w:r w:rsidR="002026E0" w:rsidRPr="00C42A81">
        <w:rPr>
          <w:rFonts w:eastAsia="Times New Roman" w:cstheme="minorHAnsi"/>
          <w:b/>
          <w:color w:val="000000"/>
          <w:sz w:val="24"/>
          <w:szCs w:val="24"/>
          <w:lang w:val="en-AU" w:eastAsia="en-AU"/>
        </w:rPr>
        <w:t>B</w:t>
      </w:r>
      <w:r w:rsidR="002026E0" w:rsidRPr="00C42A81">
        <w:rPr>
          <w:rFonts w:eastAsia="Times New Roman" w:cstheme="minorHAnsi"/>
          <w:color w:val="000000"/>
          <w:sz w:val="24"/>
          <w:szCs w:val="24"/>
          <w:lang w:val="en-AU" w:eastAsia="en-AU"/>
        </w:rPr>
        <w:t>)</w:t>
      </w:r>
      <w:r w:rsidR="001A3713" w:rsidRPr="00C42A81">
        <w:rPr>
          <w:rFonts w:eastAsia="Times New Roman" w:cstheme="minorHAnsi"/>
          <w:color w:val="000000"/>
          <w:sz w:val="24"/>
          <w:szCs w:val="24"/>
          <w:lang w:val="en-AU" w:eastAsia="en-AU"/>
        </w:rPr>
        <w:t xml:space="preserve"> </w:t>
      </w:r>
      <w:r w:rsidR="00793A4A" w:rsidRPr="00C42A81">
        <w:rPr>
          <w:rFonts w:eastAsia="Times New Roman" w:cstheme="minorHAnsi"/>
          <w:color w:val="000000"/>
          <w:sz w:val="24"/>
          <w:szCs w:val="24"/>
          <w:lang w:val="en-AU" w:eastAsia="en-AU"/>
        </w:rPr>
        <w:t>Pavlovian a</w:t>
      </w:r>
      <w:r w:rsidR="008478A8" w:rsidRPr="00C42A81">
        <w:rPr>
          <w:rFonts w:eastAsia="Times New Roman" w:cstheme="minorHAnsi"/>
          <w:color w:val="000000"/>
          <w:sz w:val="24"/>
          <w:szCs w:val="24"/>
          <w:lang w:val="en-AU" w:eastAsia="en-AU"/>
        </w:rPr>
        <w:t xml:space="preserve">cquisition </w:t>
      </w:r>
      <w:r w:rsidR="00793A4A" w:rsidRPr="00C42A81">
        <w:rPr>
          <w:rFonts w:eastAsia="Times New Roman" w:cstheme="minorHAnsi"/>
          <w:color w:val="000000"/>
          <w:sz w:val="24"/>
          <w:szCs w:val="24"/>
          <w:lang w:val="en-AU" w:eastAsia="en-AU"/>
        </w:rPr>
        <w:t>to cue</w:t>
      </w:r>
      <w:r w:rsidR="008478A8" w:rsidRPr="00C42A81">
        <w:rPr>
          <w:rFonts w:eastAsia="Times New Roman" w:cstheme="minorHAnsi"/>
          <w:color w:val="000000"/>
          <w:sz w:val="24"/>
          <w:szCs w:val="24"/>
          <w:lang w:val="en-AU" w:eastAsia="en-AU"/>
        </w:rPr>
        <w:t xml:space="preserve"> A</w:t>
      </w:r>
      <w:r w:rsidR="00793A4A" w:rsidRPr="00C42A81">
        <w:rPr>
          <w:rFonts w:eastAsia="Times New Roman" w:cstheme="minorHAnsi"/>
          <w:color w:val="000000"/>
          <w:sz w:val="24"/>
          <w:szCs w:val="24"/>
          <w:lang w:val="en-AU" w:eastAsia="en-AU"/>
        </w:rPr>
        <w:t xml:space="preserve"> over 10 days</w:t>
      </w:r>
      <w:r w:rsidR="00910730" w:rsidRPr="00C42A81">
        <w:rPr>
          <w:rFonts w:eastAsia="Times New Roman" w:cstheme="minorHAnsi"/>
          <w:color w:val="000000"/>
          <w:sz w:val="24"/>
          <w:szCs w:val="24"/>
          <w:lang w:val="en-AU" w:eastAsia="en-AU"/>
        </w:rPr>
        <w:t xml:space="preserve">, with intact </w:t>
      </w:r>
      <w:r w:rsidR="00F009F3" w:rsidRPr="00C42A81">
        <w:rPr>
          <w:rFonts w:eastAsia="Times New Roman" w:cstheme="minorHAnsi"/>
          <w:color w:val="000000"/>
          <w:sz w:val="24"/>
          <w:szCs w:val="24"/>
          <w:lang w:val="en-AU" w:eastAsia="en-AU"/>
        </w:rPr>
        <w:t xml:space="preserve">OFC (days 1-4) and following infusion of saline or muscimol to functionally inactivate the </w:t>
      </w:r>
      <w:r w:rsidR="00F009F3" w:rsidRPr="00C42A81">
        <w:rPr>
          <w:rFonts w:eastAsia="Times New Roman" w:cstheme="minorHAnsi"/>
          <w:color w:val="000000"/>
          <w:sz w:val="24"/>
          <w:szCs w:val="24"/>
          <w:lang w:val="en-AU" w:eastAsia="en-AU"/>
        </w:rPr>
        <w:lastRenderedPageBreak/>
        <w:t>OFC (</w:t>
      </w:r>
      <w:r w:rsidR="00C82859" w:rsidRPr="00C42A81">
        <w:rPr>
          <w:rFonts w:eastAsia="Times New Roman" w:cstheme="minorHAnsi"/>
          <w:color w:val="000000"/>
          <w:sz w:val="24"/>
          <w:szCs w:val="24"/>
          <w:lang w:val="en-AU" w:eastAsia="en-AU"/>
        </w:rPr>
        <w:t>days 5-10). Muscimol infusions significantly suppressed responding to cue A</w:t>
      </w:r>
      <w:r w:rsidR="00E152E3" w:rsidRPr="00C42A81">
        <w:rPr>
          <w:rFonts w:eastAsia="Times New Roman" w:cstheme="minorHAnsi"/>
          <w:color w:val="000000"/>
          <w:sz w:val="24"/>
          <w:szCs w:val="24"/>
          <w:lang w:val="en-AU" w:eastAsia="en-AU"/>
        </w:rPr>
        <w:t>. (</w:t>
      </w:r>
      <w:r w:rsidR="00E152E3" w:rsidRPr="00C42A81">
        <w:rPr>
          <w:rFonts w:eastAsia="Times New Roman" w:cstheme="minorHAnsi"/>
          <w:b/>
          <w:color w:val="000000"/>
          <w:sz w:val="24"/>
          <w:szCs w:val="24"/>
          <w:lang w:val="en-AU" w:eastAsia="en-AU"/>
        </w:rPr>
        <w:t>C</w:t>
      </w:r>
      <w:r w:rsidR="00E152E3" w:rsidRPr="00C42A81">
        <w:rPr>
          <w:rFonts w:eastAsia="Times New Roman" w:cstheme="minorHAnsi"/>
          <w:color w:val="000000"/>
          <w:sz w:val="24"/>
          <w:szCs w:val="24"/>
          <w:lang w:val="en-AU" w:eastAsia="en-AU"/>
        </w:rPr>
        <w:t xml:space="preserve">) </w:t>
      </w:r>
      <w:r w:rsidR="00D22151" w:rsidRPr="00C42A81">
        <w:rPr>
          <w:rFonts w:eastAsia="Times New Roman" w:cstheme="minorHAnsi"/>
          <w:color w:val="000000"/>
          <w:sz w:val="24"/>
          <w:szCs w:val="24"/>
          <w:lang w:val="en-AU" w:eastAsia="en-AU"/>
        </w:rPr>
        <w:t xml:space="preserve">Performance during stage 2 of blocking </w:t>
      </w:r>
      <w:r w:rsidR="005C7205" w:rsidRPr="00C42A81">
        <w:rPr>
          <w:rFonts w:eastAsia="Times New Roman" w:cstheme="minorHAnsi"/>
          <w:color w:val="000000"/>
          <w:sz w:val="24"/>
          <w:szCs w:val="24"/>
          <w:lang w:val="en-AU" w:eastAsia="en-AU"/>
        </w:rPr>
        <w:t xml:space="preserve">to cue compounds AB and CD </w:t>
      </w:r>
      <w:r w:rsidR="00D22151" w:rsidRPr="00C42A81">
        <w:rPr>
          <w:rFonts w:eastAsia="Times New Roman" w:cstheme="minorHAnsi"/>
          <w:color w:val="000000"/>
          <w:sz w:val="24"/>
          <w:szCs w:val="24"/>
          <w:lang w:val="en-AU" w:eastAsia="en-AU"/>
        </w:rPr>
        <w:t>in the saline (</w:t>
      </w:r>
      <w:r w:rsidR="00A854A0" w:rsidRPr="00C42A81">
        <w:rPr>
          <w:rFonts w:eastAsia="Times New Roman" w:cstheme="minorHAnsi"/>
          <w:color w:val="000000"/>
          <w:sz w:val="24"/>
          <w:szCs w:val="24"/>
          <w:lang w:val="en-AU" w:eastAsia="en-AU"/>
        </w:rPr>
        <w:t>left) and muscimol (right) infusion groups.</w:t>
      </w:r>
      <w:r w:rsidR="004F457A" w:rsidRPr="00C42A81">
        <w:rPr>
          <w:rFonts w:eastAsia="Times New Roman" w:cstheme="minorHAnsi"/>
          <w:color w:val="000000"/>
          <w:sz w:val="24"/>
          <w:szCs w:val="24"/>
          <w:lang w:val="en-AU" w:eastAsia="en-AU"/>
        </w:rPr>
        <w:t xml:space="preserve"> </w:t>
      </w:r>
      <w:r w:rsidR="006117EC">
        <w:rPr>
          <w:rFonts w:eastAsia="Times New Roman" w:cstheme="minorHAnsi"/>
          <w:color w:val="000000"/>
          <w:sz w:val="24"/>
          <w:szCs w:val="24"/>
          <w:lang w:val="en-AU" w:eastAsia="en-AU"/>
        </w:rPr>
        <w:t>A f</w:t>
      </w:r>
      <w:r w:rsidR="00B65C90">
        <w:rPr>
          <w:rFonts w:eastAsia="Times New Roman" w:cstheme="minorHAnsi"/>
          <w:color w:val="000000"/>
          <w:sz w:val="24"/>
          <w:szCs w:val="24"/>
          <w:lang w:val="en-AU" w:eastAsia="en-AU"/>
        </w:rPr>
        <w:t>ocused analysis of responding within Day 12</w:t>
      </w:r>
      <w:r w:rsidR="00D06778">
        <w:rPr>
          <w:rFonts w:eastAsia="Times New Roman" w:cstheme="minorHAnsi"/>
          <w:color w:val="000000"/>
          <w:sz w:val="24"/>
          <w:szCs w:val="24"/>
          <w:lang w:val="en-AU" w:eastAsia="en-AU"/>
        </w:rPr>
        <w:t xml:space="preserve"> is</w:t>
      </w:r>
      <w:r w:rsidR="00B65C90">
        <w:rPr>
          <w:rFonts w:eastAsia="Times New Roman" w:cstheme="minorHAnsi"/>
          <w:color w:val="000000"/>
          <w:sz w:val="24"/>
          <w:szCs w:val="24"/>
          <w:lang w:val="en-AU" w:eastAsia="en-AU"/>
        </w:rPr>
        <w:t xml:space="preserve"> presented in </w:t>
      </w:r>
      <w:r w:rsidR="00B65C90" w:rsidRPr="00C42A81">
        <w:rPr>
          <w:rFonts w:eastAsia="Times New Roman" w:cstheme="minorHAnsi"/>
          <w:color w:val="000000"/>
          <w:sz w:val="24"/>
          <w:szCs w:val="24"/>
          <w:highlight w:val="yellow"/>
          <w:lang w:val="en-AU" w:eastAsia="en-AU"/>
        </w:rPr>
        <w:t>Figure 3-figure supplement</w:t>
      </w:r>
      <w:r w:rsidR="00B65C90">
        <w:rPr>
          <w:rFonts w:eastAsia="Times New Roman" w:cstheme="minorHAnsi"/>
          <w:color w:val="000000"/>
          <w:sz w:val="24"/>
          <w:szCs w:val="24"/>
          <w:highlight w:val="yellow"/>
          <w:lang w:val="en-AU" w:eastAsia="en-AU"/>
        </w:rPr>
        <w:t xml:space="preserve"> 4</w:t>
      </w:r>
      <w:r w:rsidR="00D06778">
        <w:rPr>
          <w:rFonts w:eastAsia="Times New Roman" w:cstheme="minorHAnsi"/>
          <w:color w:val="000000"/>
          <w:sz w:val="24"/>
          <w:szCs w:val="24"/>
          <w:highlight w:val="yellow"/>
          <w:lang w:val="en-AU" w:eastAsia="en-AU"/>
        </w:rPr>
        <w:t>.</w:t>
      </w:r>
      <w:r w:rsidR="00B65C90" w:rsidRPr="00C42A81">
        <w:rPr>
          <w:rFonts w:eastAsia="Times New Roman" w:cstheme="minorHAnsi"/>
          <w:color w:val="000000"/>
          <w:sz w:val="24"/>
          <w:szCs w:val="24"/>
          <w:highlight w:val="yellow"/>
          <w:lang w:val="en-AU" w:eastAsia="en-AU"/>
        </w:rPr>
        <w:t xml:space="preserve"> </w:t>
      </w:r>
      <w:r w:rsidR="005C7205" w:rsidRPr="00C42A81">
        <w:rPr>
          <w:rFonts w:eastAsia="Times New Roman" w:cstheme="minorHAnsi"/>
          <w:color w:val="000000"/>
          <w:sz w:val="24"/>
          <w:szCs w:val="24"/>
          <w:lang w:val="en-AU" w:eastAsia="en-AU"/>
        </w:rPr>
        <w:t>(</w:t>
      </w:r>
      <w:r w:rsidR="005C7205" w:rsidRPr="00C42A81">
        <w:rPr>
          <w:rFonts w:eastAsia="Times New Roman" w:cstheme="minorHAnsi"/>
          <w:b/>
          <w:color w:val="000000"/>
          <w:sz w:val="24"/>
          <w:szCs w:val="24"/>
          <w:lang w:val="en-AU" w:eastAsia="en-AU"/>
        </w:rPr>
        <w:t>D</w:t>
      </w:r>
      <w:r w:rsidR="005C7205" w:rsidRPr="00C42A81">
        <w:rPr>
          <w:rFonts w:eastAsia="Times New Roman" w:cstheme="minorHAnsi"/>
          <w:color w:val="000000"/>
          <w:sz w:val="24"/>
          <w:szCs w:val="24"/>
          <w:lang w:val="en-AU" w:eastAsia="en-AU"/>
        </w:rPr>
        <w:t xml:space="preserve">) </w:t>
      </w:r>
      <w:r w:rsidR="003228DC" w:rsidRPr="00C42A81">
        <w:rPr>
          <w:rFonts w:eastAsia="Times New Roman" w:cstheme="minorHAnsi"/>
          <w:color w:val="000000"/>
          <w:sz w:val="24"/>
          <w:szCs w:val="24"/>
          <w:lang w:val="en-AU" w:eastAsia="en-AU"/>
        </w:rPr>
        <w:t>Responding</w:t>
      </w:r>
      <w:r w:rsidR="00802FF4" w:rsidRPr="00C42A81">
        <w:rPr>
          <w:rFonts w:eastAsia="Times New Roman" w:cstheme="minorHAnsi"/>
          <w:color w:val="000000"/>
          <w:sz w:val="24"/>
          <w:szCs w:val="24"/>
          <w:lang w:val="en-AU" w:eastAsia="en-AU"/>
        </w:rPr>
        <w:t xml:space="preserve"> </w:t>
      </w:r>
      <w:r w:rsidR="004259A5" w:rsidRPr="00C42A81">
        <w:rPr>
          <w:rFonts w:eastAsia="Times New Roman" w:cstheme="minorHAnsi"/>
          <w:color w:val="000000"/>
          <w:sz w:val="24"/>
          <w:szCs w:val="24"/>
          <w:lang w:val="en-AU" w:eastAsia="en-AU"/>
        </w:rPr>
        <w:t xml:space="preserve">during an extinction test to </w:t>
      </w:r>
      <w:r w:rsidR="004954DC" w:rsidRPr="00C42A81">
        <w:rPr>
          <w:rFonts w:eastAsia="Times New Roman" w:cstheme="minorHAnsi"/>
          <w:color w:val="000000"/>
          <w:sz w:val="24"/>
          <w:szCs w:val="24"/>
          <w:lang w:val="en-AU" w:eastAsia="en-AU"/>
        </w:rPr>
        <w:t xml:space="preserve">“blocked” cue B and the </w:t>
      </w:r>
      <w:r w:rsidR="00FA5199" w:rsidRPr="00C42A81">
        <w:rPr>
          <w:rFonts w:eastAsia="Times New Roman" w:cstheme="minorHAnsi"/>
          <w:color w:val="000000"/>
          <w:sz w:val="24"/>
          <w:szCs w:val="24"/>
          <w:lang w:val="en-AU" w:eastAsia="en-AU"/>
        </w:rPr>
        <w:t xml:space="preserve">overshadowing control cue D. </w:t>
      </w:r>
      <w:r w:rsidR="00FC703F" w:rsidRPr="00C42A81">
        <w:rPr>
          <w:rFonts w:eastAsia="Times New Roman" w:cstheme="minorHAnsi"/>
          <w:color w:val="000000"/>
          <w:sz w:val="24"/>
          <w:szCs w:val="24"/>
          <w:highlight w:val="yellow"/>
          <w:lang w:val="en-AU" w:eastAsia="en-AU"/>
        </w:rPr>
        <w:t xml:space="preserve">Figure </w:t>
      </w:r>
      <w:r w:rsidR="00A1222D" w:rsidRPr="00C42A81">
        <w:rPr>
          <w:rFonts w:eastAsia="Times New Roman" w:cstheme="minorHAnsi"/>
          <w:color w:val="000000"/>
          <w:sz w:val="24"/>
          <w:szCs w:val="24"/>
          <w:highlight w:val="yellow"/>
          <w:lang w:val="en-AU" w:eastAsia="en-AU"/>
        </w:rPr>
        <w:t>3</w:t>
      </w:r>
      <w:r w:rsidR="00FC703F" w:rsidRPr="00C42A81">
        <w:rPr>
          <w:rFonts w:eastAsia="Times New Roman" w:cstheme="minorHAnsi"/>
          <w:color w:val="000000"/>
          <w:sz w:val="24"/>
          <w:szCs w:val="24"/>
          <w:highlight w:val="yellow"/>
          <w:lang w:val="en-AU" w:eastAsia="en-AU"/>
        </w:rPr>
        <w:t xml:space="preserve">-figure supplement </w:t>
      </w:r>
      <w:r w:rsidR="0004116D">
        <w:rPr>
          <w:rFonts w:eastAsia="Times New Roman" w:cstheme="minorHAnsi"/>
          <w:color w:val="000000"/>
          <w:sz w:val="24"/>
          <w:szCs w:val="24"/>
          <w:lang w:val="en-AU" w:eastAsia="en-AU"/>
        </w:rPr>
        <w:t>5</w:t>
      </w:r>
      <w:r w:rsidR="00FC703F" w:rsidRPr="00C42A81">
        <w:rPr>
          <w:rFonts w:eastAsia="Times New Roman" w:cstheme="minorHAnsi"/>
          <w:color w:val="000000"/>
          <w:sz w:val="24"/>
          <w:szCs w:val="24"/>
          <w:lang w:val="en-AU" w:eastAsia="en-AU"/>
        </w:rPr>
        <w:t xml:space="preserve"> shows subsequent reacquisition to cues B and A to assess possible differences in attention</w:t>
      </w:r>
      <w:r w:rsidR="00F03AE6" w:rsidRPr="00C42A81">
        <w:rPr>
          <w:rFonts w:eastAsia="Times New Roman" w:cstheme="minorHAnsi"/>
          <w:color w:val="000000"/>
          <w:sz w:val="24"/>
          <w:szCs w:val="24"/>
          <w:lang w:val="en-AU" w:eastAsia="en-AU"/>
        </w:rPr>
        <w:t xml:space="preserve">al strategies between the saline and muscimol group. </w:t>
      </w:r>
      <w:r w:rsidR="0046265D" w:rsidRPr="00C42A81">
        <w:rPr>
          <w:rFonts w:eastAsia="Times New Roman" w:cstheme="minorHAnsi"/>
          <w:color w:val="000000"/>
          <w:sz w:val="24"/>
          <w:szCs w:val="24"/>
          <w:lang w:val="en-AU" w:eastAsia="en-AU"/>
        </w:rPr>
        <w:t xml:space="preserve">Significantly reduced responding to </w:t>
      </w:r>
      <w:r w:rsidR="00B94895" w:rsidRPr="00C42A81">
        <w:rPr>
          <w:rFonts w:eastAsia="Times New Roman" w:cstheme="minorHAnsi"/>
          <w:color w:val="000000"/>
          <w:sz w:val="24"/>
          <w:szCs w:val="24"/>
          <w:lang w:val="en-AU" w:eastAsia="en-AU"/>
        </w:rPr>
        <w:t>cue B relative to cue D indicates that learning about cue A effectively blocked subsequent learning to cue B in both the muscimol and saline groups.</w:t>
      </w:r>
      <w:r w:rsidR="00BD6C1E" w:rsidRPr="00C42A81">
        <w:rPr>
          <w:rFonts w:eastAsia="Times New Roman" w:cstheme="minorHAnsi"/>
          <w:color w:val="000000"/>
          <w:sz w:val="24"/>
          <w:szCs w:val="24"/>
          <w:lang w:val="en-AU" w:eastAsia="en-AU"/>
        </w:rPr>
        <w:t xml:space="preserve"> </w:t>
      </w:r>
      <w:r w:rsidR="000D38F0" w:rsidRPr="00C42A81">
        <w:rPr>
          <w:rFonts w:cstheme="minorHAnsi"/>
          <w:color w:val="212121"/>
          <w:sz w:val="24"/>
          <w:szCs w:val="24"/>
          <w:shd w:val="clear" w:color="auto" w:fill="FFFFFF"/>
        </w:rPr>
        <w:t xml:space="preserve">Pavlovian responding </w:t>
      </w:r>
      <w:r w:rsidR="00910730" w:rsidRPr="00C42A81">
        <w:rPr>
          <w:rFonts w:cstheme="minorHAnsi"/>
          <w:color w:val="212121"/>
          <w:sz w:val="24"/>
          <w:szCs w:val="24"/>
          <w:shd w:val="clear" w:color="auto" w:fill="FFFFFF"/>
        </w:rPr>
        <w:t xml:space="preserve">quantified by the rate </w:t>
      </w:r>
      <w:r w:rsidR="00793A4A" w:rsidRPr="00C42A81">
        <w:rPr>
          <w:rFonts w:cstheme="minorHAnsi"/>
          <w:color w:val="212121"/>
          <w:sz w:val="24"/>
          <w:szCs w:val="24"/>
          <w:shd w:val="clear" w:color="auto" w:fill="FFFFFF"/>
        </w:rPr>
        <w:t>of discriminative responding (CS-PreCS). Error bars depict ± SEM.</w:t>
      </w:r>
    </w:p>
    <w:p w14:paraId="00BA57F7" w14:textId="429EDA2B" w:rsidR="001C36CC" w:rsidRDefault="001C36CC" w:rsidP="00D622E0">
      <w:pPr>
        <w:spacing w:line="480" w:lineRule="auto"/>
        <w:rPr>
          <w:rFonts w:cstheme="minorHAnsi"/>
          <w:color w:val="212121"/>
          <w:sz w:val="24"/>
          <w:szCs w:val="24"/>
          <w:shd w:val="clear" w:color="auto" w:fill="FFFFFF"/>
        </w:rPr>
      </w:pPr>
    </w:p>
    <w:p w14:paraId="07CD54E8" w14:textId="77777777" w:rsidR="001C36CC" w:rsidRPr="00C42A81" w:rsidRDefault="001C36CC" w:rsidP="00D622E0">
      <w:pPr>
        <w:spacing w:line="480" w:lineRule="auto"/>
        <w:rPr>
          <w:rFonts w:cstheme="minorHAnsi"/>
          <w:b/>
          <w:sz w:val="24"/>
          <w:szCs w:val="24"/>
        </w:rPr>
      </w:pPr>
      <w:r>
        <w:rPr>
          <w:rFonts w:cstheme="minorHAnsi"/>
          <w:b/>
          <w:noProof/>
          <w:sz w:val="24"/>
          <w:szCs w:val="24"/>
        </w:rPr>
        <w:lastRenderedPageBreak/>
        <w:drawing>
          <wp:inline distT="0" distB="0" distL="0" distR="0" wp14:anchorId="41E5FA89" wp14:editId="2EC92A52">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6B3F0845" w14:textId="11824E0C" w:rsidR="001C36CC" w:rsidRDefault="001C36CC" w:rsidP="00D622E0">
      <w:pPr>
        <w:spacing w:line="480" w:lineRule="auto"/>
        <w:rPr>
          <w:rFonts w:cstheme="minorHAnsi"/>
          <w:sz w:val="24"/>
          <w:szCs w:val="24"/>
        </w:rPr>
      </w:pPr>
      <w:r w:rsidRPr="00C42A81">
        <w:rPr>
          <w:rFonts w:cstheme="minorHAnsi"/>
          <w:b/>
          <w:sz w:val="24"/>
          <w:szCs w:val="24"/>
        </w:rPr>
        <w:t xml:space="preserve">Figure </w:t>
      </w:r>
      <w:r>
        <w:rPr>
          <w:rFonts w:cstheme="minorHAnsi"/>
          <w:b/>
          <w:sz w:val="24"/>
          <w:szCs w:val="24"/>
        </w:rPr>
        <w:t>3</w:t>
      </w:r>
      <w:r w:rsidRPr="00C42A81">
        <w:rPr>
          <w:rFonts w:cstheme="minorHAnsi"/>
          <w:b/>
          <w:sz w:val="24"/>
          <w:szCs w:val="24"/>
        </w:rPr>
        <w:t xml:space="preserve">-figure supplement </w:t>
      </w:r>
      <w:r>
        <w:rPr>
          <w:rFonts w:cstheme="minorHAnsi"/>
          <w:b/>
          <w:sz w:val="24"/>
          <w:szCs w:val="24"/>
        </w:rPr>
        <w:t>1</w:t>
      </w:r>
      <w:r w:rsidRPr="00C42A81">
        <w:rPr>
          <w:rFonts w:cstheme="minorHAnsi"/>
          <w:b/>
          <w:sz w:val="24"/>
          <w:szCs w:val="24"/>
        </w:rPr>
        <w:t>.</w:t>
      </w:r>
      <w:r w:rsidRPr="00C42A81">
        <w:rPr>
          <w:rFonts w:cstheme="minorHAnsi"/>
          <w:sz w:val="24"/>
          <w:szCs w:val="24"/>
        </w:rPr>
        <w:t xml:space="preserve"> </w:t>
      </w:r>
      <w:r w:rsidR="00EC666E">
        <w:rPr>
          <w:rFonts w:cstheme="minorHAnsi"/>
          <w:color w:val="212121"/>
          <w:sz w:val="24"/>
          <w:szCs w:val="24"/>
          <w:shd w:val="clear" w:color="auto" w:fill="FFFFFF"/>
        </w:rPr>
        <w:t xml:space="preserve">Supplementary Experiment 2: </w:t>
      </w:r>
      <w:r w:rsidRPr="00C42A81">
        <w:rPr>
          <w:rFonts w:cstheme="minorHAnsi"/>
          <w:sz w:val="24"/>
          <w:szCs w:val="24"/>
        </w:rPr>
        <w:t>Photomicrograph of representative OFC cannulae placement (top) in the saline (left) and muscimol (right) infusion groups</w:t>
      </w:r>
      <w:r w:rsidR="005457A4">
        <w:rPr>
          <w:rFonts w:cstheme="minorHAnsi"/>
          <w:sz w:val="24"/>
          <w:szCs w:val="24"/>
        </w:rPr>
        <w:t xml:space="preserve"> </w:t>
      </w:r>
      <w:r w:rsidR="001B63C3">
        <w:rPr>
          <w:rFonts w:cstheme="minorHAnsi"/>
          <w:sz w:val="24"/>
          <w:szCs w:val="24"/>
        </w:rPr>
        <w:t xml:space="preserve">(associated behavioural data presented in </w:t>
      </w:r>
      <w:r w:rsidR="001B63C3" w:rsidRPr="00C42A81">
        <w:rPr>
          <w:rFonts w:cstheme="minorHAnsi"/>
          <w:color w:val="212121"/>
          <w:sz w:val="24"/>
          <w:szCs w:val="24"/>
          <w:u w:val="single"/>
          <w:shd w:val="clear" w:color="auto" w:fill="FFFFFF"/>
        </w:rPr>
        <w:t xml:space="preserve">Figure </w:t>
      </w:r>
      <w:r w:rsidR="001B63C3">
        <w:rPr>
          <w:rFonts w:cstheme="minorHAnsi"/>
          <w:color w:val="212121"/>
          <w:sz w:val="24"/>
          <w:szCs w:val="24"/>
          <w:u w:val="single"/>
          <w:shd w:val="clear" w:color="auto" w:fill="FFFFFF"/>
        </w:rPr>
        <w:t>3</w:t>
      </w:r>
      <w:r w:rsidR="001B63C3" w:rsidRPr="00C42A81">
        <w:rPr>
          <w:rFonts w:cstheme="minorHAnsi"/>
          <w:color w:val="212121"/>
          <w:sz w:val="24"/>
          <w:szCs w:val="24"/>
          <w:u w:val="single"/>
          <w:shd w:val="clear" w:color="auto" w:fill="FFFFFF"/>
        </w:rPr>
        <w:t xml:space="preserve">-figure supplement </w:t>
      </w:r>
      <w:r w:rsidR="001B63C3">
        <w:rPr>
          <w:rFonts w:cstheme="minorHAnsi"/>
          <w:color w:val="212121"/>
          <w:sz w:val="24"/>
          <w:szCs w:val="24"/>
          <w:u w:val="single"/>
          <w:shd w:val="clear" w:color="auto" w:fill="FFFFFF"/>
        </w:rPr>
        <w:t>1</w:t>
      </w:r>
      <w:r w:rsidR="001B63C3">
        <w:rPr>
          <w:rFonts w:cstheme="minorHAnsi"/>
          <w:color w:val="212121"/>
          <w:sz w:val="24"/>
          <w:szCs w:val="24"/>
          <w:shd w:val="clear" w:color="auto" w:fill="FFFFFF"/>
        </w:rPr>
        <w:t>)</w:t>
      </w:r>
      <w:r w:rsidRPr="00C42A81">
        <w:rPr>
          <w:rFonts w:cstheme="minorHAnsi"/>
          <w:sz w:val="24"/>
          <w:szCs w:val="24"/>
        </w:rPr>
        <w:t xml:space="preserve">. Coronal slice </w:t>
      </w:r>
      <w:r w:rsidRPr="00C42A81">
        <w:rPr>
          <w:rFonts w:cstheme="minorHAnsi"/>
          <w:sz w:val="24"/>
          <w:szCs w:val="24"/>
        </w:rPr>
        <w:lastRenderedPageBreak/>
        <w:t>located approximately +4.20 mm anterior to bregma. Cannulae tip (bottom) location of all subjects in the saline (empty circles) and muscimol (filled circles) groups. Coronal sections are identified in mm relative to bregma (Paxinos and Watson, 1997).</w:t>
      </w:r>
    </w:p>
    <w:p w14:paraId="1B8CC233" w14:textId="16B9A45B" w:rsidR="001C36CC" w:rsidRDefault="001C36CC" w:rsidP="00D622E0">
      <w:pPr>
        <w:spacing w:line="480" w:lineRule="auto"/>
        <w:rPr>
          <w:rFonts w:cstheme="minorHAnsi"/>
          <w:sz w:val="24"/>
          <w:szCs w:val="24"/>
        </w:rPr>
      </w:pPr>
      <w:r>
        <w:rPr>
          <w:rFonts w:cstheme="minorHAnsi"/>
          <w:sz w:val="24"/>
          <w:szCs w:val="24"/>
        </w:rPr>
        <w:br w:type="page"/>
      </w:r>
      <w:r>
        <w:rPr>
          <w:rFonts w:cstheme="minorHAnsi"/>
          <w:noProof/>
          <w:sz w:val="24"/>
          <w:szCs w:val="24"/>
        </w:rPr>
        <w:lastRenderedPageBreak/>
        <w:drawing>
          <wp:inline distT="0" distB="0" distL="0" distR="0" wp14:anchorId="76696061" wp14:editId="43A36C37">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AA101C" w14:textId="78B6ABF9" w:rsidR="00CF4056" w:rsidRDefault="001C36CC" w:rsidP="00D622E0">
      <w:pPr>
        <w:spacing w:line="480" w:lineRule="auto"/>
        <w:rPr>
          <w:rFonts w:cstheme="minorHAnsi"/>
          <w:color w:val="212121"/>
          <w:sz w:val="24"/>
          <w:szCs w:val="24"/>
          <w:shd w:val="clear" w:color="auto" w:fill="FFFFFF"/>
        </w:rPr>
      </w:pPr>
      <w:r w:rsidRPr="00C42A81">
        <w:rPr>
          <w:rFonts w:cstheme="minorHAnsi"/>
          <w:b/>
          <w:sz w:val="24"/>
          <w:szCs w:val="24"/>
        </w:rPr>
        <w:t xml:space="preserve">Figure </w:t>
      </w:r>
      <w:r>
        <w:rPr>
          <w:rFonts w:cstheme="minorHAnsi"/>
          <w:b/>
          <w:sz w:val="24"/>
          <w:szCs w:val="24"/>
        </w:rPr>
        <w:t>3</w:t>
      </w:r>
      <w:r w:rsidRPr="00C42A81">
        <w:rPr>
          <w:rFonts w:cstheme="minorHAnsi"/>
          <w:b/>
          <w:sz w:val="24"/>
          <w:szCs w:val="24"/>
        </w:rPr>
        <w:t xml:space="preserve">-figure supplement </w:t>
      </w:r>
      <w:r>
        <w:rPr>
          <w:rFonts w:cstheme="minorHAnsi"/>
          <w:b/>
          <w:sz w:val="24"/>
          <w:szCs w:val="24"/>
        </w:rPr>
        <w:t>2</w:t>
      </w:r>
      <w:r w:rsidRPr="00C42A81">
        <w:rPr>
          <w:rFonts w:cstheme="minorHAnsi"/>
          <w:b/>
          <w:sz w:val="24"/>
          <w:szCs w:val="24"/>
        </w:rPr>
        <w:t>.</w:t>
      </w:r>
      <w:r w:rsidR="00CF4056" w:rsidRPr="00CF4056">
        <w:rPr>
          <w:rFonts w:cstheme="minorHAnsi"/>
          <w:color w:val="212121"/>
          <w:sz w:val="24"/>
          <w:szCs w:val="24"/>
          <w:shd w:val="clear" w:color="auto" w:fill="FFFFFF"/>
        </w:rPr>
        <w:t xml:space="preserve"> </w:t>
      </w:r>
      <w:r w:rsidR="00EC666E">
        <w:rPr>
          <w:rFonts w:cstheme="minorHAnsi"/>
          <w:color w:val="212121"/>
          <w:sz w:val="24"/>
          <w:szCs w:val="24"/>
          <w:shd w:val="clear" w:color="auto" w:fill="FFFFFF"/>
        </w:rPr>
        <w:t xml:space="preserve">Supplementary Experiment 2: </w:t>
      </w:r>
      <w:r w:rsidR="00CF4056" w:rsidRPr="00C42A81">
        <w:rPr>
          <w:rFonts w:cstheme="minorHAnsi"/>
          <w:color w:val="212121"/>
          <w:sz w:val="24"/>
          <w:szCs w:val="24"/>
          <w:shd w:val="clear" w:color="auto" w:fill="FFFFFF"/>
        </w:rPr>
        <w:t xml:space="preserve">Post-training OFC inactivation early in training suppresses Pavlovian acquisition behaviour, and this suppression persists in the absence of OFC inactivation. Rates of discriminative responding (CS-PreCS) during initial acquisition (sessions 1-4), following intra-OFC infusion of muscimol or saline (sessions 5-9), and without infusion (session 10). Cannulae placements depicted in </w:t>
      </w:r>
      <w:r w:rsidR="00CF4056" w:rsidRPr="00C42A81">
        <w:rPr>
          <w:rFonts w:cstheme="minorHAnsi"/>
          <w:color w:val="212121"/>
          <w:sz w:val="24"/>
          <w:szCs w:val="24"/>
          <w:u w:val="single"/>
          <w:shd w:val="clear" w:color="auto" w:fill="FFFFFF"/>
        </w:rPr>
        <w:t xml:space="preserve">Figure </w:t>
      </w:r>
      <w:r w:rsidR="00423072">
        <w:rPr>
          <w:rFonts w:cstheme="minorHAnsi"/>
          <w:color w:val="212121"/>
          <w:sz w:val="24"/>
          <w:szCs w:val="24"/>
          <w:u w:val="single"/>
          <w:shd w:val="clear" w:color="auto" w:fill="FFFFFF"/>
        </w:rPr>
        <w:t>3</w:t>
      </w:r>
      <w:r w:rsidR="00CF4056" w:rsidRPr="00C42A81">
        <w:rPr>
          <w:rFonts w:cstheme="minorHAnsi"/>
          <w:color w:val="212121"/>
          <w:sz w:val="24"/>
          <w:szCs w:val="24"/>
          <w:u w:val="single"/>
          <w:shd w:val="clear" w:color="auto" w:fill="FFFFFF"/>
        </w:rPr>
        <w:t xml:space="preserve">-figure supplement </w:t>
      </w:r>
      <w:r w:rsidR="00423072">
        <w:rPr>
          <w:rFonts w:cstheme="minorHAnsi"/>
          <w:color w:val="212121"/>
          <w:sz w:val="24"/>
          <w:szCs w:val="24"/>
          <w:u w:val="single"/>
          <w:shd w:val="clear" w:color="auto" w:fill="FFFFFF"/>
        </w:rPr>
        <w:t>1</w:t>
      </w:r>
      <w:r w:rsidR="00CF4056" w:rsidRPr="00C42A81">
        <w:rPr>
          <w:rFonts w:cstheme="minorHAnsi"/>
          <w:color w:val="212121"/>
          <w:sz w:val="24"/>
          <w:szCs w:val="24"/>
          <w:shd w:val="clear" w:color="auto" w:fill="FFFFFF"/>
        </w:rPr>
        <w:t xml:space="preserve">. </w:t>
      </w:r>
      <w:r w:rsidR="00372011">
        <w:rPr>
          <w:rFonts w:cstheme="minorHAnsi"/>
          <w:color w:val="212121"/>
          <w:sz w:val="24"/>
          <w:szCs w:val="24"/>
          <w:shd w:val="clear" w:color="auto" w:fill="FFFFFF"/>
        </w:rPr>
        <w:t xml:space="preserve">Note that </w:t>
      </w:r>
      <w:r w:rsidR="00F508EF">
        <w:rPr>
          <w:rFonts w:cstheme="minorHAnsi"/>
          <w:color w:val="212121"/>
          <w:sz w:val="24"/>
          <w:szCs w:val="24"/>
          <w:shd w:val="clear" w:color="auto" w:fill="FFFFFF"/>
        </w:rPr>
        <w:t xml:space="preserve">the task presented in </w:t>
      </w:r>
      <w:r w:rsidR="004E2152">
        <w:rPr>
          <w:rFonts w:cstheme="minorHAnsi"/>
          <w:color w:val="212121"/>
          <w:sz w:val="24"/>
          <w:szCs w:val="24"/>
          <w:shd w:val="clear" w:color="auto" w:fill="FFFFFF"/>
        </w:rPr>
        <w:t>Figure 1 and Figure 2</w:t>
      </w:r>
      <w:r w:rsidR="00F508EF">
        <w:rPr>
          <w:rFonts w:cstheme="minorHAnsi"/>
          <w:color w:val="212121"/>
          <w:sz w:val="24"/>
          <w:szCs w:val="24"/>
          <w:shd w:val="clear" w:color="auto" w:fill="FFFFFF"/>
        </w:rPr>
        <w:t xml:space="preserve"> </w:t>
      </w:r>
      <w:r w:rsidR="00F508EF" w:rsidRPr="00C42A81">
        <w:rPr>
          <w:rFonts w:cstheme="minorHAnsi"/>
          <w:color w:val="212121"/>
          <w:sz w:val="24"/>
          <w:szCs w:val="24"/>
          <w:shd w:val="clear" w:color="auto" w:fill="FFFFFF"/>
        </w:rPr>
        <w:t>employed a 15s auditory CS</w:t>
      </w:r>
      <w:r w:rsidR="004E2152">
        <w:rPr>
          <w:rFonts w:cstheme="minorHAnsi"/>
          <w:color w:val="212121"/>
          <w:sz w:val="24"/>
          <w:szCs w:val="24"/>
          <w:shd w:val="clear" w:color="auto" w:fill="FFFFFF"/>
        </w:rPr>
        <w:t>,</w:t>
      </w:r>
      <w:r w:rsidR="00F508EF">
        <w:rPr>
          <w:rFonts w:cstheme="minorHAnsi"/>
          <w:color w:val="212121"/>
          <w:sz w:val="24"/>
          <w:szCs w:val="24"/>
          <w:shd w:val="clear" w:color="auto" w:fill="FFFFFF"/>
        </w:rPr>
        <w:t xml:space="preserve"> whereas</w:t>
      </w:r>
      <w:r w:rsidR="004E2152">
        <w:rPr>
          <w:rFonts w:cstheme="minorHAnsi"/>
          <w:color w:val="212121"/>
          <w:sz w:val="24"/>
          <w:szCs w:val="24"/>
          <w:shd w:val="clear" w:color="auto" w:fill="FFFFFF"/>
        </w:rPr>
        <w:t xml:space="preserve"> </w:t>
      </w:r>
      <w:r w:rsidR="00191BA0">
        <w:rPr>
          <w:rFonts w:cstheme="minorHAnsi"/>
          <w:color w:val="212121"/>
          <w:sz w:val="24"/>
          <w:szCs w:val="24"/>
          <w:shd w:val="clear" w:color="auto" w:fill="FFFFFF"/>
        </w:rPr>
        <w:t>a</w:t>
      </w:r>
      <w:r w:rsidR="00F508EF" w:rsidRPr="00C42A81">
        <w:rPr>
          <w:rFonts w:cstheme="minorHAnsi"/>
          <w:color w:val="212121"/>
          <w:sz w:val="24"/>
          <w:szCs w:val="24"/>
          <w:shd w:val="clear" w:color="auto" w:fill="FFFFFF"/>
        </w:rPr>
        <w:t xml:space="preserve"> 10s visual CS was used in </w:t>
      </w:r>
      <w:r w:rsidR="00F508EF">
        <w:rPr>
          <w:rFonts w:cstheme="minorHAnsi"/>
          <w:color w:val="212121"/>
          <w:sz w:val="24"/>
          <w:szCs w:val="24"/>
          <w:shd w:val="clear" w:color="auto" w:fill="FFFFFF"/>
        </w:rPr>
        <w:t>the present</w:t>
      </w:r>
      <w:r w:rsidR="00C72974">
        <w:rPr>
          <w:rFonts w:cstheme="minorHAnsi"/>
          <w:color w:val="212121"/>
          <w:sz w:val="24"/>
          <w:szCs w:val="24"/>
          <w:shd w:val="clear" w:color="auto" w:fill="FFFFFF"/>
        </w:rPr>
        <w:t xml:space="preserve"> figure and during </w:t>
      </w:r>
      <w:r w:rsidR="00191BA0">
        <w:rPr>
          <w:rFonts w:cstheme="minorHAnsi"/>
          <w:color w:val="212121"/>
          <w:sz w:val="24"/>
          <w:szCs w:val="24"/>
          <w:shd w:val="clear" w:color="auto" w:fill="FFFFFF"/>
        </w:rPr>
        <w:t xml:space="preserve">the </w:t>
      </w:r>
      <w:r w:rsidR="000F6B2A">
        <w:rPr>
          <w:rFonts w:cstheme="minorHAnsi"/>
          <w:color w:val="212121"/>
          <w:sz w:val="24"/>
          <w:szCs w:val="24"/>
          <w:shd w:val="clear" w:color="auto" w:fill="FFFFFF"/>
        </w:rPr>
        <w:t xml:space="preserve">associative </w:t>
      </w:r>
      <w:r w:rsidR="00C72974">
        <w:rPr>
          <w:rFonts w:cstheme="minorHAnsi"/>
          <w:color w:val="212121"/>
          <w:sz w:val="24"/>
          <w:szCs w:val="24"/>
          <w:shd w:val="clear" w:color="auto" w:fill="FFFFFF"/>
        </w:rPr>
        <w:t>blocking</w:t>
      </w:r>
      <w:r w:rsidR="00191BA0">
        <w:rPr>
          <w:rFonts w:cstheme="minorHAnsi"/>
          <w:color w:val="212121"/>
          <w:sz w:val="24"/>
          <w:szCs w:val="24"/>
          <w:shd w:val="clear" w:color="auto" w:fill="FFFFFF"/>
        </w:rPr>
        <w:t xml:space="preserve"> experiment</w:t>
      </w:r>
      <w:r w:rsidR="00C72974">
        <w:rPr>
          <w:rFonts w:cstheme="minorHAnsi"/>
          <w:color w:val="212121"/>
          <w:sz w:val="24"/>
          <w:szCs w:val="24"/>
          <w:shd w:val="clear" w:color="auto" w:fill="FFFFFF"/>
        </w:rPr>
        <w:t xml:space="preserve"> </w:t>
      </w:r>
      <w:r w:rsidR="000F6B2A">
        <w:rPr>
          <w:rFonts w:cstheme="minorHAnsi"/>
          <w:color w:val="212121"/>
          <w:sz w:val="24"/>
          <w:szCs w:val="24"/>
          <w:shd w:val="clear" w:color="auto" w:fill="FFFFFF"/>
        </w:rPr>
        <w:t xml:space="preserve">presented in </w:t>
      </w:r>
      <w:r w:rsidR="00C72974">
        <w:rPr>
          <w:rFonts w:cstheme="minorHAnsi"/>
          <w:color w:val="212121"/>
          <w:sz w:val="24"/>
          <w:szCs w:val="24"/>
          <w:shd w:val="clear" w:color="auto" w:fill="FFFFFF"/>
        </w:rPr>
        <w:t xml:space="preserve">Figure 3. Stimulus </w:t>
      </w:r>
      <w:r w:rsidR="00B56A0B">
        <w:rPr>
          <w:rFonts w:cstheme="minorHAnsi"/>
          <w:color w:val="212121"/>
          <w:sz w:val="24"/>
          <w:szCs w:val="24"/>
          <w:shd w:val="clear" w:color="auto" w:fill="FFFFFF"/>
        </w:rPr>
        <w:t>modality, salience, and duration differences account for the different levels of conditioned responding</w:t>
      </w:r>
      <w:r w:rsidR="00F17D36">
        <w:rPr>
          <w:rFonts w:cstheme="minorHAnsi"/>
          <w:color w:val="212121"/>
          <w:sz w:val="24"/>
          <w:szCs w:val="24"/>
          <w:shd w:val="clear" w:color="auto" w:fill="FFFFFF"/>
        </w:rPr>
        <w:t xml:space="preserve"> between these experiments.</w:t>
      </w:r>
      <w:r w:rsidR="00CF4056" w:rsidRPr="00C42A81">
        <w:rPr>
          <w:rFonts w:cstheme="minorHAnsi"/>
          <w:color w:val="212121"/>
          <w:sz w:val="24"/>
          <w:szCs w:val="24"/>
          <w:shd w:val="clear" w:color="auto" w:fill="FFFFFF"/>
        </w:rPr>
        <w:t xml:space="preserve"> Error bars depict ± SEM.</w:t>
      </w:r>
    </w:p>
    <w:p w14:paraId="12F070DC" w14:textId="204301B9" w:rsidR="00AF732B" w:rsidRDefault="00AF732B" w:rsidP="00D622E0">
      <w:pPr>
        <w:pStyle w:val="BodyText"/>
        <w:spacing w:line="480" w:lineRule="auto"/>
        <w:rPr>
          <w:rFonts w:cstheme="minorHAnsi"/>
          <w:color w:val="212121"/>
          <w:shd w:val="clear" w:color="auto" w:fill="FFFFFF"/>
        </w:rPr>
      </w:pPr>
      <w:r>
        <w:t xml:space="preserve">Prior to drug infusions, all animals acquired responding to the cue (Figure 2C, Days 1-4; Significant main effect of Day </w:t>
      </w:r>
      <m:oMath>
        <m:r>
          <w:rPr>
            <w:rFonts w:ascii="Cambria Math" w:hAnsi="Cambria Math"/>
          </w:rPr>
          <m:t>F(3,39)=9.42</m:t>
        </m:r>
      </m:oMath>
      <w:r>
        <w:t xml:space="preserve">, </w:t>
      </w:r>
      <m:oMath>
        <m:r>
          <w:rPr>
            <w:rFonts w:ascii="Cambria Math" w:hAnsi="Cambria Math"/>
          </w:rPr>
          <m:t>p&lt;.001</m:t>
        </m:r>
      </m:oMath>
      <w:r>
        <w:t xml:space="preserve">, but no main effect of Group , or Group x Day interaction </w:t>
      </w:r>
      <m:oMath>
        <m:r>
          <w:rPr>
            <w:rFonts w:ascii="Cambria Math" w:hAnsi="Cambria Math"/>
          </w:rPr>
          <m:t>F(3,39)=0.30</m:t>
        </m:r>
      </m:oMath>
      <w:r>
        <w:t xml:space="preserve">, </w:t>
      </w:r>
      <m:oMath>
        <m:r>
          <w:rPr>
            <w:rFonts w:ascii="Cambria Math" w:hAnsi="Cambria Math"/>
          </w:rPr>
          <m:t>p=.826</m:t>
        </m:r>
      </m:oMath>
      <w:r>
        <w:t>). However, OFC inactivation during the next 5 days of conditioning significantly impaired acqu</w:t>
      </w:r>
      <w:proofErr w:type="spellStart"/>
      <w:r>
        <w:t>isition</w:t>
      </w:r>
      <w:proofErr w:type="spellEnd"/>
      <w:r>
        <w:t xml:space="preserve"> in the muscimol group (</w:t>
      </w:r>
      <w:r>
        <w:rPr>
          <w:highlight w:val="yellow"/>
        </w:rPr>
        <w:t>Days 5-9</w:t>
      </w:r>
      <w:r>
        <w:t xml:space="preserve">; Significant main effect of Group </w:t>
      </w:r>
      <m:oMath>
        <m:r>
          <w:rPr>
            <w:rFonts w:ascii="Cambria Math" w:hAnsi="Cambria Math"/>
          </w:rPr>
          <m:t>F(1,13)=12.57</m:t>
        </m:r>
      </m:oMath>
      <w:r>
        <w:t xml:space="preserve">, </w:t>
      </w:r>
      <m:oMath>
        <m:r>
          <w:rPr>
            <w:rFonts w:ascii="Cambria Math" w:hAnsi="Cambria Math"/>
          </w:rPr>
          <m:t>p=.004</m:t>
        </m:r>
      </m:oMath>
      <w:r>
        <w:t xml:space="preserve">, Day </w:t>
      </w:r>
      <m:oMath>
        <m:r>
          <w:rPr>
            <w:rFonts w:ascii="Cambria Math" w:hAnsi="Cambria Math"/>
          </w:rPr>
          <m:t>F(4,52)=7.72</m:t>
        </m:r>
      </m:oMath>
      <w:r>
        <w:t xml:space="preserve">, </w:t>
      </w:r>
      <m:oMath>
        <m:r>
          <w:rPr>
            <w:rFonts w:ascii="Cambria Math" w:hAnsi="Cambria Math"/>
          </w:rPr>
          <m:t>p&lt;.001</m:t>
        </m:r>
      </m:oMath>
      <w:r>
        <w:t xml:space="preserve">, and Group x Day interaction </w:t>
      </w:r>
      <m:oMath>
        <m:r>
          <w:rPr>
            <w:rFonts w:ascii="Cambria Math" w:hAnsi="Cambria Math"/>
          </w:rPr>
          <m:t>F(4,52)=3.05</m:t>
        </m:r>
      </m:oMath>
      <w:r>
        <w:t xml:space="preserve">, </w:t>
      </w:r>
      <m:oMath>
        <m:r>
          <w:rPr>
            <w:rFonts w:ascii="Cambria Math" w:hAnsi="Cambria Math"/>
          </w:rPr>
          <m:t>p=.025</m:t>
        </m:r>
      </m:oMath>
      <w:r>
        <w:t xml:space="preserve">). Responding in the muscimol group </w:t>
      </w:r>
      <w:r>
        <w:lastRenderedPageBreak/>
        <w:t xml:space="preserve">was significantly lower than the saline group on days 7-9 (Muscimol vs Saline: Day 5 </w:t>
      </w:r>
      <m:oMath>
        <m:r>
          <w:rPr>
            <w:rFonts w:ascii="Cambria Math" w:hAnsi="Cambria Math"/>
          </w:rPr>
          <m:t>t(13)=-1.85</m:t>
        </m:r>
      </m:oMath>
      <w:r>
        <w:t xml:space="preserve">, </w:t>
      </w:r>
      <m:oMath>
        <m:r>
          <w:rPr>
            <w:rFonts w:ascii="Cambria Math" w:hAnsi="Cambria Math"/>
          </w:rPr>
          <m:t>p=.087</m:t>
        </m:r>
      </m:oMath>
      <w:r>
        <w:t xml:space="preserve">, Day 6 </w:t>
      </w:r>
      <m:oMath>
        <m:r>
          <w:rPr>
            <w:rFonts w:ascii="Cambria Math" w:hAnsi="Cambria Math"/>
          </w:rPr>
          <m:t>t(13)=-2.10</m:t>
        </m:r>
      </m:oMath>
      <w:r>
        <w:t xml:space="preserve">, </w:t>
      </w:r>
      <m:oMath>
        <m:r>
          <w:rPr>
            <w:rFonts w:ascii="Cambria Math" w:hAnsi="Cambria Math"/>
          </w:rPr>
          <m:t>p=.056</m:t>
        </m:r>
      </m:oMath>
      <w:r>
        <w:t xml:space="preserve">, Day 7 </w:t>
      </w:r>
      <m:oMath>
        <m:r>
          <w:rPr>
            <w:rFonts w:ascii="Cambria Math" w:hAnsi="Cambria Math"/>
          </w:rPr>
          <m:t>t(13)=-3.77</m:t>
        </m:r>
      </m:oMath>
      <w:r>
        <w:t xml:space="preserve">, </w:t>
      </w:r>
      <m:oMath>
        <m:r>
          <w:rPr>
            <w:rFonts w:ascii="Cambria Math" w:hAnsi="Cambria Math"/>
          </w:rPr>
          <m:t>p=.002</m:t>
        </m:r>
      </m:oMath>
      <w:r>
        <w:t xml:space="preserve">, Day 8 </w:t>
      </w:r>
      <m:oMath>
        <m:r>
          <w:rPr>
            <w:rFonts w:ascii="Cambria Math" w:hAnsi="Cambria Math"/>
          </w:rPr>
          <m:t>t(13)=-4.17</m:t>
        </m:r>
      </m:oMath>
      <w:r>
        <w:t xml:space="preserve">, </w:t>
      </w:r>
      <m:oMath>
        <m:r>
          <w:rPr>
            <w:rFonts w:ascii="Cambria Math" w:hAnsi="Cambria Math"/>
          </w:rPr>
          <m:t>p=.001</m:t>
        </m:r>
      </m:oMath>
      <w:r>
        <w:t xml:space="preserve">, Day 9 </w:t>
      </w:r>
      <m:oMath>
        <m:r>
          <w:rPr>
            <w:rFonts w:ascii="Cambria Math" w:hAnsi="Cambria Math"/>
          </w:rPr>
          <m:t>t(13)=-3.80</m:t>
        </m:r>
      </m:oMath>
      <w:r>
        <w:t xml:space="preserve">, </w:t>
      </w:r>
      <m:oMath>
        <m:r>
          <w:rPr>
            <w:rFonts w:ascii="Cambria Math" w:hAnsi="Cambria Math"/>
          </w:rPr>
          <m:t>p=.002</m:t>
        </m:r>
      </m:oMath>
      <w:r>
        <w:t>). Again, this defi</w:t>
      </w:r>
      <w:proofErr w:type="spellStart"/>
      <w:r>
        <w:t>cit</w:t>
      </w:r>
      <w:proofErr w:type="spellEnd"/>
      <w:r>
        <w:t xml:space="preserve"> was </w:t>
      </w:r>
      <w:proofErr w:type="spellStart"/>
      <w:r>
        <w:t>characterised</w:t>
      </w:r>
      <w:proofErr w:type="spellEnd"/>
      <w:r>
        <w:t xml:space="preserve"> by significant acquisition over days in the saline group that was abolished in the muscimol group (positive linear trend over days 5-9; Saline </w:t>
      </w:r>
      <m:oMath>
        <m:r>
          <w:rPr>
            <w:rFonts w:ascii="Cambria Math" w:hAnsi="Cambria Math"/>
          </w:rPr>
          <m:t>t(13)=6.59</m:t>
        </m:r>
      </m:oMath>
      <w:r>
        <w:t xml:space="preserve">, </w:t>
      </w:r>
      <m:oMath>
        <m:r>
          <w:rPr>
            <w:rFonts w:ascii="Cambria Math" w:hAnsi="Cambria Math"/>
          </w:rPr>
          <m:t>p&lt;.001</m:t>
        </m:r>
      </m:oMath>
      <w:r>
        <w:t xml:space="preserve">, Muscimol </w:t>
      </w:r>
      <m:oMath>
        <m:r>
          <w:rPr>
            <w:rFonts w:ascii="Cambria Math" w:hAnsi="Cambria Math"/>
          </w:rPr>
          <m:t>t(13)=1.45</m:t>
        </m:r>
      </m:oMath>
      <w:r>
        <w:t xml:space="preserve">, </w:t>
      </w:r>
      <m:oMath>
        <m:r>
          <w:rPr>
            <w:rFonts w:ascii="Cambria Math" w:hAnsi="Cambria Math"/>
          </w:rPr>
          <m:t>p=.171</m:t>
        </m:r>
      </m:oMath>
      <w:r>
        <w:t>). Finally, this reduction in responding persisted on day 10 when all rats were tested without infusion (</w:t>
      </w:r>
      <w:r>
        <w:rPr>
          <w:highlight w:val="yellow"/>
        </w:rPr>
        <w:t>Day 10;</w:t>
      </w:r>
      <w:r>
        <w:t xml:space="preserve"> </w:t>
      </w:r>
      <m:oMath>
        <m:r>
          <w:rPr>
            <w:rFonts w:ascii="Cambria Math" w:hAnsi="Cambria Math"/>
          </w:rPr>
          <m:t>t(12.14)=3.88</m:t>
        </m:r>
      </m:oMath>
      <w:r>
        <w:t xml:space="preserve">, </w:t>
      </w:r>
      <m:oMath>
        <m:r>
          <w:rPr>
            <w:rFonts w:ascii="Cambria Math" w:hAnsi="Cambria Math"/>
          </w:rPr>
          <m:t>p=.002</m:t>
        </m:r>
      </m:oMath>
      <w:r>
        <w:t>). In contrast to OFC inactivation later in acquisition (</w:t>
      </w:r>
      <w:r>
        <w:rPr>
          <w:highlight w:val="yellow"/>
        </w:rPr>
        <w:t>Figure 2</w:t>
      </w:r>
      <w:r>
        <w:t>), disrupting OFC activity early in learning suppressed performance which persisted when the OFC was active again. These findings suggest that OFC inactivation early in training disrupted acquisition learning rather than just behavioural performance.</w:t>
      </w:r>
    </w:p>
    <w:p w14:paraId="0A57D09E" w14:textId="4D38E022" w:rsidR="0053099B" w:rsidRDefault="0053099B" w:rsidP="00D622E0">
      <w:pPr>
        <w:spacing w:after="240" w:line="480" w:lineRule="auto"/>
        <w:rPr>
          <w:rFonts w:cstheme="minorHAnsi"/>
          <w:color w:val="212121"/>
          <w:sz w:val="24"/>
          <w:szCs w:val="24"/>
          <w:shd w:val="clear" w:color="auto" w:fill="FFFFFF"/>
        </w:rPr>
      </w:pPr>
    </w:p>
    <w:p w14:paraId="3561CB8B" w14:textId="77777777" w:rsidR="0053099B" w:rsidRDefault="0053099B" w:rsidP="00D622E0">
      <w:pPr>
        <w:spacing w:line="480" w:lineRule="auto"/>
        <w:rPr>
          <w:rFonts w:cstheme="minorHAnsi"/>
          <w:color w:val="212121"/>
          <w:sz w:val="24"/>
          <w:szCs w:val="24"/>
          <w:shd w:val="clear" w:color="auto" w:fill="FFFFFF"/>
        </w:rPr>
      </w:pPr>
      <w:r>
        <w:rPr>
          <w:rFonts w:cstheme="minorHAnsi"/>
          <w:color w:val="212121"/>
          <w:sz w:val="24"/>
          <w:szCs w:val="24"/>
          <w:shd w:val="clear" w:color="auto" w:fill="FFFFFF"/>
        </w:rPr>
        <w:br w:type="page"/>
      </w:r>
    </w:p>
    <w:p w14:paraId="723BE5B6" w14:textId="59F95AD5" w:rsidR="00793A4A" w:rsidRPr="00C42A81" w:rsidRDefault="007C483E" w:rsidP="00D622E0">
      <w:pPr>
        <w:spacing w:after="240" w:line="480" w:lineRule="auto"/>
        <w:rPr>
          <w:rFonts w:cstheme="minorHAnsi"/>
          <w:sz w:val="24"/>
          <w:szCs w:val="24"/>
        </w:rPr>
      </w:pPr>
      <w:r>
        <w:rPr>
          <w:rFonts w:cstheme="minorHAnsi"/>
          <w:noProof/>
          <w:sz w:val="24"/>
          <w:szCs w:val="24"/>
        </w:rPr>
        <w:lastRenderedPageBreak/>
        <w:drawing>
          <wp:inline distT="0" distB="0" distL="0" distR="0" wp14:anchorId="02A182E4" wp14:editId="6B7DF3A8">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7C9A7D7C" w14:textId="77777777" w:rsidR="00483744" w:rsidRPr="00C42A81" w:rsidRDefault="00483744" w:rsidP="00D622E0">
      <w:pPr>
        <w:spacing w:line="480" w:lineRule="auto"/>
        <w:rPr>
          <w:rFonts w:cstheme="minorHAnsi"/>
          <w:b/>
          <w:sz w:val="24"/>
          <w:szCs w:val="24"/>
        </w:rPr>
      </w:pPr>
    </w:p>
    <w:p w14:paraId="792AB570" w14:textId="44167028" w:rsidR="00B26080" w:rsidRPr="00C42A81" w:rsidRDefault="00B26080" w:rsidP="00D622E0">
      <w:pPr>
        <w:spacing w:line="480" w:lineRule="auto"/>
        <w:rPr>
          <w:rFonts w:cstheme="minorHAnsi"/>
          <w:sz w:val="24"/>
          <w:szCs w:val="24"/>
        </w:rPr>
      </w:pPr>
      <w:r w:rsidRPr="00C42A81">
        <w:rPr>
          <w:rFonts w:cstheme="minorHAnsi"/>
          <w:b/>
          <w:sz w:val="24"/>
          <w:szCs w:val="24"/>
        </w:rPr>
        <w:t xml:space="preserve">Figure 3-figure supplement </w:t>
      </w:r>
      <w:r w:rsidR="001C36CC">
        <w:rPr>
          <w:rFonts w:cstheme="minorHAnsi"/>
          <w:b/>
          <w:sz w:val="24"/>
          <w:szCs w:val="24"/>
        </w:rPr>
        <w:t>3</w:t>
      </w:r>
      <w:r w:rsidRPr="00C42A81">
        <w:rPr>
          <w:rFonts w:cstheme="minorHAnsi"/>
          <w:b/>
          <w:sz w:val="24"/>
          <w:szCs w:val="24"/>
        </w:rPr>
        <w:t>.</w:t>
      </w:r>
      <w:r w:rsidRPr="00C42A81">
        <w:rPr>
          <w:rFonts w:cstheme="minorHAnsi"/>
          <w:sz w:val="24"/>
          <w:szCs w:val="24"/>
        </w:rPr>
        <w:t xml:space="preserve"> Photomicrograph of representative OFC cannulae placement (top) in the saline (left) and muscimol (right) infusion groups</w:t>
      </w:r>
      <w:r w:rsidR="001B63C3">
        <w:rPr>
          <w:rFonts w:cstheme="minorHAnsi"/>
          <w:sz w:val="24"/>
          <w:szCs w:val="24"/>
        </w:rPr>
        <w:t xml:space="preserve"> (associated behavioural data in </w:t>
      </w:r>
      <w:r w:rsidR="001B63C3">
        <w:rPr>
          <w:rFonts w:cstheme="minorHAnsi"/>
          <w:sz w:val="24"/>
          <w:szCs w:val="24"/>
        </w:rPr>
        <w:lastRenderedPageBreak/>
        <w:t>Figure 3)</w:t>
      </w:r>
      <w:r w:rsidRPr="00C42A81">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43980F1C" w14:textId="7A9B327D" w:rsidR="00483744" w:rsidRPr="00C42A81" w:rsidRDefault="00407142" w:rsidP="00D622E0">
      <w:pPr>
        <w:spacing w:line="480" w:lineRule="auto"/>
        <w:rPr>
          <w:rFonts w:eastAsia="Calibri" w:cstheme="minorHAnsi"/>
          <w:b/>
          <w:color w:val="000000"/>
          <w:sz w:val="24"/>
          <w:szCs w:val="24"/>
          <w:lang w:val="en-AU"/>
        </w:rPr>
      </w:pPr>
      <w:r>
        <w:rPr>
          <w:rFonts w:eastAsia="Calibri" w:cstheme="minorHAnsi"/>
          <w:b/>
          <w:noProof/>
          <w:color w:val="000000"/>
          <w:sz w:val="24"/>
          <w:szCs w:val="24"/>
          <w:lang w:val="en-AU"/>
        </w:rPr>
        <w:drawing>
          <wp:inline distT="0" distB="0" distL="0" distR="0" wp14:anchorId="38E832BA" wp14:editId="01A6E491">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34B341E8" w14:textId="6C191DCB" w:rsidR="00636019" w:rsidRDefault="00193B23" w:rsidP="00D622E0">
      <w:pPr>
        <w:spacing w:line="480" w:lineRule="auto"/>
      </w:pPr>
      <w:r w:rsidRPr="00C42A81">
        <w:rPr>
          <w:rFonts w:eastAsia="Calibri" w:cstheme="minorHAnsi"/>
          <w:b/>
          <w:color w:val="000000"/>
          <w:sz w:val="24"/>
          <w:szCs w:val="24"/>
          <w:lang w:val="en-AU"/>
        </w:rPr>
        <w:t xml:space="preserve">Figure </w:t>
      </w:r>
      <w:r w:rsidR="00B26080" w:rsidRPr="00C42A81">
        <w:rPr>
          <w:rFonts w:eastAsia="Calibri" w:cstheme="minorHAnsi"/>
          <w:b/>
          <w:color w:val="000000"/>
          <w:sz w:val="24"/>
          <w:szCs w:val="24"/>
          <w:lang w:val="en-AU"/>
        </w:rPr>
        <w:t>3</w:t>
      </w:r>
      <w:r w:rsidRPr="00C42A81">
        <w:rPr>
          <w:rFonts w:eastAsia="Calibri" w:cstheme="minorHAnsi"/>
          <w:b/>
          <w:color w:val="000000"/>
          <w:sz w:val="24"/>
          <w:szCs w:val="24"/>
          <w:lang w:val="en-AU"/>
        </w:rPr>
        <w:t xml:space="preserve">-figure supplement </w:t>
      </w:r>
      <w:r w:rsidR="003530C1">
        <w:rPr>
          <w:rFonts w:eastAsia="Calibri" w:cstheme="minorHAnsi"/>
          <w:b/>
          <w:color w:val="000000"/>
          <w:sz w:val="24"/>
          <w:szCs w:val="24"/>
          <w:lang w:val="en-AU"/>
        </w:rPr>
        <w:t>4</w:t>
      </w:r>
      <w:r w:rsidRPr="00C42A81">
        <w:rPr>
          <w:rFonts w:eastAsia="Calibri" w:cstheme="minorHAnsi"/>
          <w:b/>
          <w:color w:val="000000"/>
          <w:sz w:val="24"/>
          <w:szCs w:val="24"/>
          <w:lang w:val="en-AU"/>
        </w:rPr>
        <w:t xml:space="preserve">. </w:t>
      </w:r>
      <w:r w:rsidR="00723861">
        <w:rPr>
          <w:rFonts w:eastAsia="Calibri" w:cstheme="minorHAnsi"/>
          <w:bCs/>
          <w:color w:val="000000"/>
          <w:sz w:val="24"/>
          <w:szCs w:val="24"/>
          <w:lang w:val="en-AU"/>
        </w:rPr>
        <w:t xml:space="preserve">Within-session responding </w:t>
      </w:r>
      <w:r w:rsidR="00FE73BE">
        <w:rPr>
          <w:rFonts w:eastAsia="Calibri" w:cstheme="minorHAnsi"/>
          <w:bCs/>
          <w:color w:val="000000"/>
          <w:sz w:val="24"/>
          <w:szCs w:val="24"/>
          <w:lang w:val="en-AU"/>
        </w:rPr>
        <w:t xml:space="preserve">on </w:t>
      </w:r>
      <w:r w:rsidR="006A1008">
        <w:rPr>
          <w:rFonts w:eastAsia="Calibri" w:cstheme="minorHAnsi"/>
          <w:bCs/>
          <w:color w:val="000000"/>
          <w:sz w:val="24"/>
          <w:szCs w:val="24"/>
          <w:lang w:val="en-AU"/>
        </w:rPr>
        <w:t>Day 12, the first session</w:t>
      </w:r>
      <w:r w:rsidR="00FE73BE">
        <w:rPr>
          <w:rFonts w:eastAsia="Calibri" w:cstheme="minorHAnsi"/>
          <w:bCs/>
          <w:color w:val="000000"/>
          <w:sz w:val="24"/>
          <w:szCs w:val="24"/>
          <w:lang w:val="en-AU"/>
        </w:rPr>
        <w:t xml:space="preserve"> of Stage 2 blocking</w:t>
      </w:r>
      <w:r w:rsidR="001F61DE">
        <w:rPr>
          <w:rFonts w:eastAsia="Calibri" w:cstheme="minorHAnsi"/>
          <w:bCs/>
          <w:color w:val="000000"/>
          <w:sz w:val="24"/>
          <w:szCs w:val="24"/>
          <w:lang w:val="en-AU"/>
        </w:rPr>
        <w:t xml:space="preserve"> (</w:t>
      </w:r>
      <w:r w:rsidR="002F5189">
        <w:rPr>
          <w:rFonts w:eastAsia="Calibri" w:cstheme="minorHAnsi"/>
          <w:bCs/>
          <w:color w:val="000000"/>
          <w:sz w:val="24"/>
          <w:szCs w:val="24"/>
          <w:lang w:val="en-AU"/>
        </w:rPr>
        <w:t xml:space="preserve">session average shown in </w:t>
      </w:r>
      <w:r w:rsidR="001F61DE">
        <w:rPr>
          <w:rFonts w:eastAsia="Calibri" w:cstheme="minorHAnsi"/>
          <w:bCs/>
          <w:color w:val="000000"/>
          <w:sz w:val="24"/>
          <w:szCs w:val="24"/>
          <w:lang w:val="en-AU"/>
        </w:rPr>
        <w:t>Figure 3C)</w:t>
      </w:r>
      <w:r w:rsidR="006A1008">
        <w:rPr>
          <w:rFonts w:eastAsia="Calibri" w:cstheme="minorHAnsi"/>
          <w:bCs/>
          <w:color w:val="000000"/>
          <w:sz w:val="24"/>
          <w:szCs w:val="24"/>
          <w:lang w:val="en-AU"/>
        </w:rPr>
        <w:t>.</w:t>
      </w:r>
      <w:r w:rsidR="00154522" w:rsidRPr="00C42A81">
        <w:rPr>
          <w:rFonts w:cstheme="minorHAnsi"/>
          <w:color w:val="212121"/>
          <w:sz w:val="24"/>
          <w:szCs w:val="24"/>
          <w:shd w:val="clear" w:color="auto" w:fill="FFFFFF"/>
        </w:rPr>
        <w:t xml:space="preserve"> Rates of discriminative responding (CS-PreCS)</w:t>
      </w:r>
      <w:r w:rsidR="00154522">
        <w:rPr>
          <w:rFonts w:cstheme="minorHAnsi"/>
          <w:color w:val="212121"/>
          <w:sz w:val="24"/>
          <w:szCs w:val="24"/>
          <w:shd w:val="clear" w:color="auto" w:fill="FFFFFF"/>
        </w:rPr>
        <w:t xml:space="preserve"> </w:t>
      </w:r>
      <w:r w:rsidR="00484806">
        <w:rPr>
          <w:rFonts w:cstheme="minorHAnsi"/>
          <w:color w:val="212121"/>
          <w:sz w:val="24"/>
          <w:szCs w:val="24"/>
          <w:shd w:val="clear" w:color="auto" w:fill="FFFFFF"/>
        </w:rPr>
        <w:t xml:space="preserve">presented </w:t>
      </w:r>
      <w:r w:rsidR="00154522">
        <w:rPr>
          <w:rFonts w:cstheme="minorHAnsi"/>
          <w:color w:val="212121"/>
          <w:sz w:val="24"/>
          <w:szCs w:val="24"/>
          <w:shd w:val="clear" w:color="auto" w:fill="FFFFFF"/>
        </w:rPr>
        <w:t>in</w:t>
      </w:r>
      <w:r w:rsidR="00484806">
        <w:rPr>
          <w:rFonts w:cstheme="minorHAnsi"/>
          <w:color w:val="212121"/>
          <w:sz w:val="24"/>
          <w:szCs w:val="24"/>
          <w:shd w:val="clear" w:color="auto" w:fill="FFFFFF"/>
        </w:rPr>
        <w:t xml:space="preserve"> blocks of 2 trials. </w:t>
      </w:r>
      <w:r w:rsidR="006C6446">
        <w:rPr>
          <w:rFonts w:eastAsia="Calibri" w:cstheme="minorHAnsi"/>
          <w:bCs/>
          <w:color w:val="000000"/>
          <w:sz w:val="24"/>
          <w:szCs w:val="24"/>
          <w:lang w:val="en-AU"/>
        </w:rPr>
        <w:t xml:space="preserve">The effect of muscimol inactivation in Stage 1 </w:t>
      </w:r>
      <w:r w:rsidR="0017447C">
        <w:rPr>
          <w:rFonts w:eastAsia="Calibri" w:cstheme="minorHAnsi"/>
          <w:bCs/>
          <w:color w:val="000000"/>
          <w:sz w:val="24"/>
          <w:szCs w:val="24"/>
          <w:lang w:val="en-AU"/>
        </w:rPr>
        <w:t xml:space="preserve">is </w:t>
      </w:r>
      <w:r w:rsidR="007C066D">
        <w:rPr>
          <w:rFonts w:eastAsia="Calibri" w:cstheme="minorHAnsi"/>
          <w:bCs/>
          <w:color w:val="000000"/>
          <w:sz w:val="24"/>
          <w:szCs w:val="24"/>
          <w:lang w:val="en-AU"/>
        </w:rPr>
        <w:t>evident at the start of the session i.e. a significant reduction in responding relative to the</w:t>
      </w:r>
      <w:r w:rsidR="00154522">
        <w:rPr>
          <w:rFonts w:eastAsia="Calibri" w:cstheme="minorHAnsi"/>
          <w:bCs/>
          <w:color w:val="000000"/>
          <w:sz w:val="24"/>
          <w:szCs w:val="24"/>
          <w:lang w:val="en-AU"/>
        </w:rPr>
        <w:t xml:space="preserve"> saline group</w:t>
      </w:r>
      <w:r w:rsidR="007C066D">
        <w:rPr>
          <w:rFonts w:eastAsia="Calibri" w:cstheme="minorHAnsi"/>
          <w:bCs/>
          <w:color w:val="000000"/>
          <w:sz w:val="24"/>
          <w:szCs w:val="24"/>
          <w:lang w:val="en-AU"/>
        </w:rPr>
        <w:t>.</w:t>
      </w:r>
      <w:r w:rsidR="00154522">
        <w:rPr>
          <w:rFonts w:eastAsia="Calibri" w:cstheme="minorHAnsi"/>
          <w:bCs/>
          <w:color w:val="000000"/>
          <w:sz w:val="24"/>
          <w:szCs w:val="24"/>
          <w:lang w:val="en-AU"/>
        </w:rPr>
        <w:t xml:space="preserve"> </w:t>
      </w:r>
      <w:r w:rsidR="00636019">
        <w:t xml:space="preserve">First 2 trials, significant main effect of Group </w:t>
      </w:r>
      <m:oMath>
        <m:r>
          <w:rPr>
            <w:rFonts w:ascii="Cambria Math" w:hAnsi="Cambria Math"/>
          </w:rPr>
          <m:t>F(1,24)=8.67</m:t>
        </m:r>
      </m:oMath>
      <w:r w:rsidR="00636019">
        <w:t xml:space="preserve">, </w:t>
      </w:r>
      <m:oMath>
        <m:r>
          <w:rPr>
            <w:rFonts w:ascii="Cambria Math" w:hAnsi="Cambria Math"/>
          </w:rPr>
          <m:t>p=.007</m:t>
        </m:r>
      </m:oMath>
      <w:r w:rsidR="00636019">
        <w:t xml:space="preserve">, and Cue </w:t>
      </w:r>
      <m:oMath>
        <m:r>
          <w:rPr>
            <w:rFonts w:ascii="Cambria Math" w:hAnsi="Cambria Math"/>
          </w:rPr>
          <m:t>F(1,24)=7.61</m:t>
        </m:r>
      </m:oMath>
      <w:r w:rsidR="00636019">
        <w:t xml:space="preserve">, </w:t>
      </w:r>
      <m:oMath>
        <m:r>
          <w:rPr>
            <w:rFonts w:ascii="Cambria Math" w:hAnsi="Cambria Math"/>
          </w:rPr>
          <m:t>p=.011</m:t>
        </m:r>
      </m:oMath>
      <w:r w:rsidR="00636019">
        <w:t xml:space="preserve">, but no Group x Cue interaction </w:t>
      </w:r>
      <m:oMath>
        <m:r>
          <w:rPr>
            <w:rFonts w:ascii="Cambria Math" w:hAnsi="Cambria Math"/>
          </w:rPr>
          <m:t>F(1,24)=0.19</m:t>
        </m:r>
      </m:oMath>
      <w:r w:rsidR="00636019">
        <w:t xml:space="preserve">, </w:t>
      </w:r>
      <m:oMath>
        <m:r>
          <w:rPr>
            <w:rFonts w:ascii="Cambria Math" w:hAnsi="Cambria Math"/>
          </w:rPr>
          <m:t>p=.670</m:t>
        </m:r>
      </m:oMath>
      <w:r w:rsidR="00636019">
        <w:t>).</w:t>
      </w:r>
      <w:r w:rsidR="00154522">
        <w:t xml:space="preserve"> </w:t>
      </w:r>
      <w:r w:rsidR="00484806">
        <w:t>Error bars depict ± SEM.</w:t>
      </w:r>
    </w:p>
    <w:p w14:paraId="59E15629" w14:textId="77777777" w:rsidR="00636019" w:rsidRDefault="00636019" w:rsidP="00D622E0">
      <w:pPr>
        <w:spacing w:line="480" w:lineRule="auto"/>
        <w:rPr>
          <w:rFonts w:eastAsia="Calibri" w:cstheme="minorHAnsi"/>
          <w:b/>
          <w:color w:val="000000"/>
          <w:sz w:val="24"/>
          <w:szCs w:val="24"/>
          <w:lang w:val="en-AU"/>
        </w:rPr>
      </w:pPr>
    </w:p>
    <w:p w14:paraId="0B2D8D71" w14:textId="77777777" w:rsidR="00780C65" w:rsidRDefault="00780C65" w:rsidP="00D622E0">
      <w:pPr>
        <w:spacing w:line="480" w:lineRule="auto"/>
        <w:rPr>
          <w:rFonts w:eastAsia="Calibri" w:cstheme="minorHAnsi"/>
          <w:b/>
          <w:color w:val="000000"/>
          <w:sz w:val="24"/>
          <w:szCs w:val="24"/>
          <w:lang w:val="en-AU"/>
        </w:rPr>
      </w:pPr>
    </w:p>
    <w:p w14:paraId="7801025D" w14:textId="77777777" w:rsidR="00780C65" w:rsidRDefault="00780C65" w:rsidP="00D622E0">
      <w:pPr>
        <w:spacing w:line="480" w:lineRule="auto"/>
        <w:rPr>
          <w:rFonts w:eastAsia="Calibri" w:cstheme="minorHAnsi"/>
          <w:b/>
          <w:color w:val="000000"/>
          <w:sz w:val="24"/>
          <w:szCs w:val="24"/>
          <w:lang w:val="en-AU"/>
        </w:rPr>
      </w:pPr>
    </w:p>
    <w:p w14:paraId="685E24CB" w14:textId="26147A76" w:rsidR="00780C65" w:rsidRDefault="00780C65" w:rsidP="00D622E0">
      <w:pPr>
        <w:spacing w:line="480" w:lineRule="auto"/>
        <w:rPr>
          <w:rFonts w:eastAsia="Calibri" w:cstheme="minorHAnsi"/>
          <w:b/>
          <w:color w:val="000000"/>
          <w:sz w:val="24"/>
          <w:szCs w:val="24"/>
          <w:lang w:val="en-AU"/>
        </w:rPr>
      </w:pPr>
      <w:r>
        <w:rPr>
          <w:rFonts w:eastAsia="Calibri" w:cstheme="minorHAnsi"/>
          <w:b/>
          <w:color w:val="000000"/>
          <w:sz w:val="24"/>
          <w:szCs w:val="24"/>
          <w:lang w:val="en-AU"/>
        </w:rPr>
        <w:lastRenderedPageBreak/>
        <w:br w:type="page"/>
      </w:r>
    </w:p>
    <w:p w14:paraId="7AAAD9CE" w14:textId="08AC74C5" w:rsidR="00780C65" w:rsidRDefault="00F81C86" w:rsidP="00D622E0">
      <w:pPr>
        <w:spacing w:line="480" w:lineRule="auto"/>
        <w:rPr>
          <w:rFonts w:eastAsia="Calibri" w:cstheme="minorHAnsi"/>
          <w:b/>
          <w:color w:val="000000"/>
          <w:sz w:val="24"/>
          <w:szCs w:val="24"/>
          <w:lang w:val="en-AU"/>
        </w:rPr>
      </w:pPr>
      <w:r>
        <w:rPr>
          <w:rFonts w:eastAsia="Calibri" w:cstheme="minorHAnsi"/>
          <w:b/>
          <w:noProof/>
          <w:color w:val="000000"/>
          <w:sz w:val="24"/>
          <w:szCs w:val="24"/>
          <w:lang w:val="en-AU"/>
        </w:rPr>
        <w:lastRenderedPageBreak/>
        <w:drawing>
          <wp:inline distT="0" distB="0" distL="0" distR="0" wp14:anchorId="01C2C2FF" wp14:editId="7E010868">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227E0E9E" w14:textId="4F60A3D6" w:rsidR="00867789" w:rsidRPr="003530C1" w:rsidRDefault="00780C65" w:rsidP="00D622E0">
      <w:pPr>
        <w:pStyle w:val="BodyText"/>
        <w:spacing w:line="480" w:lineRule="auto"/>
      </w:pPr>
      <w:r w:rsidRPr="00C42A81">
        <w:rPr>
          <w:rFonts w:eastAsia="Calibri" w:cstheme="minorHAnsi"/>
          <w:b/>
          <w:color w:val="000000"/>
          <w:lang w:val="en-AU"/>
        </w:rPr>
        <w:t xml:space="preserve">Figure 3-figure supplement </w:t>
      </w:r>
      <w:r w:rsidR="003530C1">
        <w:rPr>
          <w:rFonts w:eastAsia="Calibri" w:cstheme="minorHAnsi"/>
          <w:b/>
          <w:color w:val="000000"/>
          <w:lang w:val="en-AU"/>
        </w:rPr>
        <w:t>5</w:t>
      </w:r>
      <w:r w:rsidRPr="00C42A81">
        <w:rPr>
          <w:rFonts w:eastAsia="Calibri" w:cstheme="minorHAnsi"/>
          <w:b/>
          <w:color w:val="000000"/>
          <w:lang w:val="en-AU"/>
        </w:rPr>
        <w:t xml:space="preserve">. </w:t>
      </w:r>
      <w:r w:rsidR="00014A0F">
        <w:t xml:space="preserve">Reacquisition to cues A and B provide a test of whether the successful blocking effect observed in the saline and muscimol groups was the result of different underlying attentional strategies. Down-regulation of attention to a cue can result in retardation of subsequent acquisition </w:t>
      </w:r>
      <w:r w:rsidR="00D75EFD">
        <w:fldChar w:fldCharType="begin" w:fldLock="1"/>
      </w:r>
      <w:r w:rsidR="00D75EFD">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Papini &amp; Bitterman, 1993; Pearce &amp; Hall, 1980)","plainTextFormattedCitation":"(Mackintosh, 1975; Papini &amp; Bitterman, 1993; Pearce &amp; Hall, 1980)"},"properties":{"noteIndex":0},"schema":"https://github.com/citation-style-language/schema/raw/master/csl-citation.json"}</w:instrText>
      </w:r>
      <w:r w:rsidR="00D75EFD">
        <w:fldChar w:fldCharType="separate"/>
      </w:r>
      <w:r w:rsidR="00D75EFD" w:rsidRPr="00D75EFD">
        <w:rPr>
          <w:noProof/>
        </w:rPr>
        <w:t>(Mackintosh, 1975; Papini &amp; Bitterman, 1993; Pearce &amp; Hall, 1980)</w:t>
      </w:r>
      <w:r w:rsidR="00D75EFD">
        <w:fldChar w:fldCharType="end"/>
      </w:r>
      <w:r w:rsidR="00014A0F">
        <w:t>. There were no differences in the rates of learning to the blocked cue B or to the blocking cue A. (</w:t>
      </w:r>
      <w:r w:rsidR="00014A0F" w:rsidRPr="00014A0F">
        <w:rPr>
          <w:b/>
          <w:bCs/>
        </w:rPr>
        <w:t>A</w:t>
      </w:r>
      <w:r w:rsidR="00014A0F">
        <w:t>) The rate of re-acquisition to cue B (day 17-19) and (</w:t>
      </w:r>
      <w:r w:rsidR="00014A0F" w:rsidRPr="00014A0F">
        <w:rPr>
          <w:b/>
          <w:bCs/>
        </w:rPr>
        <w:t>B</w:t>
      </w:r>
      <w:r w:rsidR="00014A0F">
        <w:t xml:space="preserve">) cue A (day 20-21) did not differ between groups (Cue B: Significant main effect of Day </w:t>
      </w:r>
      <m:oMath>
        <m:r>
          <w:rPr>
            <w:rFonts w:ascii="Cambria Math" w:hAnsi="Cambria Math"/>
          </w:rPr>
          <m:t>F(2,44)=9.54</m:t>
        </m:r>
      </m:oMath>
      <w:r w:rsidR="00014A0F">
        <w:t xml:space="preserve">, </w:t>
      </w:r>
      <m:oMath>
        <m:r>
          <w:rPr>
            <w:rFonts w:ascii="Cambria Math" w:hAnsi="Cambria Math"/>
          </w:rPr>
          <m:t>p&lt;.001</m:t>
        </m:r>
      </m:oMath>
      <w:r w:rsidR="00014A0F">
        <w:t xml:space="preserve">, but no main effect of Group </w:t>
      </w:r>
      <m:oMath>
        <m:r>
          <w:rPr>
            <w:rFonts w:ascii="Cambria Math" w:hAnsi="Cambria Math"/>
          </w:rPr>
          <m:t>F(1,22)=0.12</m:t>
        </m:r>
      </m:oMath>
      <w:r w:rsidR="00014A0F">
        <w:t xml:space="preserve">, </w:t>
      </w:r>
      <m:oMath>
        <m:r>
          <w:rPr>
            <w:rFonts w:ascii="Cambria Math" w:hAnsi="Cambria Math"/>
          </w:rPr>
          <m:t>p=.727</m:t>
        </m:r>
      </m:oMath>
      <w:r w:rsidR="00014A0F">
        <w:t xml:space="preserve">, or Group x Day interaction </w:t>
      </w:r>
      <m:oMath>
        <m:r>
          <w:rPr>
            <w:rFonts w:ascii="Cambria Math" w:hAnsi="Cambria Math"/>
          </w:rPr>
          <m:t>F(2,44)=1.99</m:t>
        </m:r>
      </m:oMath>
      <w:r w:rsidR="00014A0F">
        <w:t xml:space="preserve">, </w:t>
      </w:r>
      <m:oMath>
        <m:r>
          <w:rPr>
            <w:rFonts w:ascii="Cambria Math" w:hAnsi="Cambria Math"/>
          </w:rPr>
          <m:t>p=.148</m:t>
        </m:r>
      </m:oMath>
      <w:r w:rsidR="00014A0F">
        <w:t xml:space="preserve">. Cue A:Significant main effect of Day </w:t>
      </w:r>
      <m:oMath>
        <m:r>
          <w:rPr>
            <w:rFonts w:ascii="Cambria Math" w:hAnsi="Cambria Math"/>
          </w:rPr>
          <m:t>F(1,22)=54.73</m:t>
        </m:r>
      </m:oMath>
      <w:r w:rsidR="00014A0F">
        <w:t xml:space="preserve">, </w:t>
      </w:r>
      <m:oMath>
        <m:r>
          <w:rPr>
            <w:rFonts w:ascii="Cambria Math" w:hAnsi="Cambria Math"/>
          </w:rPr>
          <m:t>p&lt;.001</m:t>
        </m:r>
      </m:oMath>
      <w:r w:rsidR="00014A0F">
        <w:t xml:space="preserve">, but no main effect of Group </w:t>
      </w:r>
      <m:oMath>
        <m:r>
          <w:rPr>
            <w:rFonts w:ascii="Cambria Math" w:hAnsi="Cambria Math"/>
          </w:rPr>
          <m:t>F(1,22)=0.01</m:t>
        </m:r>
      </m:oMath>
      <w:r w:rsidR="00014A0F">
        <w:t xml:space="preserve">, </w:t>
      </w:r>
      <m:oMath>
        <m:r>
          <w:rPr>
            <w:rFonts w:ascii="Cambria Math" w:hAnsi="Cambria Math"/>
          </w:rPr>
          <m:t>p=.919</m:t>
        </m:r>
      </m:oMath>
      <w:r w:rsidR="00014A0F">
        <w:t xml:space="preserve">, or Group x Day interaction </w:t>
      </w:r>
      <m:oMath>
        <m:r>
          <w:rPr>
            <w:rFonts w:ascii="Cambria Math" w:hAnsi="Cambria Math"/>
          </w:rPr>
          <m:t>F(1,22)=2.02</m:t>
        </m:r>
      </m:oMath>
      <w:r w:rsidR="00014A0F">
        <w:t xml:space="preserve">, </w:t>
      </w:r>
      <m:oMath>
        <m:r>
          <w:rPr>
            <w:rFonts w:ascii="Cambria Math" w:hAnsi="Cambria Math"/>
          </w:rPr>
          <m:t>p=.169</m:t>
        </m:r>
      </m:oMath>
      <w:r w:rsidR="00014A0F">
        <w:t>). Note: Due to experimenter error one animal in each group was tested with the wrong counterbalancing and excluded from the analysis of re-acquisition data (remaining N = 24, saline n = 12, muscimol n = 12). Error bars depict ± SEM.</w:t>
      </w:r>
    </w:p>
    <w:sectPr w:rsidR="00867789" w:rsidRPr="00353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60D"/>
    <w:rsid w:val="00002D89"/>
    <w:rsid w:val="00006999"/>
    <w:rsid w:val="00010441"/>
    <w:rsid w:val="0001063D"/>
    <w:rsid w:val="00011CD3"/>
    <w:rsid w:val="00012059"/>
    <w:rsid w:val="00014A0F"/>
    <w:rsid w:val="000228AC"/>
    <w:rsid w:val="00030666"/>
    <w:rsid w:val="0004116D"/>
    <w:rsid w:val="000423A7"/>
    <w:rsid w:val="00050B87"/>
    <w:rsid w:val="000744E5"/>
    <w:rsid w:val="00077384"/>
    <w:rsid w:val="00081908"/>
    <w:rsid w:val="000951DF"/>
    <w:rsid w:val="000A47BE"/>
    <w:rsid w:val="000A7624"/>
    <w:rsid w:val="000D31D5"/>
    <w:rsid w:val="000D38F0"/>
    <w:rsid w:val="000D3E8D"/>
    <w:rsid w:val="000D48FC"/>
    <w:rsid w:val="000E77AD"/>
    <w:rsid w:val="000F11E8"/>
    <w:rsid w:val="000F6B2A"/>
    <w:rsid w:val="00107781"/>
    <w:rsid w:val="00110DD9"/>
    <w:rsid w:val="00123546"/>
    <w:rsid w:val="00124806"/>
    <w:rsid w:val="00125864"/>
    <w:rsid w:val="00130586"/>
    <w:rsid w:val="001370C1"/>
    <w:rsid w:val="00142E98"/>
    <w:rsid w:val="00153790"/>
    <w:rsid w:val="0015445B"/>
    <w:rsid w:val="00154522"/>
    <w:rsid w:val="00154BFC"/>
    <w:rsid w:val="00157058"/>
    <w:rsid w:val="001600B0"/>
    <w:rsid w:val="00163B87"/>
    <w:rsid w:val="001672C0"/>
    <w:rsid w:val="00172F59"/>
    <w:rsid w:val="0017447C"/>
    <w:rsid w:val="0018301C"/>
    <w:rsid w:val="00191BA0"/>
    <w:rsid w:val="00193B23"/>
    <w:rsid w:val="001A3713"/>
    <w:rsid w:val="001A5170"/>
    <w:rsid w:val="001A5499"/>
    <w:rsid w:val="001B2056"/>
    <w:rsid w:val="001B37F0"/>
    <w:rsid w:val="001B5953"/>
    <w:rsid w:val="001B63C3"/>
    <w:rsid w:val="001C36CC"/>
    <w:rsid w:val="001D2573"/>
    <w:rsid w:val="001F61DE"/>
    <w:rsid w:val="002026E0"/>
    <w:rsid w:val="0020469F"/>
    <w:rsid w:val="002050C4"/>
    <w:rsid w:val="002157C3"/>
    <w:rsid w:val="00215D66"/>
    <w:rsid w:val="00221F02"/>
    <w:rsid w:val="002221C4"/>
    <w:rsid w:val="00264281"/>
    <w:rsid w:val="002873D6"/>
    <w:rsid w:val="00291C0D"/>
    <w:rsid w:val="00292416"/>
    <w:rsid w:val="002A085F"/>
    <w:rsid w:val="002B4D26"/>
    <w:rsid w:val="002B4F18"/>
    <w:rsid w:val="002C0FF8"/>
    <w:rsid w:val="002C18A3"/>
    <w:rsid w:val="002D2740"/>
    <w:rsid w:val="002D2F33"/>
    <w:rsid w:val="002D62D6"/>
    <w:rsid w:val="002F151C"/>
    <w:rsid w:val="002F27A0"/>
    <w:rsid w:val="002F5189"/>
    <w:rsid w:val="003019A6"/>
    <w:rsid w:val="00301C88"/>
    <w:rsid w:val="0031296C"/>
    <w:rsid w:val="0031387D"/>
    <w:rsid w:val="00322466"/>
    <w:rsid w:val="003228DC"/>
    <w:rsid w:val="00336EB1"/>
    <w:rsid w:val="00340C86"/>
    <w:rsid w:val="003418ED"/>
    <w:rsid w:val="003530C1"/>
    <w:rsid w:val="003554D7"/>
    <w:rsid w:val="00372011"/>
    <w:rsid w:val="0037452E"/>
    <w:rsid w:val="00386172"/>
    <w:rsid w:val="003867CB"/>
    <w:rsid w:val="00390BFB"/>
    <w:rsid w:val="003A36BB"/>
    <w:rsid w:val="003A3D5C"/>
    <w:rsid w:val="003C486A"/>
    <w:rsid w:val="003C6F6E"/>
    <w:rsid w:val="003D07F5"/>
    <w:rsid w:val="003D65C1"/>
    <w:rsid w:val="003E2A30"/>
    <w:rsid w:val="003E2DFF"/>
    <w:rsid w:val="00402212"/>
    <w:rsid w:val="00402B81"/>
    <w:rsid w:val="00407142"/>
    <w:rsid w:val="004073A0"/>
    <w:rsid w:val="00417B87"/>
    <w:rsid w:val="004204B3"/>
    <w:rsid w:val="00423072"/>
    <w:rsid w:val="004243A6"/>
    <w:rsid w:val="004259A5"/>
    <w:rsid w:val="00425E76"/>
    <w:rsid w:val="00435884"/>
    <w:rsid w:val="00440A6C"/>
    <w:rsid w:val="00442255"/>
    <w:rsid w:val="00445AF0"/>
    <w:rsid w:val="00447E20"/>
    <w:rsid w:val="0046265D"/>
    <w:rsid w:val="00483744"/>
    <w:rsid w:val="00484806"/>
    <w:rsid w:val="004954DC"/>
    <w:rsid w:val="004B6A9D"/>
    <w:rsid w:val="004C2570"/>
    <w:rsid w:val="004C6C2D"/>
    <w:rsid w:val="004D5AF7"/>
    <w:rsid w:val="004E2152"/>
    <w:rsid w:val="004E4C64"/>
    <w:rsid w:val="004F0BE5"/>
    <w:rsid w:val="004F457A"/>
    <w:rsid w:val="00513B90"/>
    <w:rsid w:val="00521F65"/>
    <w:rsid w:val="00525A49"/>
    <w:rsid w:val="00530349"/>
    <w:rsid w:val="0053099B"/>
    <w:rsid w:val="00536D9C"/>
    <w:rsid w:val="0053733F"/>
    <w:rsid w:val="0054311A"/>
    <w:rsid w:val="005457A4"/>
    <w:rsid w:val="005463DB"/>
    <w:rsid w:val="00551425"/>
    <w:rsid w:val="00572D27"/>
    <w:rsid w:val="00574EB6"/>
    <w:rsid w:val="00586BE8"/>
    <w:rsid w:val="00593236"/>
    <w:rsid w:val="0059772C"/>
    <w:rsid w:val="005A5C3D"/>
    <w:rsid w:val="005B18DB"/>
    <w:rsid w:val="005C7205"/>
    <w:rsid w:val="005E396F"/>
    <w:rsid w:val="00600CA9"/>
    <w:rsid w:val="00607D15"/>
    <w:rsid w:val="006117EC"/>
    <w:rsid w:val="00623FBE"/>
    <w:rsid w:val="006339C6"/>
    <w:rsid w:val="00636019"/>
    <w:rsid w:val="006429A0"/>
    <w:rsid w:val="00651775"/>
    <w:rsid w:val="00655FD7"/>
    <w:rsid w:val="006704D5"/>
    <w:rsid w:val="00671819"/>
    <w:rsid w:val="006760C7"/>
    <w:rsid w:val="00681EF5"/>
    <w:rsid w:val="00682514"/>
    <w:rsid w:val="0068768A"/>
    <w:rsid w:val="006A1008"/>
    <w:rsid w:val="006A2D02"/>
    <w:rsid w:val="006A30FC"/>
    <w:rsid w:val="006B50C6"/>
    <w:rsid w:val="006B5FF2"/>
    <w:rsid w:val="006C2916"/>
    <w:rsid w:val="006C6446"/>
    <w:rsid w:val="006D4914"/>
    <w:rsid w:val="006D5304"/>
    <w:rsid w:val="006E38BA"/>
    <w:rsid w:val="006F1CF9"/>
    <w:rsid w:val="006F4B9E"/>
    <w:rsid w:val="00722DE9"/>
    <w:rsid w:val="00723861"/>
    <w:rsid w:val="0073781A"/>
    <w:rsid w:val="00737C46"/>
    <w:rsid w:val="0074404E"/>
    <w:rsid w:val="0074536C"/>
    <w:rsid w:val="00746AB3"/>
    <w:rsid w:val="00771C81"/>
    <w:rsid w:val="00780C65"/>
    <w:rsid w:val="00793A4A"/>
    <w:rsid w:val="00795876"/>
    <w:rsid w:val="007B0776"/>
    <w:rsid w:val="007C066D"/>
    <w:rsid w:val="007C483E"/>
    <w:rsid w:val="007E191A"/>
    <w:rsid w:val="007E7ECC"/>
    <w:rsid w:val="007F40A6"/>
    <w:rsid w:val="007F6B4B"/>
    <w:rsid w:val="00802FF4"/>
    <w:rsid w:val="0082660D"/>
    <w:rsid w:val="00826B94"/>
    <w:rsid w:val="00831F54"/>
    <w:rsid w:val="00834CDD"/>
    <w:rsid w:val="008376FB"/>
    <w:rsid w:val="00840112"/>
    <w:rsid w:val="008478A8"/>
    <w:rsid w:val="00865AC7"/>
    <w:rsid w:val="00866D95"/>
    <w:rsid w:val="00867789"/>
    <w:rsid w:val="00870608"/>
    <w:rsid w:val="008A37F7"/>
    <w:rsid w:val="008C27AE"/>
    <w:rsid w:val="008D1A3F"/>
    <w:rsid w:val="008D57C2"/>
    <w:rsid w:val="00910730"/>
    <w:rsid w:val="00910AC1"/>
    <w:rsid w:val="0091550E"/>
    <w:rsid w:val="009167CC"/>
    <w:rsid w:val="00916F9A"/>
    <w:rsid w:val="0092109A"/>
    <w:rsid w:val="00947BE5"/>
    <w:rsid w:val="00952904"/>
    <w:rsid w:val="0096036C"/>
    <w:rsid w:val="009654D2"/>
    <w:rsid w:val="00965981"/>
    <w:rsid w:val="009706B2"/>
    <w:rsid w:val="00970809"/>
    <w:rsid w:val="0098180F"/>
    <w:rsid w:val="00986475"/>
    <w:rsid w:val="00996001"/>
    <w:rsid w:val="009A07AF"/>
    <w:rsid w:val="009A48F1"/>
    <w:rsid w:val="009A5FF4"/>
    <w:rsid w:val="009B69E4"/>
    <w:rsid w:val="009C1F33"/>
    <w:rsid w:val="009C3A6B"/>
    <w:rsid w:val="009C51F0"/>
    <w:rsid w:val="009D4714"/>
    <w:rsid w:val="009D6B9A"/>
    <w:rsid w:val="009D7D7F"/>
    <w:rsid w:val="009F3D6B"/>
    <w:rsid w:val="00A06D2A"/>
    <w:rsid w:val="00A1222D"/>
    <w:rsid w:val="00A1631D"/>
    <w:rsid w:val="00A212E4"/>
    <w:rsid w:val="00A222B0"/>
    <w:rsid w:val="00A2546A"/>
    <w:rsid w:val="00A267FF"/>
    <w:rsid w:val="00A34CE3"/>
    <w:rsid w:val="00A452BE"/>
    <w:rsid w:val="00A46D0B"/>
    <w:rsid w:val="00A522F2"/>
    <w:rsid w:val="00A74582"/>
    <w:rsid w:val="00A854A0"/>
    <w:rsid w:val="00AA7054"/>
    <w:rsid w:val="00AB1772"/>
    <w:rsid w:val="00AD7567"/>
    <w:rsid w:val="00AE3F35"/>
    <w:rsid w:val="00AF02A1"/>
    <w:rsid w:val="00AF58AF"/>
    <w:rsid w:val="00AF732B"/>
    <w:rsid w:val="00B04A3E"/>
    <w:rsid w:val="00B26080"/>
    <w:rsid w:val="00B33987"/>
    <w:rsid w:val="00B33DDB"/>
    <w:rsid w:val="00B40BF9"/>
    <w:rsid w:val="00B439F9"/>
    <w:rsid w:val="00B4493A"/>
    <w:rsid w:val="00B45736"/>
    <w:rsid w:val="00B52781"/>
    <w:rsid w:val="00B56A0B"/>
    <w:rsid w:val="00B65C90"/>
    <w:rsid w:val="00B6656F"/>
    <w:rsid w:val="00B849D3"/>
    <w:rsid w:val="00B856C5"/>
    <w:rsid w:val="00B94895"/>
    <w:rsid w:val="00B9524E"/>
    <w:rsid w:val="00BB00A4"/>
    <w:rsid w:val="00BB63A6"/>
    <w:rsid w:val="00BC0E1B"/>
    <w:rsid w:val="00BC67F0"/>
    <w:rsid w:val="00BD6C1E"/>
    <w:rsid w:val="00BF251A"/>
    <w:rsid w:val="00C01B67"/>
    <w:rsid w:val="00C041A3"/>
    <w:rsid w:val="00C05129"/>
    <w:rsid w:val="00C07D08"/>
    <w:rsid w:val="00C10F9A"/>
    <w:rsid w:val="00C11622"/>
    <w:rsid w:val="00C160D8"/>
    <w:rsid w:val="00C25941"/>
    <w:rsid w:val="00C42A81"/>
    <w:rsid w:val="00C477E1"/>
    <w:rsid w:val="00C72974"/>
    <w:rsid w:val="00C769FA"/>
    <w:rsid w:val="00C82733"/>
    <w:rsid w:val="00C82859"/>
    <w:rsid w:val="00C84B8C"/>
    <w:rsid w:val="00C91D48"/>
    <w:rsid w:val="00C93DCB"/>
    <w:rsid w:val="00CA5354"/>
    <w:rsid w:val="00CA556D"/>
    <w:rsid w:val="00CB3DA5"/>
    <w:rsid w:val="00CB4CCA"/>
    <w:rsid w:val="00CB522E"/>
    <w:rsid w:val="00CB6390"/>
    <w:rsid w:val="00CC3631"/>
    <w:rsid w:val="00CD00EA"/>
    <w:rsid w:val="00CD1D1A"/>
    <w:rsid w:val="00CD44D2"/>
    <w:rsid w:val="00CF26B2"/>
    <w:rsid w:val="00CF2A42"/>
    <w:rsid w:val="00CF4056"/>
    <w:rsid w:val="00D055D4"/>
    <w:rsid w:val="00D06778"/>
    <w:rsid w:val="00D14545"/>
    <w:rsid w:val="00D22151"/>
    <w:rsid w:val="00D37C05"/>
    <w:rsid w:val="00D565AC"/>
    <w:rsid w:val="00D60994"/>
    <w:rsid w:val="00D622E0"/>
    <w:rsid w:val="00D75EFD"/>
    <w:rsid w:val="00D82027"/>
    <w:rsid w:val="00D874A4"/>
    <w:rsid w:val="00D90185"/>
    <w:rsid w:val="00DB7B58"/>
    <w:rsid w:val="00DE3116"/>
    <w:rsid w:val="00DE5E34"/>
    <w:rsid w:val="00DE6278"/>
    <w:rsid w:val="00E01250"/>
    <w:rsid w:val="00E13900"/>
    <w:rsid w:val="00E152E3"/>
    <w:rsid w:val="00E16E97"/>
    <w:rsid w:val="00E269E3"/>
    <w:rsid w:val="00E71BE5"/>
    <w:rsid w:val="00E80BF4"/>
    <w:rsid w:val="00E848BC"/>
    <w:rsid w:val="00E93097"/>
    <w:rsid w:val="00E96A0E"/>
    <w:rsid w:val="00EB06A5"/>
    <w:rsid w:val="00EC666E"/>
    <w:rsid w:val="00EF40DC"/>
    <w:rsid w:val="00F009F3"/>
    <w:rsid w:val="00F03AE6"/>
    <w:rsid w:val="00F04B24"/>
    <w:rsid w:val="00F15392"/>
    <w:rsid w:val="00F17D36"/>
    <w:rsid w:val="00F30ECA"/>
    <w:rsid w:val="00F45FEB"/>
    <w:rsid w:val="00F508EF"/>
    <w:rsid w:val="00F52954"/>
    <w:rsid w:val="00F530FE"/>
    <w:rsid w:val="00F57734"/>
    <w:rsid w:val="00F6031F"/>
    <w:rsid w:val="00F74A06"/>
    <w:rsid w:val="00F81C86"/>
    <w:rsid w:val="00FA230C"/>
    <w:rsid w:val="00FA5199"/>
    <w:rsid w:val="00FA548D"/>
    <w:rsid w:val="00FC1000"/>
    <w:rsid w:val="00FC26F4"/>
    <w:rsid w:val="00FC5F5F"/>
    <w:rsid w:val="00FC703F"/>
    <w:rsid w:val="00FD4BF3"/>
    <w:rsid w:val="00FE1908"/>
    <w:rsid w:val="00FE4748"/>
    <w:rsid w:val="00FE73BE"/>
    <w:rsid w:val="00FF1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A013"/>
  <w15:chartTrackingRefBased/>
  <w15:docId w15:val="{D29310D1-A806-4C77-BC6C-EBC8C627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B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s">
    <w:name w:val="Figures"/>
    <w:basedOn w:val="Normal"/>
    <w:link w:val="FiguresChar"/>
    <w:qFormat/>
    <w:rsid w:val="006A2D02"/>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6A2D02"/>
    <w:rPr>
      <w:rFonts w:ascii="Times New Roman" w:eastAsiaTheme="majorEastAsia" w:hAnsi="Times New Roman" w:cstheme="majorBidi"/>
      <w:b/>
      <w:noProof/>
      <w:color w:val="000000" w:themeColor="text1"/>
      <w:sz w:val="24"/>
      <w:szCs w:val="32"/>
      <w:lang w:val="en-AU" w:eastAsia="en-AU"/>
    </w:rPr>
  </w:style>
  <w:style w:type="paragraph" w:styleId="BalloonText">
    <w:name w:val="Balloon Text"/>
    <w:basedOn w:val="Normal"/>
    <w:link w:val="BalloonTextChar"/>
    <w:uiPriority w:val="99"/>
    <w:semiHidden/>
    <w:unhideWhenUsed/>
    <w:rsid w:val="00A267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7FF"/>
    <w:rPr>
      <w:rFonts w:ascii="Segoe UI" w:hAnsi="Segoe UI" w:cs="Segoe UI"/>
      <w:sz w:val="18"/>
      <w:szCs w:val="18"/>
    </w:rPr>
  </w:style>
  <w:style w:type="paragraph" w:styleId="BodyText">
    <w:name w:val="Body Text"/>
    <w:basedOn w:val="Normal"/>
    <w:link w:val="BodyTextChar"/>
    <w:unhideWhenUsed/>
    <w:qFormat/>
    <w:rsid w:val="00F530FE"/>
    <w:pPr>
      <w:spacing w:before="180" w:after="180" w:line="240" w:lineRule="auto"/>
    </w:pPr>
    <w:rPr>
      <w:sz w:val="24"/>
      <w:szCs w:val="24"/>
    </w:rPr>
  </w:style>
  <w:style w:type="character" w:customStyle="1" w:styleId="BodyTextChar">
    <w:name w:val="Body Text Char"/>
    <w:basedOn w:val="DefaultParagraphFont"/>
    <w:link w:val="BodyText"/>
    <w:rsid w:val="00F530FE"/>
    <w:rPr>
      <w:sz w:val="24"/>
      <w:szCs w:val="24"/>
    </w:rPr>
  </w:style>
  <w:style w:type="paragraph" w:styleId="CommentText">
    <w:name w:val="annotation text"/>
    <w:basedOn w:val="Normal"/>
    <w:link w:val="CommentTextChar"/>
    <w:uiPriority w:val="99"/>
    <w:semiHidden/>
    <w:unhideWhenUsed/>
    <w:rsid w:val="00AF732B"/>
    <w:pPr>
      <w:spacing w:line="240" w:lineRule="auto"/>
    </w:pPr>
    <w:rPr>
      <w:sz w:val="20"/>
      <w:szCs w:val="20"/>
    </w:rPr>
  </w:style>
  <w:style w:type="character" w:customStyle="1" w:styleId="CommentTextChar">
    <w:name w:val="Comment Text Char"/>
    <w:basedOn w:val="DefaultParagraphFont"/>
    <w:link w:val="CommentText"/>
    <w:uiPriority w:val="99"/>
    <w:semiHidden/>
    <w:rsid w:val="00AF732B"/>
    <w:rPr>
      <w:sz w:val="20"/>
      <w:szCs w:val="20"/>
    </w:rPr>
  </w:style>
  <w:style w:type="character" w:styleId="CommentReference">
    <w:name w:val="annotation reference"/>
    <w:basedOn w:val="DefaultParagraphFont"/>
    <w:uiPriority w:val="99"/>
    <w:semiHidden/>
    <w:unhideWhenUsed/>
    <w:rsid w:val="00AF732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831253">
      <w:bodyDiv w:val="1"/>
      <w:marLeft w:val="0"/>
      <w:marRight w:val="0"/>
      <w:marTop w:val="0"/>
      <w:marBottom w:val="0"/>
      <w:divBdr>
        <w:top w:val="none" w:sz="0" w:space="0" w:color="auto"/>
        <w:left w:val="none" w:sz="0" w:space="0" w:color="auto"/>
        <w:bottom w:val="none" w:sz="0" w:space="0" w:color="auto"/>
        <w:right w:val="none" w:sz="0" w:space="0" w:color="auto"/>
      </w:divBdr>
    </w:div>
    <w:div w:id="594633350">
      <w:bodyDiv w:val="1"/>
      <w:marLeft w:val="0"/>
      <w:marRight w:val="0"/>
      <w:marTop w:val="0"/>
      <w:marBottom w:val="0"/>
      <w:divBdr>
        <w:top w:val="none" w:sz="0" w:space="0" w:color="auto"/>
        <w:left w:val="none" w:sz="0" w:space="0" w:color="auto"/>
        <w:bottom w:val="none" w:sz="0" w:space="0" w:color="auto"/>
        <w:right w:val="none" w:sz="0" w:space="0" w:color="auto"/>
      </w:divBdr>
    </w:div>
    <w:div w:id="101338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66EC-448D-4485-AB1A-FCD1C115B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27</Pages>
  <Words>6326</Words>
  <Characters>36064</Characters>
  <Application>Microsoft Office Word</Application>
  <DocSecurity>0</DocSecurity>
  <Lines>300</Lines>
  <Paragraphs>84</Paragraphs>
  <ScaleCrop>false</ScaleCrop>
  <Company/>
  <LinksUpToDate>false</LinksUpToDate>
  <CharactersWithSpaces>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Marios Panayi</cp:lastModifiedBy>
  <cp:revision>369</cp:revision>
  <dcterms:created xsi:type="dcterms:W3CDTF">2019-04-22T12:30:00Z</dcterms:created>
  <dcterms:modified xsi:type="dcterms:W3CDTF">2020-09-25T20:26:00Z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http://www.zotero.org/styles/apa-no-doi-no-issue</vt:lpwstr>
  </property>
  <property fmtid="{D5CDD505-2E9C-101B-9397-08002B2CF9AE}" pid="7" name="Mendeley Recent Style Name 2_1">
    <vt:lpwstr>American Psychological Association 6th edition (no DOIs, no issue numbers)</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1d2b788b-99c7-3fcb-bc80-0a52c16d7e2f</vt:lpwstr>
  </property>
  <property fmtid="{D5CDD505-2E9C-101B-9397-08002B2CF9AE}" pid="24" name="Mendeley Citation Style_1">
    <vt:lpwstr>http://www.zotero.org/styles/apa-no-doi-no-issue</vt:lpwstr>
  </property>
</Properties>
</file>