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C536" w14:textId="5E1D7F0C" w:rsidR="00FC73FC" w:rsidRDefault="00925532" w:rsidP="00F04D98">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Title: </w:t>
      </w:r>
      <w:r w:rsidR="00FC73FC" w:rsidRPr="008C4349">
        <w:rPr>
          <w:rFonts w:ascii="Times New Roman" w:hAnsi="Times New Roman" w:cs="Times New Roman"/>
          <w:bCs/>
          <w:sz w:val="24"/>
          <w:szCs w:val="24"/>
        </w:rPr>
        <w:t xml:space="preserve">The role of the rodent lateral orbitofrontal cortex </w:t>
      </w:r>
      <w:r w:rsidR="00D81959">
        <w:rPr>
          <w:rFonts w:ascii="Times New Roman" w:hAnsi="Times New Roman" w:cs="Times New Roman"/>
          <w:bCs/>
          <w:sz w:val="24"/>
          <w:szCs w:val="24"/>
        </w:rPr>
        <w:t>in</w:t>
      </w:r>
      <w:r w:rsidR="00FC73FC" w:rsidRPr="008C4349">
        <w:rPr>
          <w:rFonts w:ascii="Times New Roman" w:hAnsi="Times New Roman" w:cs="Times New Roman"/>
          <w:bCs/>
          <w:sz w:val="24"/>
          <w:szCs w:val="24"/>
        </w:rPr>
        <w:t xml:space="preserve"> simple </w:t>
      </w:r>
      <w:r w:rsidR="008C4349" w:rsidRPr="008C4349">
        <w:rPr>
          <w:rFonts w:ascii="Times New Roman" w:hAnsi="Times New Roman" w:cs="Times New Roman"/>
          <w:bCs/>
          <w:sz w:val="24"/>
          <w:szCs w:val="24"/>
        </w:rPr>
        <w:t>Pavlovian cue-outcome learning depends on training experience</w:t>
      </w:r>
    </w:p>
    <w:p w14:paraId="723411EC" w14:textId="77777777" w:rsidR="00925532" w:rsidRPr="001005BA" w:rsidRDefault="00925532" w:rsidP="00F04D98">
      <w:pPr>
        <w:spacing w:line="480" w:lineRule="auto"/>
        <w:rPr>
          <w:rFonts w:ascii="Times New Roman" w:hAnsi="Times New Roman" w:cs="Times New Roman"/>
          <w:sz w:val="24"/>
          <w:szCs w:val="24"/>
        </w:rPr>
      </w:pPr>
      <w:r w:rsidRPr="001005BA">
        <w:rPr>
          <w:rFonts w:ascii="Times New Roman" w:hAnsi="Times New Roman" w:cs="Times New Roman"/>
          <w:sz w:val="24"/>
          <w:szCs w:val="24"/>
        </w:rPr>
        <w:t>Marios C. Panayi *</w:t>
      </w:r>
      <w:r w:rsidRPr="001005BA">
        <w:rPr>
          <w:rFonts w:ascii="Times New Roman" w:hAnsi="Times New Roman" w:cs="Times New Roman"/>
          <w:sz w:val="24"/>
          <w:szCs w:val="24"/>
          <w:vertAlign w:val="superscript"/>
        </w:rPr>
        <w:t>1, 2</w:t>
      </w:r>
      <w:r w:rsidRPr="001005BA">
        <w:rPr>
          <w:rFonts w:ascii="Times New Roman" w:hAnsi="Times New Roman" w:cs="Times New Roman"/>
          <w:sz w:val="24"/>
          <w:szCs w:val="24"/>
        </w:rPr>
        <w:t>, Simon Killcross</w:t>
      </w:r>
      <w:r w:rsidRPr="001005BA">
        <w:rPr>
          <w:rFonts w:ascii="Times New Roman" w:hAnsi="Times New Roman" w:cs="Times New Roman"/>
          <w:sz w:val="24"/>
          <w:szCs w:val="24"/>
          <w:vertAlign w:val="superscript"/>
        </w:rPr>
        <w:t>1</w:t>
      </w:r>
    </w:p>
    <w:p w14:paraId="52A07701" w14:textId="77777777" w:rsidR="00925532" w:rsidRPr="001005BA" w:rsidRDefault="00925532" w:rsidP="00F04D98">
      <w:pPr>
        <w:spacing w:line="480" w:lineRule="auto"/>
        <w:rPr>
          <w:rFonts w:ascii="Times New Roman" w:hAnsi="Times New Roman" w:cs="Times New Roman"/>
          <w:sz w:val="24"/>
          <w:szCs w:val="24"/>
        </w:rPr>
      </w:pPr>
      <w:r w:rsidRPr="001005BA">
        <w:rPr>
          <w:rFonts w:ascii="Times New Roman" w:hAnsi="Times New Roman" w:cs="Times New Roman"/>
          <w:sz w:val="24"/>
          <w:szCs w:val="24"/>
          <w:vertAlign w:val="superscript"/>
        </w:rPr>
        <w:t>1</w:t>
      </w:r>
      <w:r w:rsidRPr="001005BA">
        <w:rPr>
          <w:rFonts w:ascii="Times New Roman" w:hAnsi="Times New Roman" w:cs="Times New Roman"/>
          <w:sz w:val="24"/>
          <w:szCs w:val="24"/>
        </w:rPr>
        <w:t xml:space="preserve"> School of Psychology, The University of New South Wales, Australia.</w:t>
      </w:r>
    </w:p>
    <w:p w14:paraId="71024D55" w14:textId="045BD4C2" w:rsidR="00925532" w:rsidRPr="001005BA" w:rsidRDefault="00925532" w:rsidP="00F04D98">
      <w:pPr>
        <w:spacing w:line="480" w:lineRule="auto"/>
        <w:rPr>
          <w:rFonts w:ascii="Times New Roman" w:hAnsi="Times New Roman" w:cs="Times New Roman"/>
          <w:sz w:val="24"/>
          <w:szCs w:val="24"/>
        </w:rPr>
      </w:pPr>
      <w:r w:rsidRPr="001005BA">
        <w:rPr>
          <w:rFonts w:ascii="Times New Roman" w:hAnsi="Times New Roman" w:cs="Times New Roman"/>
          <w:sz w:val="24"/>
          <w:szCs w:val="24"/>
          <w:vertAlign w:val="superscript"/>
        </w:rPr>
        <w:t>2</w:t>
      </w:r>
      <w:r w:rsidRPr="001005BA">
        <w:rPr>
          <w:rFonts w:ascii="Times New Roman" w:hAnsi="Times New Roman" w:cs="Times New Roman"/>
          <w:sz w:val="24"/>
          <w:szCs w:val="24"/>
        </w:rPr>
        <w:t xml:space="preserve"> National Institutes on Drug Abuse, Intramural Research Program, Baltimore, Maryland, United States of America.</w:t>
      </w:r>
    </w:p>
    <w:p w14:paraId="4A6C2260" w14:textId="088B80D9" w:rsidR="00D46F7E" w:rsidRDefault="00925532" w:rsidP="00D46F7E">
      <w:pPr>
        <w:spacing w:line="480" w:lineRule="auto"/>
      </w:pPr>
      <w:r w:rsidRPr="001005BA">
        <w:rPr>
          <w:rFonts w:ascii="Times New Roman" w:hAnsi="Times New Roman" w:cs="Times New Roman"/>
          <w:sz w:val="24"/>
          <w:szCs w:val="24"/>
        </w:rPr>
        <w:t xml:space="preserve">*Corresponding author: </w:t>
      </w:r>
      <w:hyperlink r:id="rId5" w:history="1">
        <w:r w:rsidR="00D46F7E" w:rsidRPr="00512C7D">
          <w:rPr>
            <w:rStyle w:val="Hyperlink"/>
          </w:rPr>
          <w:t>m.panayi@unsw.edu.au</w:t>
        </w:r>
      </w:hyperlink>
    </w:p>
    <w:p w14:paraId="200F878B" w14:textId="77777777" w:rsidR="00D46F7E" w:rsidRDefault="00D46F7E">
      <w:r>
        <w:br w:type="page"/>
      </w:r>
    </w:p>
    <w:p w14:paraId="747F3466" w14:textId="2D0F0F62" w:rsidR="00164B32" w:rsidRDefault="00164B32" w:rsidP="00F04D98">
      <w:pPr>
        <w:spacing w:line="480" w:lineRule="auto"/>
        <w:jc w:val="center"/>
        <w:rPr>
          <w:rFonts w:ascii="Times New Roman" w:hAnsi="Times New Roman" w:cs="Times New Roman"/>
          <w:b/>
          <w:bCs/>
          <w:sz w:val="24"/>
          <w:szCs w:val="24"/>
          <w:lang w:val="en-GB"/>
        </w:rPr>
      </w:pPr>
      <w:r w:rsidRPr="008D0CD6">
        <w:rPr>
          <w:rFonts w:ascii="Times New Roman" w:hAnsi="Times New Roman" w:cs="Times New Roman"/>
          <w:b/>
          <w:bCs/>
          <w:sz w:val="24"/>
          <w:szCs w:val="24"/>
          <w:lang w:val="en-GB"/>
        </w:rPr>
        <w:lastRenderedPageBreak/>
        <w:t>Abstract</w:t>
      </w:r>
    </w:p>
    <w:p w14:paraId="39C4D373" w14:textId="638A8BDC" w:rsidR="0008038B" w:rsidRDefault="00B15F1C" w:rsidP="00F04D98">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orbitofrontal cortex (OFC) is a critical structure in the flexible control of value based behaviours. OFC dysfunction is typically only detected when task or environmental contingencies change, against a backdrop of apparently intact initial acquisition and behaviour. While intact acquisition following OFC lesions in simple Pavlovian cue-outcome conditioning is </w:t>
      </w:r>
      <w:r w:rsidR="009F75B9">
        <w:rPr>
          <w:rFonts w:ascii="Times New Roman" w:hAnsi="Times New Roman" w:cs="Times New Roman"/>
          <w:bCs/>
          <w:sz w:val="24"/>
          <w:szCs w:val="24"/>
        </w:rPr>
        <w:t>often predicted by</w:t>
      </w:r>
      <w:r>
        <w:rPr>
          <w:rFonts w:ascii="Times New Roman" w:hAnsi="Times New Roman" w:cs="Times New Roman"/>
          <w:bCs/>
          <w:sz w:val="24"/>
          <w:szCs w:val="24"/>
        </w:rPr>
        <w:t xml:space="preserve">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w:t>
      </w:r>
      <w:r w:rsidR="00F7746E">
        <w:rPr>
          <w:rFonts w:ascii="Times New Roman" w:hAnsi="Times New Roman" w:cs="Times New Roman"/>
          <w:bCs/>
          <w:sz w:val="24"/>
          <w:szCs w:val="24"/>
        </w:rPr>
        <w:t>T</w:t>
      </w:r>
      <w:r>
        <w:rPr>
          <w:rFonts w:ascii="Times New Roman" w:hAnsi="Times New Roman" w:cs="Times New Roman"/>
          <w:bCs/>
          <w:sz w:val="24"/>
          <w:szCs w:val="24"/>
        </w:rPr>
        <w:t xml:space="preserve">hese findings suggest that </w:t>
      </w:r>
      <w:r w:rsidR="006B0B09">
        <w:rPr>
          <w:rFonts w:ascii="Times New Roman" w:hAnsi="Times New Roman" w:cs="Times New Roman"/>
          <w:bCs/>
          <w:sz w:val="24"/>
          <w:szCs w:val="24"/>
        </w:rPr>
        <w:t xml:space="preserve">even simple </w:t>
      </w:r>
      <w:r w:rsidR="000D4D18">
        <w:rPr>
          <w:rFonts w:ascii="Times New Roman" w:hAnsi="Times New Roman" w:cs="Times New Roman"/>
          <w:bCs/>
          <w:sz w:val="24"/>
          <w:szCs w:val="24"/>
        </w:rPr>
        <w:t xml:space="preserve">cue-outcome </w:t>
      </w:r>
      <w:r w:rsidR="00DD6FD2">
        <w:rPr>
          <w:rFonts w:ascii="Times New Roman" w:hAnsi="Times New Roman" w:cs="Times New Roman"/>
          <w:bCs/>
          <w:sz w:val="24"/>
          <w:szCs w:val="24"/>
        </w:rPr>
        <w:t xml:space="preserve">representations acquired </w:t>
      </w:r>
      <w:r w:rsidR="006B0B09">
        <w:rPr>
          <w:rFonts w:ascii="Times New Roman" w:hAnsi="Times New Roman" w:cs="Times New Roman"/>
          <w:bCs/>
          <w:sz w:val="24"/>
          <w:szCs w:val="24"/>
        </w:rPr>
        <w:t>in the absence of</w:t>
      </w:r>
      <w:r w:rsidR="00DD6FD2">
        <w:rPr>
          <w:rFonts w:ascii="Times New Roman" w:hAnsi="Times New Roman" w:cs="Times New Roman"/>
          <w:bCs/>
          <w:sz w:val="24"/>
          <w:szCs w:val="24"/>
        </w:rPr>
        <w:t xml:space="preserve"> OFC</w:t>
      </w:r>
      <w:r w:rsidR="000823B3">
        <w:rPr>
          <w:rFonts w:ascii="Times New Roman" w:hAnsi="Times New Roman" w:cs="Times New Roman"/>
          <w:bCs/>
          <w:sz w:val="24"/>
          <w:szCs w:val="24"/>
        </w:rPr>
        <w:t xml:space="preserve"> function are impoverished. </w:t>
      </w:r>
      <w:r w:rsidR="00F05F87">
        <w:rPr>
          <w:rFonts w:ascii="Times New Roman" w:hAnsi="Times New Roman" w:cs="Times New Roman"/>
          <w:bCs/>
          <w:sz w:val="24"/>
          <w:szCs w:val="24"/>
        </w:rPr>
        <w:t xml:space="preserve">Therefore, </w:t>
      </w:r>
      <w:r>
        <w:rPr>
          <w:rFonts w:ascii="Times New Roman" w:hAnsi="Times New Roman" w:cs="Times New Roman"/>
          <w:bCs/>
          <w:sz w:val="24"/>
          <w:szCs w:val="24"/>
        </w:rPr>
        <w:t xml:space="preserve">while OFC function is often associated with flexible behavioural control in complex environments, it is also involved in </w:t>
      </w:r>
      <w:r w:rsidR="001A68A7">
        <w:rPr>
          <w:rFonts w:ascii="Times New Roman" w:hAnsi="Times New Roman" w:cs="Times New Roman"/>
          <w:bCs/>
          <w:sz w:val="24"/>
          <w:szCs w:val="24"/>
        </w:rPr>
        <w:t xml:space="preserve">very </w:t>
      </w:r>
      <w:r>
        <w:rPr>
          <w:rFonts w:ascii="Times New Roman" w:hAnsi="Times New Roman" w:cs="Times New Roman"/>
          <w:bCs/>
          <w:sz w:val="24"/>
          <w:szCs w:val="24"/>
        </w:rPr>
        <w:t>simple Pavlovian acquisition</w:t>
      </w:r>
      <w:r w:rsidR="001A68A7">
        <w:rPr>
          <w:rFonts w:ascii="Times New Roman" w:hAnsi="Times New Roman" w:cs="Times New Roman"/>
          <w:bCs/>
          <w:sz w:val="24"/>
          <w:szCs w:val="24"/>
        </w:rPr>
        <w:t xml:space="preserve"> </w:t>
      </w:r>
      <w:r w:rsidR="00764CF6">
        <w:rPr>
          <w:rFonts w:ascii="Times New Roman" w:hAnsi="Times New Roman" w:cs="Times New Roman"/>
          <w:bCs/>
          <w:sz w:val="24"/>
          <w:szCs w:val="24"/>
        </w:rPr>
        <w:t xml:space="preserve">where complex cue-outcome relationships are irrelevant to </w:t>
      </w:r>
      <w:r w:rsidR="00FE295D">
        <w:rPr>
          <w:rFonts w:ascii="Times New Roman" w:hAnsi="Times New Roman" w:cs="Times New Roman"/>
          <w:bCs/>
          <w:sz w:val="24"/>
          <w:szCs w:val="24"/>
        </w:rPr>
        <w:t xml:space="preserve">task </w:t>
      </w:r>
      <w:r w:rsidR="00764CF6">
        <w:rPr>
          <w:rFonts w:ascii="Times New Roman" w:hAnsi="Times New Roman" w:cs="Times New Roman"/>
          <w:bCs/>
          <w:sz w:val="24"/>
          <w:szCs w:val="24"/>
        </w:rPr>
        <w:t>performance</w:t>
      </w:r>
      <w:r>
        <w:rPr>
          <w:rFonts w:ascii="Times New Roman" w:hAnsi="Times New Roman" w:cs="Times New Roman"/>
          <w:bCs/>
          <w:sz w:val="24"/>
          <w:szCs w:val="24"/>
        </w:rPr>
        <w:t>.</w:t>
      </w:r>
    </w:p>
    <w:p w14:paraId="630C2D8C" w14:textId="77777777" w:rsidR="0008038B" w:rsidRDefault="0008038B">
      <w:pPr>
        <w:rPr>
          <w:rFonts w:ascii="Times New Roman" w:hAnsi="Times New Roman" w:cs="Times New Roman"/>
          <w:bCs/>
          <w:sz w:val="24"/>
          <w:szCs w:val="24"/>
        </w:rPr>
      </w:pPr>
      <w:r>
        <w:rPr>
          <w:rFonts w:ascii="Times New Roman" w:hAnsi="Times New Roman" w:cs="Times New Roman"/>
          <w:bCs/>
          <w:sz w:val="24"/>
          <w:szCs w:val="24"/>
        </w:rPr>
        <w:br w:type="page"/>
      </w:r>
    </w:p>
    <w:p w14:paraId="617921F5" w14:textId="06836B07" w:rsidR="008E1084" w:rsidRDefault="008E1084" w:rsidP="008E1084">
      <w:pPr>
        <w:spacing w:line="48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Introduction</w:t>
      </w:r>
    </w:p>
    <w:p w14:paraId="03BDEF5B" w14:textId="32D4B557" w:rsidR="002C3CC2" w:rsidRPr="008D0CD6" w:rsidRDefault="002C3CC2" w:rsidP="00F04D98">
      <w:pPr>
        <w:spacing w:line="480" w:lineRule="auto"/>
        <w:rPr>
          <w:rFonts w:ascii="Times New Roman" w:hAnsi="Times New Roman" w:cs="Times New Roman"/>
          <w:bCs/>
          <w:sz w:val="24"/>
          <w:szCs w:val="24"/>
          <w:lang w:val="en-GB"/>
        </w:rPr>
      </w:pPr>
      <w:r w:rsidRPr="008D0CD6">
        <w:rPr>
          <w:rFonts w:ascii="Times New Roman" w:hAnsi="Times New Roman" w:cs="Times New Roman"/>
          <w:bCs/>
          <w:sz w:val="24"/>
          <w:szCs w:val="24"/>
          <w:lang w:val="en-GB"/>
        </w:rPr>
        <w:t xml:space="preserve">The orbitofrontal cortex (OFC) is critical to behavioural flexibility when learning and behaviour need to be updated to reflect a change in the environment </w:t>
      </w:r>
      <w:r w:rsidRPr="008D0CD6">
        <w:rPr>
          <w:rFonts w:ascii="Times New Roman" w:hAnsi="Times New Roman" w:cs="Times New Roman"/>
          <w:bCs/>
          <w:sz w:val="24"/>
          <w:szCs w:val="24"/>
          <w:lang w:val="en-GB"/>
        </w:rPr>
        <w:fldChar w:fldCharType="begin" w:fldLock="1"/>
      </w:r>
      <w:r w:rsidR="00305542">
        <w:rPr>
          <w:rFonts w:ascii="Times New Roman" w:hAnsi="Times New Roman" w:cs="Times New Roman"/>
          <w:bCs/>
          <w:sz w:val="24"/>
          <w:szCs w:val="24"/>
          <w:lang w:val="en-GB"/>
        </w:rPr>
        <w:instrText>ADDIN CSL_CITATION {"citationItems":[{"id":"ITEM-1","itemData":{"author":[{"dropping-particle":"","family":"Klein-Flugge","given":"M C","non-dropping-particle":"","parse-names":false,"suffix":""},{"dropping-particle":"","family":"Barron","given":"H C","non-dropping-particle":"","parse-names":false,"suffix":""},{"dropping-particle":"","family":"Brodersen","given":"K H","non-dropping-particle":"","parse-names":false,"suffix":""},{"dropping-particle":"","family":"Dolan","given":"R J","non-dropping-particle":"","parse-names":false,"suffix":""},{"dropping-particle":"","family":"Behrens","given":"T E","non-dropping-particle":"","parse-names":false,"suffix":""}],"container-title":"Journal of Neuroscience","id":"ITEM-1","issued":{"date-parts":[["2013"]]},"page":"3202-3211","title":"Segregated encoding of reward-identity and stimulus-reward associations in human orbitofrontal cortex","type":"article-journal","volume":"33"},"uris":["http://www.mendeley.com/documents/?uuid=485a457c-85d7-49f2-bfba-4d6a097fc653"]},{"id":"ITEM-2","itemData":{"DOI":"10.1016/j.cub.2019.10.058","abstract":"Highlights d Rats show immediate changes in choice behavior following reinforcer revaluation d Direction of satiety-specific revaluation depends on the baseline food preference d Orbitofrontal inactivation disrupts behavior following reinforcer revaluation In Brief Appropriate decision making depends on up-to-date information about the available offers. Here, Gardner et al. show that immediate adjustments in choice behavior following revaluation of an offer require the orbitofrontal cortex to be online at the time of the choice.","author":[{"dropping-particle":"","family":"Gardner","given":"Matthew P.H.","non-dropping-particle":"","parse-names":false,"suffix":""},{"dropping-particle":"","family":"Conroy","given":"Jessica C","non-dropping-particle":"","parse-names":false,"suffix":""},{"dropping-particle":"","family":"Sanchez","given":"Davied C","non-dropping-particle":"","parse-names":false,"suffix":""},{"dropping-particle":"","family":"Zhou","given":"Jingfeng","non-dropping-particle":"","parse-names":false,"suffix":""},{"dropping-particle":"","family":"Schoenbaum","given":"G.","non-dropping-particle":"","parse-names":false,"suffix":""}],"container-title":"Current Biology","id":"ITEM-2","issued":{"date-parts":[["2019"]]},"title":"Real-Time Value Integration during Economic Choice Is Regulated by Orbitofrontal Cortex","type":"article-journal"},"uris":["http://www.mendeley.com/documents/?uuid=92212c66-0a64-382f-83ef-b8154a41c82f"]},{"id":"ITEM-3","itemData":{"DOI":"10.1038/s41583-018-0013-4","ISSN":"1471-003X","abstract":"The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Neuroscience","id":"ITEM-3","issue":"7","issued":{"date-parts":[["2018","7","23"]]},"page":"404-417","publisher":"Nature Publishing Group","title":"Specializations for reward-guided decision-making in the primate ventral prefrontal cortex","type":"article-journal","volume":"19"},"uris":["http://www.mendeley.com/documents/?uuid=071e82ae-9a82-3ab2-ba18-e67ab741054e"]},{"id":"ITEM-4","itemData":{"DOI":"10.1016/j.neuron.2014.10.049","abstract":"The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Outcomes","type":"article-journal","volume":"84"},"uris":["http://www.mendeley.com/documents/?uuid=045ae595-4a1e-462a-abf9-8dc98a92d0e2"]},{"id":"ITEM-5","itemData":{"DOI":"Doi 10.1038/Nrn1747","ISBN":"1471-0048","abstract":"Hedonic experience is arguably at the heart of what makes us human. In recent neuroimaging studies of the cortical networks that mediate hedonic experience in the human brain, the orbitofrontal cortex has emerged as the strongest candidate for linking food and other types of reward to hedonic experience. The orbitofrontal cortex is among the least understood regions of the human brain, but has been proposed to be involved in sensory integration, in representing the affective value of reinforcers, and in decision making and expectation. Here, the functional neuroanatomy of the human orbitofrontal cortex is described and a new integrated model of its functions proposed, including a possible role in the mediation of hedonic experience.","author":[{"dropping-particle":"","family":"Kringelbach","given":"M L","non-dropping-particle":"","parse-names":false,"suffix":""}],"container-title":"Nature Reviews Neuroscience","id":"ITEM-5","issue":"9","issued":{"date-parts":[["2005"]]},"language":"English","note":"960LJ\nTimes Cited:682\nCited References Count:114","page":"691-702","title":"The human orbitofrontal cortex: Linking reward to hedonic experience","type":"article-journal","volume":"6"},"uris":["http://www.mendeley.com/documents/?uuid=e4fcb5e4-4830-4f51-92d1-0b9c5ec125ab"]}],"mendeley":{"formattedCitation":"(Gardner et al., 2019; Klein-Flugge et al., 2013; Kringelbach, 2005; Murray &amp; Rudebeck, 2018; Rudebeck &amp; Murray, 2014)","plainTextFormattedCitation":"(Gardner et al., 2019; Klein-Flugge et al., 2013; Kringelbach, 2005; Murray &amp; Rudebeck, 2018; Rudebeck &amp; Murray, 2014)","previouslyFormattedCitation":"(Gardner et al., 2019; Klein-Flugge et al., 2013; Kringelbach, 2005; Murray &amp; Rudebeck, 2018; Rudebeck &amp; Murray, 2014)"},"properties":{"noteIndex":0},"schema":"https://github.com/citation-style-language/schema/raw/master/csl-citation.json"}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(Gardner et al., 2019; Klein-Flugge et al., 2013; Kringelbach, 2005; Murray &amp; Rudebeck, 2018; Rudebeck &amp; Murray, 2014)</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In particular, the OFC is necessary for appropriately updating </w:t>
      </w:r>
      <w:r w:rsidR="008A2476" w:rsidRPr="008D0CD6">
        <w:rPr>
          <w:rFonts w:ascii="Times New Roman" w:hAnsi="Times New Roman" w:cs="Times New Roman"/>
          <w:bCs/>
          <w:sz w:val="24"/>
          <w:szCs w:val="24"/>
          <w:lang w:val="en-GB"/>
        </w:rPr>
        <w:t>behaviour</w:t>
      </w:r>
      <w:r w:rsidRPr="008D0CD6">
        <w:rPr>
          <w:rFonts w:ascii="Times New Roman" w:hAnsi="Times New Roman" w:cs="Times New Roman"/>
          <w:bCs/>
          <w:sz w:val="24"/>
          <w:szCs w:val="24"/>
          <w:lang w:val="en-GB"/>
        </w:rPr>
        <w:t xml:space="preserve"> when the contingencies between predictive cues and outcomes change, or when outcomes change in value </w:t>
      </w:r>
      <w:r w:rsidRPr="008D0CD6">
        <w:rPr>
          <w:rFonts w:ascii="Times New Roman" w:hAnsi="Times New Roman" w:cs="Times New Roman"/>
          <w:bCs/>
          <w:sz w:val="24"/>
          <w:szCs w:val="24"/>
          <w:lang w:val="en-GB"/>
        </w:rPr>
        <w:fldChar w:fldCharType="begin" w:fldLock="1"/>
      </w:r>
      <w:r w:rsidR="00655C8A">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 Pickens et al., 2005; Walton et al., 2011)","plainTextFormattedCitation":"(Panayi &amp; Killcross, 2018; Pickens et al., 2005; Walton et al., 2011)","previouslyFormattedCitation":"(Panayi &amp; Killcross, 2018; Pickens et al., 2005; Walton et al., 2011)"},"properties":{"noteIndex":0},"schema":"https://github.com/citation-style-language/schema/raw/master/csl-citation.json"}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00FA6E1C" w:rsidRPr="00FA6E1C">
        <w:rPr>
          <w:rFonts w:ascii="Times New Roman" w:hAnsi="Times New Roman" w:cs="Times New Roman"/>
          <w:bCs/>
          <w:noProof/>
          <w:sz w:val="24"/>
          <w:szCs w:val="24"/>
          <w:lang w:val="en-GB"/>
        </w:rPr>
        <w:t>(Panayi &amp; Killcross, 2018; Pickens et al., 2005; Walton et al., 2011)</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w:t>
      </w:r>
      <w:r w:rsidR="00AA3743">
        <w:rPr>
          <w:rFonts w:ascii="Times New Roman" w:hAnsi="Times New Roman" w:cs="Times New Roman"/>
          <w:bCs/>
          <w:sz w:val="24"/>
          <w:szCs w:val="24"/>
          <w:lang w:val="en-GB"/>
        </w:rPr>
        <w:t>The i</w:t>
      </w:r>
      <w:r w:rsidRPr="008D0CD6">
        <w:rPr>
          <w:rFonts w:ascii="Times New Roman" w:hAnsi="Times New Roman" w:cs="Times New Roman"/>
          <w:bCs/>
          <w:sz w:val="24"/>
          <w:szCs w:val="24"/>
          <w:lang w:val="en-GB"/>
        </w:rPr>
        <w:t xml:space="preserve">nformation encoded in OFC about the expected value and identity of predicted outcomes is necessary for flexibly updating behaviour when these outcome features change. Population and single-unit neuronal firing in the OFC encodes many features of reward outcomes (e.g. size, preference, identity, time, location, probability, certainty, salience </w:t>
      </w:r>
      <w:r w:rsidRPr="008D0CD6">
        <w:rPr>
          <w:rFonts w:ascii="Times New Roman" w:hAnsi="Times New Roman" w:cs="Times New Roman"/>
          <w:bCs/>
          <w:sz w:val="24"/>
          <w:szCs w:val="24"/>
          <w:lang w:val="en-GB"/>
        </w:rPr>
        <w:fldChar w:fldCharType="begin" w:fldLock="1"/>
      </w:r>
      <w:r w:rsidR="00305542">
        <w:rPr>
          <w:rFonts w:ascii="Times New Roman" w:hAnsi="Times New Roman" w:cs="Times New Roman"/>
          <w:bCs/>
          <w:sz w:val="24"/>
          <w:szCs w:val="24"/>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task","type":"article-journal","volume":"7"},"uris":["http://www.mendeley.com/documents/?uuid=f4e59df1-75b3-3d3e-a4a7-173d32db14ea"]},{"id":"ITEM-3","itemData":{"author":[{"dropping-particle":"","family":"Takahashi","given":"Yuji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-3","issued":{"date-parts":[["2013"]]},"page":"507-518","title":"Neural estimates of imagined outcomes in the orbitofrontal cortex drive behavior and learning","type":"article-journal","volume":"80"},"uris":["http://www.mendeley.com/documents/?uuid=fd8747dc-8e3e-4f94-bf85-606dfceeb18c"]},{"id":"ITEM-4","itemData":{"DOI":"10.1016/j.neuron.2012.11.006","ISSN":"1097-4199","PMID":"23352162","abstract":"Decision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-4","issue":"2","issued":{"date-parts":[["2013","1","23"]]},"page":"251-8","publisher":"Elsevier","title":"Risk-responsive orbitofrontal neurons track acquired salience.","type":"article-journal","volume":"77"},"uris":["http://www.mendeley.com/documents/?uuid=bee8e34e-0469-3ab2-9be7-e5f589d05609"]},{"id":"ITEM-5","itemData":{"DOI":"10.1016/j.cub.2019.01.048","ISSN":"09609822","PMID":"30827919","abstract":"The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Biology","id":"ITEM-5","issued":{"date-parts":[["2019"]]},"title":"Rat Orbitofrontal Ensemble Activity Contains Multiplexed but Dissociable Representations of Value and Task Structure in an Odor Sequence Task","type":"article-journal"},"uris":["http://www.mendeley.com/documents/?uuid=4f36717f-8ad1-4452-97a6-431a17300717"]},{"id":"ITEM-6","itemData":{"author":[{"dropping-particle":"","family":"Padoa-Schioppa","given":"C","non-dropping-particle":"","parse-names":false,"suffix":""}],"container-title":"Journal of Neuroscience","id":"ITEM-6","issued":{"date-parts":[["2009"]]},"page":"14004-14014","title":"Range-adapting representation of economic value in the orbitofrontal cortex","type":"article-journal","volume":"29"},"uris":["http://www.mendeley.com/documents/?uuid=7a5669e3-d3c1-4bab-8c0e-b886c902edbd"]},{"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(Delamater, 2007; Ogawa et al., 2013; Padoa-Schioppa, 2009; Sadacca et al., 2018; Stalnaker et al., 2014; Takahashi et al., 2013; Zhou et al., 2019)</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furthermore the coding of these features develops over the course of learning to predictive cues in anticipation of the expected outcome </w:t>
      </w:r>
      <w:r w:rsidRPr="008D0CD6">
        <w:rPr>
          <w:rFonts w:ascii="Times New Roman" w:hAnsi="Times New Roman" w:cs="Times New Roman"/>
          <w:bCs/>
          <w:sz w:val="24"/>
          <w:szCs w:val="24"/>
          <w:lang w:val="en-GB"/>
        </w:rPr>
        <w:fldChar w:fldCharType="begin" w:fldLock="1"/>
      </w:r>
      <w:r w:rsidR="00234420">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behaviour","type":"article-journal","volume":"10"},"uris":["http://www.mendeley.com/documents/?uuid=9124fd3f-a73f-4663-9302-6f70d776e02c"]}],"mendeley":{"formattedCitation":"(Schoenbaum et al., 2009)","plainTextFormattedCitation":"(Schoenbaum et al., 2009)","previouslyFormattedCitation":"(Schoenbaum et al., 2009)"},"properties":{"noteIndex":0},"schema":"https://github.com/citation-style-language/schema/raw/master/csl-citation.json"}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00305542" w:rsidRPr="00305542">
        <w:rPr>
          <w:rFonts w:ascii="Times New Roman" w:hAnsi="Times New Roman" w:cs="Times New Roman"/>
          <w:bCs/>
          <w:noProof/>
          <w:sz w:val="24"/>
          <w:szCs w:val="24"/>
          <w:lang w:val="en-GB"/>
        </w:rPr>
        <w:t>(Schoenbaum et al., 2009)</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There is also substantial evidence to suggest that this outcome expectancy information in the OFC is incorporated into mid-brain dopaminergic reward prediction errors </w:t>
      </w:r>
      <w:r w:rsidRPr="008D0CD6">
        <w:rPr>
          <w:rFonts w:ascii="Times New Roman" w:hAnsi="Times New Roman" w:cs="Times New Roman"/>
          <w:bCs/>
          <w:sz w:val="24"/>
          <w:szCs w:val="24"/>
          <w:lang w:val="en-GB"/>
        </w:rPr>
        <w:fldChar w:fldCharType="begin" w:fldLock="1"/>
      </w:r>
      <w:r w:rsidR="00305542">
        <w:rPr>
          <w:rFonts w:ascii="Times New Roman" w:hAnsi="Times New Roman" w:cs="Times New Roman"/>
          <w:bCs/>
          <w:sz w:val="24"/>
          <w:szCs w:val="24"/>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(Takahashi et al., 2011)</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which are critical for learning </w:t>
      </w:r>
      <w:r w:rsidRPr="008D0CD6">
        <w:rPr>
          <w:rFonts w:ascii="Times New Roman" w:hAnsi="Times New Roman" w:cs="Times New Roman"/>
          <w:bCs/>
          <w:sz w:val="24"/>
          <w:szCs w:val="24"/>
          <w:lang w:val="en-GB"/>
        </w:rPr>
        <w:fldChar w:fldCharType="begin" w:fldLock="1"/>
      </w:r>
      <w:r w:rsidRPr="008D0CD6">
        <w:rPr>
          <w:rFonts w:ascii="Times New Roman" w:hAnsi="Times New Roman" w:cs="Times New Roman"/>
          <w:bCs/>
          <w:sz w:val="24"/>
          <w:szCs w:val="24"/>
          <w:lang w:val="en-GB"/>
        </w:rPr>
        <w: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Neuroscience","id":"ITEM-2","issue":"7","issued":{"date-parts":[["2013"]]},"page":"966-973","title":"A causal link between prediction errors, dopamine neurons and learning","type":"article-journal","volume":"16"},"uris":["http://www.mendeley.com/documents/?uuid=721f625d-09d6-42e2-82ad-124b5a1bfbdf"]}],"mendeley":{"formattedCitation":"(Schultz, 1998; Steinberg et al., 2013)","plainTextFormattedCitation":"(Schultz, 1998; Steinberg et al., 2013)","previouslyFormattedCitation":"(Schultz, 1998; Steinberg et al., 2013)"},"properties":{"noteIndex":0},"schema":"https://github.com/citation-style-language/schema/raw/master/csl-citation.json"}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(Schultz, 1998; Steinberg et al., 2013)</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w:t>
      </w:r>
    </w:p>
    <w:p w14:paraId="6351C06C" w14:textId="159254FF" w:rsidR="006E2E82" w:rsidRPr="008D0CD6" w:rsidRDefault="006E2E82" w:rsidP="00F04D98">
      <w:pPr>
        <w:spacing w:line="480" w:lineRule="auto"/>
        <w:ind w:firstLine="720"/>
        <w:rPr>
          <w:rFonts w:ascii="Times New Roman" w:hAnsi="Times New Roman" w:cs="Times New Roman"/>
          <w:bCs/>
          <w:sz w:val="24"/>
          <w:szCs w:val="24"/>
          <w:lang w:val="en-GB"/>
        </w:rPr>
      </w:pPr>
      <w:r w:rsidRPr="008D0CD6">
        <w:rPr>
          <w:rFonts w:ascii="Times New Roman" w:hAnsi="Times New Roman" w:cs="Times New Roman"/>
          <w:bCs/>
          <w:sz w:val="24"/>
          <w:szCs w:val="24"/>
          <w:lang w:val="en-GB"/>
        </w:rPr>
        <w:t xml:space="preserve">However, despite these close ties to the learning process, the OFC is typically not necessary for the initial </w:t>
      </w:r>
      <w:r w:rsidR="0093685E" w:rsidRPr="008D0CD6">
        <w:rPr>
          <w:rFonts w:ascii="Times New Roman" w:hAnsi="Times New Roman" w:cs="Times New Roman"/>
          <w:bCs/>
          <w:sz w:val="24"/>
          <w:szCs w:val="24"/>
          <w:lang w:val="en-GB"/>
        </w:rPr>
        <w:t>learning</w:t>
      </w:r>
      <w:r w:rsidRPr="008D0CD6">
        <w:rPr>
          <w:rFonts w:ascii="Times New Roman" w:hAnsi="Times New Roman" w:cs="Times New Roman"/>
          <w:bCs/>
          <w:sz w:val="24"/>
          <w:szCs w:val="24"/>
          <w:lang w:val="en-GB"/>
        </w:rPr>
        <w:t xml:space="preserve"> </w:t>
      </w:r>
      <w:r w:rsidRPr="008D0CD6">
        <w:rPr>
          <w:rFonts w:ascii="Times New Roman" w:hAnsi="Times New Roman" w:cs="Times New Roman"/>
          <w:bCs/>
          <w:sz w:val="24"/>
          <w:szCs w:val="24"/>
          <w:lang w:val="en-GB"/>
        </w:rPr>
        <w:fldChar w:fldCharType="begin" w:fldLock="1"/>
      </w:r>
      <w:r w:rsidR="00305542">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K.","non-dropping-particle":"","parse-names":false,"suffix":""},{"dropping-particle":"","family":"Schoenbaum","given":"G.","non-dropping-particle":"","parse-names":false,"suffix":""}],"container-title":"Nature Neuroscience","id":"ITEM-2","issued":{"date-parts":[["2015"]]},"title":"What the orbitofrontal cortex does not do","type":"article"},"uris":["http://www.mendeley.com/documents/?uuid=27e76bc7-609d-486b-a56b-b8b4e15e5051"]},{"id":"ITEM-3","itemData":{"DOI":"10.1523/JNEUROSCI.1678-17.2017","ISSN":"1529-2401","PMID":"29093055","abstract":"Rat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work.","author":[{"dropping-particle":"","family":"Izquierdo","given":"Alicia","non-dropping-particle":"","parse-names":false,"suffix":""}],"container-title":"The Journal of neuroscience : the official journal of the Society for Neuroscience","id":"ITEM-3","issue":"44","issued":{"date-parts":[["2017","11","1"]]},"page":"10529-10540","publisher":"Society for Neuroscience","title":"Functional Heterogeneity within Rat Orbitofrontal Cortex in Reward Learning and Decision Making.","type":"article-journal","volume":"37"},"uris":["http://www.mendeley.com/documents/?uuid=e9c2f44d-77e4-3271-a668-e294c7686aaa"]},{"id":"ITEM-4","itemData":{"DOI":"10.1016/j.neuron.2014.10.049","abstract":"The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A.","non-dropping-particle":"","parse-names":false,"suffix":""}],"container-title":"Neuron","id":"ITEM-4","issue":"6","issued":{"date-parts":[["2014"]]},"page":"1143-1156","publisher":"Elsevier","title":"The Orbitofrontal Oracle: Cortical Mechanisms for the Prediction and Evaluation of Specific Behavioral Outcomes","type":"article-journal","volume":"84"},"uris":["http://www.mendeley.com/documents/?uuid=045ae595-4a1e-462a-abf9-8dc98a92d0e2"]},{"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conditioning","type":"chapter","volume":"1121"},"prefix":"comprehensively documented by ","uris":["http://www.mendeley.com/documents/?uuid=fe58f3e9-0bae-4cf9-be89-0a503f752db3"]}],"mendeley":{"formattedCitation":"(comprehensively documented by Delamater, 2007; Izquierdo, 2017; Murray et al., 2007; Rudebeck &amp; Murray, 2014; Stalnaker et al., 2015)","plainTextFormattedCitation":"(comprehensively documented by Delamater, 2007; Izquierdo, 2017; Murray et al., 2007; Rudebeck &amp; Murray, 2014; Stalnaker et al., 2015)","previouslyFormattedCitation":"(comprehensively documented by Delamater, 2007; Izquierdo, 2017; Murray et al., 2007; Rudebeck &amp; Murray, 2014; Stalnaker et al., 2015)"},"properties":{"noteIndex":0},"schema":"https://github.com/citation-style-language/schema/raw/master/csl-citation.json"}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(comprehensively documented by Delamater, 2007; Izquierdo, 2017; Murray et al., 2007; Rudebeck &amp; Murray, 2014; Stalnaker et al., 2015)</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except in the most complex of circumstances </w:t>
      </w:r>
      <w:r w:rsidRPr="008D0CD6">
        <w:rPr>
          <w:rFonts w:ascii="Times New Roman" w:hAnsi="Times New Roman" w:cs="Times New Roman"/>
          <w:bCs/>
          <w:sz w:val="24"/>
          <w:szCs w:val="24"/>
          <w:lang w:val="en-GB"/>
        </w:rPr>
        <w:fldChar w:fldCharType="begin" w:fldLock="1"/>
      </w:r>
      <w:r w:rsidRPr="008D0CD6">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world","type":"article-journal","volume":"1239"},"prefix":"e.g. ","uris":["http://www.mendeley.com/documents/?uuid=f7a1d0b4-bc76-4e29-ae07-7c64d6d4d80d"]}],"mendeley":{"formattedCitation":"(e.g. Walton et al., 2011)","plainTextFormattedCitation":"(e.g. Walton et al., 2011)","previouslyFormattedCitation":"(e.g. Walton et al., 2011)"},"properties":{"noteIndex":0},"schema":"https://github.com/citation-style-language/schema/raw/master/csl-citation.json"}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(e.g. Walton et al., 2011)</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Lesions and functional inactivation of the OFC do not appear to disturb initial learning about Pavlovian cue-outcome relationships in a range of tasks, and instead only reveal their effects when the cue-outcome relationships change, </w:t>
      </w:r>
      <w:r w:rsidRPr="008D0CD6">
        <w:rPr>
          <w:rFonts w:ascii="Times New Roman" w:hAnsi="Times New Roman" w:cs="Times New Roman"/>
          <w:bCs/>
          <w:sz w:val="24"/>
          <w:szCs w:val="24"/>
          <w:lang w:val="en-GB"/>
        </w:rPr>
        <w:lastRenderedPageBreak/>
        <w:t xml:space="preserve">or when the value of expected outcomes change, such as in reversal learning and outcome devaluation procedures </w:t>
      </w:r>
      <w:r w:rsidRPr="008D0CD6">
        <w:rPr>
          <w:rFonts w:ascii="Times New Roman" w:hAnsi="Times New Roman" w:cs="Times New Roman"/>
          <w:bCs/>
          <w:sz w:val="24"/>
          <w:szCs w:val="24"/>
          <w:lang w:val="en-GB"/>
        </w:rPr>
        <w:fldChar w:fldCharType="begin" w:fldLock="1"/>
      </w:r>
      <w:r w:rsidR="00234420">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reversals","type":"article-journal","volume":"10"},"uris":["http://www.mendeley.com/documents/?uuid=5ebfb22c-1f18-498d-8cd4-28e2d758f013"]},{"id":"ITEM-2","itemData":{"DOI":"10.1038/380069a0","ISBN":"0028-0836 (Print)\r0028-0836 (Linking)","PMID":"8598908","abstract":"The prefrontal cortex is implicated in such human characteristics as volition, planning, abstract reasoning and affect. Frontal-lobe damage can cause disinhibition such that the behaviour of a subject is guided by previously acquired responses that are inappropriate to the current situation. Here we demonstrate that disinhibition, or a loss of inhibitory control, can be selective for particular cognitive functions and that different regions of the prefrontal cortex provide inhibitory control in different aspects of cognitive processing. Thus, whereas damage to the lateral prefrontal cortex (Brodmann's area 9) in monkeys causes a loss of inhibitory control in attentional selection, damage to the orbito-frontal cortex in monkeys causes a loss of inhibitory control in 'affective' processing, thereby impairing the ability to alter behaviour in response to fluctuations in the emotional significance of stimuli. These findings not only support the view that the prefrontal cortex has multiple functions, but also provide evidence for the distribution of different cognitive functions within specific regions of prefrontal cortex.","author":[{"dropping-particle":"","family":"Dias","given":"R","non-dropping-particle":"","parse-names":false,"suffix":""},{"dropping-particle":"","family":"Robbins","given":"T W","non-dropping-particle":"","parse-names":false,"suffix":""},{"dropping-particle":"","family":"Roberts","given":"A C","non-dropping-particle":"","parse-names":false,"suffix":""}],"container-title":"Nature","id":"ITEM-2","issue":"6569","issued":{"date-parts":[["1996"]]},"note":"Dias, R\nRobbins, T W\nRoberts, A C\neng\nWellcome Trust/United Kingdom\nResearch Support, Non-U.S. Gov't\nENGLAND\n1996/03/07\nNature. 1996 Mar 7;380(6569):69-72.","page":"69-72","title":"Dissociation in prefrontal cortex of affective and attentional shifts","type":"article-journal","volume":"380"},"uris":["http://www.mendeley.com/documents/?uuid=f9faf17f-6dd3-4323-b02d-e36dce17274e"]},{"id":"ITEM-3","itemData":{"ISBN":"0014-4819 (Print)\r0014-4819 (Linking)","PMID":"4993199","author":[{"dropping-particle":"","family":"Iversen","given":"S D","non-dropping-particle":"","parse-names":false,"suffix":""},{"dropping-particle":"","family":"Mishkin","given":"M","non-dropping-particle":"","parse-names":false,"suffix":""}],"container-title":"Experimental Brain Research","id":"ITEM-3","issue":"4","issued":{"date-parts":[["1970"]]},"note":"Iversen, S D\nMishkin, M\neng\nGERMANY, WEST\n1970/11/26\nExp Brain Res. 1970 Nov 26;11(4):376-86.","page":"376-386","title":"Perseverative interference in monkeys following selective lesions of the inferior prefrontal convexity","type":"article-journal","volume":"11"},"uris":["http://www.mendeley.com/documents/?uuid=39fb1a65-1899-441a-89c1-44080522265d"]},{"id":"ITEM-4","itemData":{"author":[{"dropping-particle":"","family":"Butter","given":"C M","non-dropping-particle":"","parse-names":false,"suffix":""}],"container-title":"Physiol. Behav","id":"ITEM-4","issued":{"date-parts":[["1969"]]},"page":"163-171","title":"Perseveration in extinction and in discrimination reversal tasks following selective frontal ablations in Macaca mulatta","type":"article-journal","volume":"4"},"uris":["http://www.mendeley.com/documents/?uuid=ebd12b0a-14cc-41fd-a252-aadb3df2450a"]},{"id":"ITEM-5","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Neuroscience","id":"ITEM-5","issue":"15","issued":{"date-parts":[["1999"]]},"language":"English","page":"6610-6614","title":"Orbitofrontal cortex and representation of incentive value in associative learning","type":"article-journal","volume":"19"},"uris":["http://www.mendeley.com/documents/?uuid=67ba92ca-b679-407e-9f2a-7aac71c3f739"]},{"id":"ITEM-6","itemData":{"DOI":"10.1523/JNEUROSCI.3295-11.2011","ISBN":"0270-6474\r1529-2401","abstract":"The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Neuroscience","id":"ITEM-6","issue":"42","issued":{"date-parts":[["2011"]]},"note":"22016546[pmid]\nJ Neurosci","page":"15128-15135","title":"Transient Inactivation of Orbitofrontal Cortex Blocks Reinforcer Devaluation in Macaques","type":"article-journal","volume":"31"},"uris":["http://www.mendeley.com/documents/?uuid=66cf4632-93ab-4722-8012-a7a06ffbff12"]}],"mendeley":{"formattedCitation":"(Butter, 1969; Dias et al., 1996; Gallagher et al., 1999; Iversen &amp; Mishkin, 1970; Schoenbaum et al., 2003; West et al., 2011)","plainTextFormattedCitation":"(Butter, 1969; Dias et al., 1996; Gallagher et al., 1999; Iversen &amp; Mishkin, 1970; Schoenbaum et al., 2003; West et al., 2011)","previouslyFormattedCitation":"(Butter, 1969; Dias et al., 1996; Gallagher et al., 1999; Iversen &amp; Mishkin, 1970; Schoenbaum et al., 2003; West et al., 2011)"},"properties":{"noteIndex":0},"schema":"https://github.com/citation-style-language/schema/raw/master/csl-citation.json"}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00305542" w:rsidRPr="00305542">
        <w:rPr>
          <w:rFonts w:ascii="Times New Roman" w:hAnsi="Times New Roman" w:cs="Times New Roman"/>
          <w:bCs/>
          <w:noProof/>
          <w:sz w:val="24"/>
          <w:szCs w:val="24"/>
          <w:lang w:val="en-GB"/>
        </w:rPr>
        <w:t>(Butter, 1969; Dias et al., 1996; Gallagher et al., 1999; Iversen &amp; Mishkin, 1970; Schoenbaum et al., 2003; West et al., 2011)</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To account for these effects, one class of OFC theories suggests that the OFC is necessary for representing information about the sensory-specific properties or identity of expected outcomes </w:t>
      </w:r>
      <w:r w:rsidRPr="008D0CD6">
        <w:rPr>
          <w:rFonts w:ascii="Times New Roman" w:hAnsi="Times New Roman" w:cs="Times New Roman"/>
          <w:bCs/>
          <w:sz w:val="24"/>
          <w:szCs w:val="24"/>
          <w:lang w:val="en-GB"/>
        </w:rPr>
        <w:fldChar w:fldCharType="begin" w:fldLock="1"/>
      </w:r>
      <w:r w:rsidR="00234420">
        <w:rPr>
          <w:rFonts w:ascii="Times New Roman" w:hAnsi="Times New Roman" w:cs="Times New Roman"/>
          <w:bCs/>
          <w:sz w:val="24"/>
          <w:szCs w:val="24"/>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behaviour","type":"article-journal","volume":"10"},"uris":["http://www.mendeley.com/documents/?uuid=9124fd3f-a73f-4663-9302-6f70d776e02c"]},{"id":"ITEM-2","itemData":{"DOI":"Doi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id":"ITEM-4","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J","non-dropping-particle":"","parse-names":false,"suffix":""}],"id":"ITEM-4","issued":{"date-parts":[["2007"]]},"language":"English","page":"152-173","publisher":"Blackwell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conditioning","type":"chapter","volume":"1121"},"uris":["http://www.mendeley.com/documents/?uuid=fe58f3e9-0bae-4cf9-be89-0a503f752db3"]}],"mendeley":{"formattedCitation":"(Burke et al., 2008; Delamater, 2007; Schoenbaum et al., 2009, 2011)","plainTextFormattedCitation":"(Burke et al., 2008; Delamater, 2007; Schoenbaum et al., 2009, 2011)","previouslyFormattedCitation":"(Burke et al., 2008; Delamater, 2007; Schoenbaum et al., 2009, 2011)"},"properties":{"noteIndex":0},"schema":"https://github.com/citation-style-language/schema/raw/master/csl-citation.json"}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00305542" w:rsidRPr="00305542">
        <w:rPr>
          <w:rFonts w:ascii="Times New Roman" w:hAnsi="Times New Roman" w:cs="Times New Roman"/>
          <w:bCs/>
          <w:noProof/>
          <w:sz w:val="24"/>
          <w:szCs w:val="24"/>
          <w:lang w:val="en-GB"/>
        </w:rPr>
        <w:t>(Burke et al., 2008; Delamater, 2007; Schoenbaum et al., 2009, 2011)</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A second, but complementary class of theories using a reinforcement learning framework suggests that the OFC is necessary for the representation of latent state information </w:t>
      </w:r>
      <w:r w:rsidRPr="008D0CD6">
        <w:rPr>
          <w:rFonts w:ascii="Times New Roman" w:hAnsi="Times New Roman" w:cs="Times New Roman"/>
          <w:bCs/>
          <w:sz w:val="24"/>
          <w:szCs w:val="24"/>
          <w:lang w:val="en-GB"/>
        </w:rPr>
        <w:fldChar w:fldCharType="begin" w:fldLock="1"/>
      </w:r>
      <w:r w:rsidR="00305542">
        <w:rPr>
          <w:rFonts w:ascii="Times New Roman" w:hAnsi="Times New Roman" w:cs="Times New Roman"/>
          <w:bCs/>
          <w:sz w:val="24"/>
          <w:szCs w:val="24"/>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(Wilson et al., 2014)</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In reinforcement learning models, tasks such as Pavlovian conditioning can be divided into discrete physically observable states, such as “cue on”, “cue off”, and “reward”, and underlying latent states </w:t>
      </w:r>
      <w:r w:rsidR="001A5160" w:rsidRPr="008D0CD6">
        <w:rPr>
          <w:rFonts w:ascii="Times New Roman" w:hAnsi="Times New Roman" w:cs="Times New Roman"/>
          <w:bCs/>
          <w:sz w:val="24"/>
          <w:szCs w:val="24"/>
          <w:lang w:val="en-GB"/>
        </w:rPr>
        <w:t>signalled</w:t>
      </w:r>
      <w:r w:rsidRPr="008D0CD6">
        <w:rPr>
          <w:rFonts w:ascii="Times New Roman" w:hAnsi="Times New Roman" w:cs="Times New Roman"/>
          <w:bCs/>
          <w:sz w:val="24"/>
          <w:szCs w:val="24"/>
          <w:lang w:val="en-GB"/>
        </w:rPr>
        <w:t xml:space="preserve"> by partially observable information recalled into working memory such as reinforcement history. </w:t>
      </w:r>
    </w:p>
    <w:p w14:paraId="221DD682" w14:textId="093C1A1C" w:rsidR="008E5AC0" w:rsidRPr="008D0CD6" w:rsidRDefault="008E5AC0" w:rsidP="00F04D98">
      <w:pPr>
        <w:spacing w:line="480" w:lineRule="auto"/>
        <w:ind w:firstLine="720"/>
        <w:rPr>
          <w:rFonts w:ascii="Times New Roman" w:hAnsi="Times New Roman" w:cs="Times New Roman"/>
          <w:bCs/>
          <w:sz w:val="24"/>
          <w:szCs w:val="24"/>
          <w:lang w:val="en-GB"/>
        </w:rPr>
      </w:pPr>
      <w:r w:rsidRPr="008D0CD6">
        <w:rPr>
          <w:rFonts w:ascii="Times New Roman" w:hAnsi="Times New Roman" w:cs="Times New Roman"/>
          <w:bCs/>
          <w:sz w:val="24"/>
          <w:szCs w:val="24"/>
          <w:lang w:val="en-GB"/>
        </w:rPr>
        <w:t xml:space="preserve">Both theories, while couched in different computational and theoretical frameworks, suggest similar roles for the OFC. Latent states encompass specific outcome expectancies and include a broader category of potential stimuli (e.g. internal context </w:t>
      </w:r>
      <w:r w:rsidRPr="008D0CD6">
        <w:rPr>
          <w:rFonts w:ascii="Times New Roman" w:hAnsi="Times New Roman" w:cs="Times New Roman"/>
          <w:bCs/>
          <w:sz w:val="24"/>
          <w:szCs w:val="24"/>
          <w:lang w:val="en-GB"/>
        </w:rPr>
        <w:fldChar w:fldCharType="begin" w:fldLock="1"/>
      </w:r>
      <w:r w:rsidRPr="008D0CD6">
        <w:rPr>
          <w:rFonts w:ascii="Times New Roman" w:hAnsi="Times New Roman" w:cs="Times New Roman"/>
          <w:bCs/>
          <w:sz w:val="24"/>
          <w:szCs w:val="24"/>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(Niv, 2019)</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Implicit in these theories is that initial acquisition should be affected by OFC dysfunction if performance depends on specific outcome expectancy or latent states (e.g. the differential outcomes effect </w:t>
      </w:r>
      <w:r w:rsidRPr="008D0CD6">
        <w:rPr>
          <w:rFonts w:ascii="Times New Roman" w:hAnsi="Times New Roman" w:cs="Times New Roman"/>
          <w:bCs/>
          <w:sz w:val="24"/>
          <w:szCs w:val="24"/>
          <w:lang w:val="en-GB"/>
        </w:rPr>
        <w:fldChar w:fldCharType="begin" w:fldLock="1"/>
      </w:r>
      <w:r w:rsidRPr="008D0CD6">
        <w:rPr>
          <w:rFonts w:ascii="Times New Roman" w:hAnsi="Times New Roman" w:cs="Times New Roman"/>
          <w:bCs/>
          <w:sz w:val="24"/>
          <w:szCs w:val="24"/>
          <w:lang w:val="en-GB"/>
        </w:rP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feeding","type":"article-journal","volume":"25"},"uris":["http://www.mendeley.com/documents/?uuid=910be4df-5700-43f9-a41d-a627c24b09a3"]}],"mendeley":{"formattedCitation":"(Boulougouris et al., 2007; Boulougouris &amp; Robbins, 2009; McDannald et al., 2005)","plainTextFormattedCitation":"(Boulougouris et al., 2007; Boulougouris &amp; Robbins, 2009; McDannald et al., 2005)","previouslyFormattedCitation":"(Boulougouris et al., 2007; Boulougouris &amp; Robbins, 2009; McDannald et al., 2005)"},"properties":{"noteIndex":0},"schema":"https://github.com/citation-style-language/schema/raw/master/csl-citation.json"}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(Boulougouris et al., 2007; Boulougouris &amp; Robbins, 2009; McDannald et al., 2005)</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complex multiple-choice probabilistic learning tasks </w:t>
      </w:r>
      <w:r w:rsidRPr="008D0CD6">
        <w:rPr>
          <w:rFonts w:ascii="Times New Roman" w:hAnsi="Times New Roman" w:cs="Times New Roman"/>
          <w:bCs/>
          <w:sz w:val="24"/>
          <w:szCs w:val="24"/>
          <w:lang w:val="en-GB"/>
        </w:rPr>
        <w:fldChar w:fldCharType="begin" w:fldLock="1"/>
      </w:r>
      <w:r w:rsidRPr="008D0CD6">
        <w:rPr>
          <w:rFonts w:ascii="Times New Roman" w:hAnsi="Times New Roman" w:cs="Times New Roman"/>
          <w:bCs/>
          <w:sz w:val="24"/>
          <w:szCs w:val="24"/>
          <w:lang w:val="en-GB"/>
        </w:rPr>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2011)","previouslyFormattedCitation":"(Walton et al., 2011)"},"properties":{"noteIndex":0},"schema":"https://github.com/citation-style-language/schema/raw/master/csl-citation.json"}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(Walton et al., 2011)</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but not in putatively “simple” single CS-US learning tasks </w:t>
      </w:r>
      <w:r w:rsidRPr="008D0CD6">
        <w:rPr>
          <w:rFonts w:ascii="Times New Roman" w:hAnsi="Times New Roman" w:cs="Times New Roman"/>
          <w:bCs/>
          <w:sz w:val="24"/>
          <w:szCs w:val="24"/>
          <w:lang w:val="en-GB"/>
        </w:rPr>
        <w:fldChar w:fldCharType="begin" w:fldLock="1"/>
      </w:r>
      <w:r w:rsidR="00305542">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(Gallagher et al., 1999)</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where the outcome identity and value</w:t>
      </w:r>
      <w:r w:rsidR="004B3F8F">
        <w:rPr>
          <w:rFonts w:ascii="Times New Roman" w:hAnsi="Times New Roman" w:cs="Times New Roman"/>
          <w:bCs/>
          <w:sz w:val="24"/>
          <w:szCs w:val="24"/>
          <w:lang w:val="en-GB"/>
        </w:rPr>
        <w:t xml:space="preserve"> of the US</w:t>
      </w:r>
      <w:r w:rsidRPr="008D0CD6">
        <w:rPr>
          <w:rFonts w:ascii="Times New Roman" w:hAnsi="Times New Roman" w:cs="Times New Roman"/>
          <w:bCs/>
          <w:sz w:val="24"/>
          <w:szCs w:val="24"/>
          <w:lang w:val="en-GB"/>
        </w:rPr>
        <w:t xml:space="preserve"> stays constant and is reliably predicted by the CS. While this null effect is often reported in procedures involving learning about multiple CSs and/or USs </w:t>
      </w:r>
      <w:r w:rsidRPr="008D0CD6">
        <w:rPr>
          <w:rFonts w:ascii="Times New Roman" w:hAnsi="Times New Roman" w:cs="Times New Roman"/>
          <w:bCs/>
          <w:sz w:val="24"/>
          <w:szCs w:val="24"/>
          <w:lang w:val="en-GB"/>
        </w:rPr>
        <w:fldChar w:fldCharType="begin" w:fldLock="1"/>
      </w:r>
      <w:r w:rsidR="00234420">
        <w:rPr>
          <w:rFonts w:ascii="Times New Roman" w:hAnsi="Times New Roman" w:cs="Times New Roman"/>
          <w:bCs/>
          <w:sz w:val="24"/>
          <w:szCs w:val="24"/>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Panayi &amp; Killcross, 2018; Schoenbaum et al., 2009)","plainTextFormattedCitation":"(Burke et al., 2008; Panayi &amp; Killcross, 2018; Schoenbaum et al., 2009)","previouslyFormattedCitation":"(Burke et al., 2008; Panayi &amp; Killcross, 2018; Schoenbaum et al., 2009)"},"properties":{"noteIndex":0},"schema":"https://github.com/citation-style-language/schema/raw/master/csl-citation.json"}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00305542" w:rsidRPr="00305542">
        <w:rPr>
          <w:rFonts w:ascii="Times New Roman" w:hAnsi="Times New Roman" w:cs="Times New Roman"/>
          <w:bCs/>
          <w:noProof/>
          <w:sz w:val="24"/>
          <w:szCs w:val="24"/>
          <w:lang w:val="en-GB"/>
        </w:rPr>
        <w:t>(Burke et al., 2008; Panayi &amp; Killcross, 2018; Schoenbaum et al., 2009)</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there is little evidence from tasks involving only a single CS-US relationship where a null result is clearly predicted. For example, Gallagher et al </w:t>
      </w:r>
      <w:r w:rsidRPr="008D0CD6">
        <w:rPr>
          <w:rFonts w:ascii="Times New Roman" w:hAnsi="Times New Roman" w:cs="Times New Roman"/>
          <w:bCs/>
          <w:sz w:val="24"/>
          <w:szCs w:val="24"/>
          <w:lang w:val="en-GB"/>
        </w:rPr>
        <w:lastRenderedPageBreak/>
        <w:fldChar w:fldCharType="begin" w:fldLock="1"/>
      </w:r>
      <w:r w:rsidR="00305542">
        <w:rPr>
          <w:rFonts w:ascii="Times New Roman" w:hAnsi="Times New Roman" w:cs="Times New Roman"/>
          <w:bCs/>
          <w:sz w:val="24"/>
          <w:szCs w:val="24"/>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suppress-author":1,"uris":["http://www.mendeley.com/documents/?uuid=67ba92ca-b679-407e-9f2a-7aac71c3f739"]}],"mendeley":{"formattedCitation":"(1999)","plainTextFormattedCitation":"(1999)","previouslyFormattedCitation":"(1999)"},"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Pr="008D0CD6">
        <w:rPr>
          <w:rFonts w:ascii="Times New Roman" w:hAnsi="Times New Roman" w:cs="Times New Roman"/>
          <w:bCs/>
          <w:noProof/>
          <w:sz w:val="24"/>
          <w:szCs w:val="24"/>
          <w:lang w:val="en-GB"/>
        </w:rPr>
        <w:t>(1999)</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found no effect of complete OFC lesions on single CS-US acquisition but stopped training before behaviour reached asymptote </w:t>
      </w:r>
      <w:r w:rsidRPr="008D0CD6">
        <w:rPr>
          <w:rFonts w:ascii="Times New Roman" w:hAnsi="Times New Roman" w:cs="Times New Roman"/>
          <w:bCs/>
          <w:sz w:val="24"/>
          <w:szCs w:val="24"/>
          <w:lang w:val="en-GB"/>
        </w:rPr>
        <w:fldChar w:fldCharType="begin" w:fldLock="1"/>
      </w:r>
      <w:r w:rsidR="00234420">
        <w:rPr>
          <w:rFonts w:ascii="Times New Roman" w:hAnsi="Times New Roman" w:cs="Times New Roman"/>
          <w:bCs/>
          <w:sz w:val="24"/>
          <w:szCs w:val="24"/>
          <w:lang w:val="en-GB"/>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reversals","type":"article-journal","volume":"10"},"uris":["http://www.mendeley.com/documents/?uuid=5ebfb22c-1f18-498d-8cd4-28e2d758f013"]}],"mendeley":{"formattedCitation":"(Schoenbaum et al., 2003)","plainTextFormattedCitation":"(Schoenbaum et al., 2003)","previouslyFormattedCitation":"(Schoenbaum et al., 2003)"},"properties":{"noteIndex":0},"schema":"https://github.com/citation-style-language/schema/raw/master/csl-citation.json"}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00305542" w:rsidRPr="00305542">
        <w:rPr>
          <w:rFonts w:ascii="Times New Roman" w:hAnsi="Times New Roman" w:cs="Times New Roman"/>
          <w:bCs/>
          <w:noProof/>
          <w:sz w:val="24"/>
          <w:szCs w:val="24"/>
          <w:lang w:val="en-GB"/>
        </w:rPr>
        <w:t>(Schoenbaum et al., 2003)</w:t>
      </w:r>
      <w:r w:rsidRPr="008D0CD6">
        <w:rPr>
          <w:rFonts w:ascii="Times New Roman" w:hAnsi="Times New Roman" w:cs="Times New Roman"/>
          <w:bCs/>
          <w:sz w:val="24"/>
          <w:szCs w:val="24"/>
          <w:lang w:val="en-GB"/>
        </w:rPr>
        <w:fldChar w:fldCharType="end"/>
      </w:r>
      <w:r w:rsidRPr="008D0CD6">
        <w:rPr>
          <w:rFonts w:ascii="Times New Roman" w:hAnsi="Times New Roman" w:cs="Times New Roman"/>
          <w:bCs/>
          <w:sz w:val="24"/>
          <w:szCs w:val="24"/>
          <w:lang w:val="en-GB"/>
        </w:rPr>
        <w:t xml:space="preserve">. </w:t>
      </w:r>
    </w:p>
    <w:p w14:paraId="634CD323" w14:textId="25135155" w:rsidR="00233B2B" w:rsidRPr="008D0CD6" w:rsidRDefault="00233B2B" w:rsidP="00F04D98">
      <w:pPr>
        <w:spacing w:line="480" w:lineRule="auto"/>
        <w:ind w:firstLine="720"/>
        <w:rPr>
          <w:rFonts w:ascii="Times New Roman" w:hAnsi="Times New Roman" w:cs="Times New Roman"/>
          <w:bCs/>
          <w:sz w:val="24"/>
          <w:szCs w:val="24"/>
          <w:lang w:val="en-GB"/>
        </w:rPr>
      </w:pPr>
      <w:r w:rsidRPr="008D0CD6">
        <w:rPr>
          <w:rFonts w:ascii="Times New Roman" w:hAnsi="Times New Roman" w:cs="Times New Roman"/>
          <w:bCs/>
          <w:sz w:val="24"/>
          <w:szCs w:val="24"/>
          <w:lang w:val="en-GB"/>
        </w:rPr>
        <w:t xml:space="preserve">Both latent state and sensory-specific outcome expectancy theories of OFC function predict a null effect of OFC lesions on initial acquisition learning, particularly in situations involving only a single CS-US relationship. Indeed, this null effect is often reported as an important feature of OFC dysfunction </w:t>
      </w:r>
      <w:r w:rsidR="00851A0E">
        <w:rPr>
          <w:rFonts w:ascii="Times New Roman" w:hAnsi="Times New Roman" w:cs="Times New Roman"/>
          <w:bCs/>
          <w:sz w:val="24"/>
          <w:szCs w:val="24"/>
          <w:lang w:val="en-GB"/>
        </w:rPr>
        <w:t xml:space="preserve">as it demonstrates that </w:t>
      </w:r>
      <w:r w:rsidR="000421F5">
        <w:rPr>
          <w:rFonts w:ascii="Times New Roman" w:hAnsi="Times New Roman" w:cs="Times New Roman"/>
          <w:bCs/>
          <w:sz w:val="24"/>
          <w:szCs w:val="24"/>
          <w:lang w:val="en-GB"/>
        </w:rPr>
        <w:t>behaviour can appear normal when the impoverished</w:t>
      </w:r>
      <w:r w:rsidR="008E4543">
        <w:rPr>
          <w:rFonts w:ascii="Times New Roman" w:hAnsi="Times New Roman" w:cs="Times New Roman"/>
          <w:bCs/>
          <w:sz w:val="24"/>
          <w:szCs w:val="24"/>
          <w:lang w:val="en-GB"/>
        </w:rPr>
        <w:t xml:space="preserve"> aspects of the</w:t>
      </w:r>
      <w:r w:rsidR="000421F5">
        <w:rPr>
          <w:rFonts w:ascii="Times New Roman" w:hAnsi="Times New Roman" w:cs="Times New Roman"/>
          <w:bCs/>
          <w:sz w:val="24"/>
          <w:szCs w:val="24"/>
          <w:lang w:val="en-GB"/>
        </w:rPr>
        <w:t xml:space="preserve"> underlying </w:t>
      </w:r>
      <w:r w:rsidR="00492286">
        <w:rPr>
          <w:rFonts w:ascii="Times New Roman" w:hAnsi="Times New Roman" w:cs="Times New Roman"/>
          <w:bCs/>
          <w:sz w:val="24"/>
          <w:szCs w:val="24"/>
          <w:lang w:val="en-GB"/>
        </w:rPr>
        <w:t xml:space="preserve">task </w:t>
      </w:r>
      <w:r w:rsidR="000421F5">
        <w:rPr>
          <w:rFonts w:ascii="Times New Roman" w:hAnsi="Times New Roman" w:cs="Times New Roman"/>
          <w:bCs/>
          <w:sz w:val="24"/>
          <w:szCs w:val="24"/>
          <w:lang w:val="en-GB"/>
        </w:rPr>
        <w:t xml:space="preserve">representation </w:t>
      </w:r>
      <w:r w:rsidR="008E4543">
        <w:rPr>
          <w:rFonts w:ascii="Times New Roman" w:hAnsi="Times New Roman" w:cs="Times New Roman"/>
          <w:bCs/>
          <w:sz w:val="24"/>
          <w:szCs w:val="24"/>
          <w:lang w:val="en-GB"/>
        </w:rPr>
        <w:t>are</w:t>
      </w:r>
      <w:r w:rsidR="005C5C64">
        <w:rPr>
          <w:rFonts w:ascii="Times New Roman" w:hAnsi="Times New Roman" w:cs="Times New Roman"/>
          <w:bCs/>
          <w:sz w:val="24"/>
          <w:szCs w:val="24"/>
          <w:lang w:val="en-GB"/>
        </w:rPr>
        <w:t xml:space="preserve"> not directly relevant to task performance </w:t>
      </w:r>
      <w:r w:rsidRPr="008D0CD6">
        <w:rPr>
          <w:rFonts w:ascii="Times New Roman" w:hAnsi="Times New Roman" w:cs="Times New Roman"/>
          <w:bCs/>
          <w:sz w:val="24"/>
          <w:szCs w:val="24"/>
          <w:lang w:val="en-GB"/>
        </w:rPr>
        <w:fldChar w:fldCharType="begin" w:fldLock="1"/>
      </w:r>
      <w:r w:rsidR="00234420">
        <w:rPr>
          <w:rFonts w:ascii="Times New Roman" w:hAnsi="Times New Roman" w:cs="Times New Roman"/>
          <w:bCs/>
          <w:sz w:val="24"/>
          <w:szCs w:val="24"/>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Neuroscience","id":"ITEM-3","issue":"12","issued":{"date-parts":[["2009"]]},"language":"English","page":"885-892","title":"A new perspective on the role of the orbitofrontal cortex in adaptive behaviour","type":"article-journal","volume":"10"},"uris":["http://www.mendeley.com/documents/?uuid=9124fd3f-a73f-4663-9302-6f70d776e02c"]},{"id":"ITEM-4","itemData":{"DOI":"10.1038/nn.3982","ISSN":"15461726","abstract":"The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K.","non-dropping-particle":"","parse-names":false,"suffix":""},{"dropping-particle":"","family":"Schoenbaum","given":"G.","non-dropping-particle":"","parse-names":false,"suffix":""}],"container-title":"Nature Neuroscience","id":"ITEM-4","issued":{"date-parts":[["2015"]]},"title":"What the orbitofrontal cortex does not do","type":"article"},"uris":["http://www.mendeley.com/documents/?uuid=27e76bc7-609d-486b-a56b-b8b4e15e5051"]}],"mendeley":{"formattedCitation":"(Murray et al., 2007; Schoenbaum et al., 2009; Stalnaker et al., 2015; Wilson et al., 2014)","plainTextFormattedCitation":"(Murray et al., 2007; Schoenbaum et al., 2009; Stalnaker et al., 2015; Wilson et al., 2014)","previouslyFormattedCitation":"(Murray et al., 2007; Schoenbaum et al., 2009; Stalnaker et al., 2015; Wilson et al., 2014)"},"properties":{"noteIndex":0},"schema":"https://github.com/citation-style-language/schema/raw/master/csl-citation.json"}</w:instrText>
      </w:r>
      <w:r w:rsidRPr="008D0CD6">
        <w:rPr>
          <w:rFonts w:ascii="Times New Roman" w:hAnsi="Times New Roman" w:cs="Times New Roman"/>
          <w:bCs/>
          <w:sz w:val="24"/>
          <w:szCs w:val="24"/>
          <w:lang w:val="en-GB"/>
        </w:rPr>
        <w:fldChar w:fldCharType="separate"/>
      </w:r>
      <w:r w:rsidR="00305542" w:rsidRPr="00305542">
        <w:rPr>
          <w:rFonts w:ascii="Times New Roman" w:hAnsi="Times New Roman" w:cs="Times New Roman"/>
          <w:bCs/>
          <w:noProof/>
          <w:sz w:val="24"/>
          <w:szCs w:val="24"/>
          <w:lang w:val="en-GB"/>
        </w:rPr>
        <w:t>(Murray et al., 2007; Schoenbaum et al., 2009; Stalnaker et al., 2015; Wilson et al., 2014)</w:t>
      </w:r>
      <w:r w:rsidRPr="008D0CD6">
        <w:rPr>
          <w:rFonts w:ascii="Times New Roman" w:hAnsi="Times New Roman" w:cs="Times New Roman"/>
          <w:bCs/>
          <w:sz w:val="24"/>
          <w:szCs w:val="24"/>
          <w:lang w:val="en-GB"/>
        </w:rPr>
        <w:fldChar w:fldCharType="end"/>
      </w:r>
      <w:r w:rsidR="00C52E84">
        <w:rPr>
          <w:rFonts w:ascii="Times New Roman" w:hAnsi="Times New Roman" w:cs="Times New Roman"/>
          <w:bCs/>
          <w:sz w:val="24"/>
          <w:szCs w:val="24"/>
          <w:lang w:val="en-GB"/>
        </w:rPr>
        <w:t>.</w:t>
      </w:r>
      <w:r w:rsidRPr="008D0CD6">
        <w:rPr>
          <w:rFonts w:ascii="Times New Roman" w:hAnsi="Times New Roman" w:cs="Times New Roman"/>
          <w:bCs/>
          <w:sz w:val="24"/>
          <w:szCs w:val="24"/>
          <w:lang w:val="en-GB"/>
        </w:rPr>
        <w:t xml:space="preserve"> Here we directly tested this prediction in rats trained on a single CS-US Pavlovian task following lesions targeting the lateral OFC. Surprisingly, pre-training OFC lesions significantly increased Pavlovian acquisition behaviour after extended training. In contrast, post-training lesions and intra-OFC infusions of muscimol impaired Pavlovian acquisition behaviour. Using an associative blocking design, we confirmed that even though behaviour was impaired, the underlying learning about the CS-US contingency was left intact. </w:t>
      </w:r>
    </w:p>
    <w:p w14:paraId="7A8EF723" w14:textId="77777777" w:rsidR="00A00B8B" w:rsidRPr="00305542" w:rsidRDefault="00A00B8B" w:rsidP="00F04D98">
      <w:pPr>
        <w:spacing w:line="480" w:lineRule="auto"/>
        <w:rPr>
          <w:rFonts w:ascii="Times New Roman" w:hAnsi="Times New Roman" w:cs="Times New Roman"/>
          <w:b/>
          <w:bCs/>
          <w:sz w:val="24"/>
          <w:szCs w:val="24"/>
          <w:u w:val="single"/>
          <w:lang w:val="en-GB"/>
        </w:rPr>
      </w:pPr>
      <w:r>
        <w:rPr>
          <w:rFonts w:ascii="Times New Roman" w:hAnsi="Times New Roman" w:cs="Times New Roman"/>
          <w:b/>
          <w:bCs/>
          <w:sz w:val="24"/>
          <w:szCs w:val="24"/>
          <w:lang w:val="en-GB"/>
        </w:rPr>
        <w:br w:type="page"/>
      </w:r>
    </w:p>
    <w:p w14:paraId="6267E10C" w14:textId="38E9C09C" w:rsidR="003F1B21" w:rsidRPr="008E1084" w:rsidRDefault="003F1B21" w:rsidP="008E1084">
      <w:pPr>
        <w:spacing w:line="480" w:lineRule="auto"/>
        <w:jc w:val="center"/>
        <w:rPr>
          <w:rFonts w:ascii="Times New Roman" w:hAnsi="Times New Roman" w:cs="Times New Roman"/>
          <w:b/>
          <w:bCs/>
          <w:sz w:val="24"/>
          <w:szCs w:val="24"/>
          <w:lang w:val="en-GB"/>
        </w:rPr>
      </w:pPr>
      <w:r w:rsidRPr="008E1084">
        <w:rPr>
          <w:rFonts w:ascii="Times New Roman" w:hAnsi="Times New Roman" w:cs="Times New Roman"/>
          <w:b/>
          <w:bCs/>
          <w:sz w:val="24"/>
          <w:szCs w:val="24"/>
          <w:lang w:val="en-GB"/>
        </w:rPr>
        <w:lastRenderedPageBreak/>
        <w:t>Results</w:t>
      </w:r>
    </w:p>
    <w:p w14:paraId="2FE55AAB" w14:textId="77777777" w:rsidR="003F53B9" w:rsidRPr="00CB3771" w:rsidRDefault="003F53B9" w:rsidP="00F04D98">
      <w:pPr>
        <w:spacing w:line="480" w:lineRule="auto"/>
        <w:rPr>
          <w:rFonts w:ascii="Times New Roman" w:eastAsia="Times New Roman" w:hAnsi="Times New Roman" w:cs="Times New Roman"/>
          <w:b/>
          <w:color w:val="000000"/>
          <w:sz w:val="24"/>
          <w:szCs w:val="24"/>
          <w:lang w:eastAsia="en-AU"/>
        </w:rPr>
      </w:pPr>
      <w:r>
        <w:rPr>
          <w:rFonts w:ascii="Times New Roman" w:eastAsia="Times New Roman" w:hAnsi="Times New Roman" w:cs="Times New Roman"/>
          <w:b/>
          <w:color w:val="000000"/>
          <w:sz w:val="24"/>
          <w:szCs w:val="24"/>
          <w:lang w:eastAsia="en-AU"/>
        </w:rPr>
        <w:t xml:space="preserve">Experiment 1: </w:t>
      </w:r>
      <w:r w:rsidRPr="00CB3771">
        <w:rPr>
          <w:rFonts w:ascii="Times New Roman" w:eastAsia="Times New Roman" w:hAnsi="Times New Roman" w:cs="Times New Roman"/>
          <w:b/>
          <w:color w:val="000000"/>
          <w:sz w:val="24"/>
          <w:szCs w:val="24"/>
          <w:lang w:eastAsia="en-AU"/>
        </w:rPr>
        <w:t>Pre-training</w:t>
      </w:r>
      <w:r>
        <w:rPr>
          <w:rFonts w:ascii="Times New Roman" w:eastAsia="Times New Roman" w:hAnsi="Times New Roman" w:cs="Times New Roman"/>
          <w:b/>
          <w:color w:val="000000"/>
          <w:sz w:val="24"/>
          <w:szCs w:val="24"/>
          <w:lang w:eastAsia="en-AU"/>
        </w:rPr>
        <w:t xml:space="preserve"> OFC</w:t>
      </w:r>
      <w:r w:rsidRPr="00CB3771">
        <w:rPr>
          <w:rFonts w:ascii="Times New Roman" w:eastAsia="Times New Roman" w:hAnsi="Times New Roman" w:cs="Times New Roman"/>
          <w:b/>
          <w:color w:val="000000"/>
          <w:sz w:val="24"/>
          <w:szCs w:val="24"/>
          <w:lang w:eastAsia="en-AU"/>
        </w:rPr>
        <w:t xml:space="preserve"> lesions </w:t>
      </w:r>
    </w:p>
    <w:p w14:paraId="0CD42B10" w14:textId="77777777" w:rsidR="003F53B9" w:rsidRPr="007F67D5" w:rsidRDefault="003F53B9" w:rsidP="00F04D98">
      <w:pPr>
        <w:spacing w:line="480" w:lineRule="auto"/>
        <w:rPr>
          <w:rFonts w:ascii="Times New Roman" w:eastAsia="Times New Roman" w:hAnsi="Times New Roman" w:cs="Times New Roman"/>
          <w:b/>
          <w:i/>
          <w:iCs/>
          <w:color w:val="000000"/>
          <w:sz w:val="24"/>
          <w:szCs w:val="24"/>
          <w:lang w:eastAsia="en-AU"/>
        </w:rPr>
      </w:pPr>
      <w:r w:rsidRPr="007F67D5">
        <w:rPr>
          <w:rFonts w:ascii="Times New Roman" w:eastAsia="Times New Roman" w:hAnsi="Times New Roman" w:cs="Times New Roman"/>
          <w:b/>
          <w:i/>
          <w:iCs/>
          <w:color w:val="000000"/>
          <w:sz w:val="24"/>
          <w:szCs w:val="24"/>
          <w:lang w:eastAsia="en-AU"/>
        </w:rPr>
        <w:t>Acquisition</w:t>
      </w:r>
    </w:p>
    <w:p w14:paraId="4284CF97" w14:textId="613C2FFA" w:rsidR="003F53B9" w:rsidRDefault="003F53B9" w:rsidP="00F04D98">
      <w:pPr>
        <w:pStyle w:val="BodyText"/>
        <w:spacing w:line="480" w:lineRule="auto"/>
      </w:pPr>
      <w:r>
        <w:t>Pre-training OFC lesions significantly increased responding to the Pavlovian cue relative to sham control animals (</w:t>
      </w:r>
      <w:r w:rsidRPr="00136F82">
        <w:rPr>
          <w:highlight w:val="yellow"/>
        </w:rPr>
        <w:t>Figure 1A; lesions depicted in Figure 1-</w:t>
      </w:r>
      <w:r>
        <w:rPr>
          <w:highlight w:val="yellow"/>
        </w:rPr>
        <w:t>figure supplement</w:t>
      </w:r>
      <w:r w:rsidRPr="00136F82">
        <w:rPr>
          <w:highlight w:val="yellow"/>
        </w:rPr>
        <w:t xml:space="preserve"> 1</w:t>
      </w:r>
      <w:r>
        <w:t xml:space="preserve">). Analysis of conditioned responding was conducted as a CS-PreCS difference score such that levels of responding reflected discriminative performance to the cue (CS) above baseline (PreCS). Acquisition of responding to the CS was significantly greater in the lesion group than the sham group (main effect of Group </w:t>
      </w:r>
      <m:oMath>
        <m:r>
          <w:rPr>
            <w:rFonts w:ascii="Cambria Math" w:hAnsi="Cambria Math"/>
          </w:rPr>
          <m:t>F(1,40)=10.83</m:t>
        </m:r>
      </m:oMath>
      <w:r>
        <w:t xml:space="preserve">, </w:t>
      </w:r>
      <m:oMath>
        <m:r>
          <w:rPr>
            <w:rFonts w:ascii="Cambria Math" w:hAnsi="Cambria Math"/>
          </w:rPr>
          <m:t>p=.002</m:t>
        </m:r>
      </m:oMath>
      <w:r>
        <w:t xml:space="preserve">, Block </w:t>
      </w:r>
      <m:oMath>
        <m:r>
          <w:rPr>
            <w:rFonts w:ascii="Cambria Math" w:hAnsi="Cambria Math"/>
          </w:rPr>
          <m:t>F(6,240)=34.07</m:t>
        </m:r>
      </m:oMath>
      <w:r>
        <w:t xml:space="preserve">, </w:t>
      </w:r>
      <m:oMath>
        <m:r>
          <w:rPr>
            <w:rFonts w:ascii="Cambria Math" w:hAnsi="Cambria Math"/>
          </w:rPr>
          <m:t>p&lt;.001</m:t>
        </m:r>
      </m:oMath>
      <w:r>
        <w:t xml:space="preserve">, and Group x Block interaction </w:t>
      </w:r>
      <m:oMath>
        <m:r>
          <w:rPr>
            <w:rFonts w:ascii="Cambria Math" w:hAnsi="Cambria Math"/>
          </w:rPr>
          <m:t>F(6,240)=7.33</m:t>
        </m:r>
      </m:oMath>
      <w:r>
        <w:t xml:space="preserve">, </w:t>
      </w:r>
      <m:oMath>
        <m:r>
          <w:rPr>
            <w:rFonts w:ascii="Cambria Math" w:hAnsi="Cambria Math"/>
          </w:rPr>
          <m:t>p&lt;.001</m:t>
        </m:r>
      </m:oMath>
      <w:r>
        <w:t xml:space="preserve">). Follow up comparisons on each block revealed that responding in the lesion group was significantly higher than the sham group during the last 4 blocks (Block 1 </w:t>
      </w:r>
      <m:oMath>
        <m:r>
          <w:rPr>
            <w:rFonts w:ascii="Cambria Math" w:hAnsi="Cambria Math"/>
          </w:rPr>
          <m:t>t(40)=-1.67</m:t>
        </m:r>
      </m:oMath>
      <w:r>
        <w:t xml:space="preserve">, </w:t>
      </w:r>
      <m:oMath>
        <m:r>
          <w:rPr>
            <w:rFonts w:ascii="Cambria Math" w:hAnsi="Cambria Math"/>
          </w:rPr>
          <m:t>p=.103</m:t>
        </m:r>
      </m:oMath>
      <w:r>
        <w:t xml:space="preserve">, Block 2 </w:t>
      </w:r>
      <m:oMath>
        <m:r>
          <w:rPr>
            <w:rFonts w:ascii="Cambria Math" w:hAnsi="Cambria Math"/>
          </w:rPr>
          <m:t>t(40)=0.14</m:t>
        </m:r>
      </m:oMath>
      <w:r>
        <w:t xml:space="preserve">, </w:t>
      </w:r>
      <m:oMath>
        <m:r>
          <w:rPr>
            <w:rFonts w:ascii="Cambria Math" w:hAnsi="Cambria Math"/>
          </w:rPr>
          <m:t>p=.893</m:t>
        </m:r>
      </m:oMath>
      <w:r>
        <w:t xml:space="preserve">, Block 3 </w:t>
      </w:r>
      <m:oMath>
        <m:r>
          <w:rPr>
            <w:rFonts w:ascii="Cambria Math" w:hAnsi="Cambria Math"/>
          </w:rPr>
          <m:t>t(40)=1.79</m:t>
        </m:r>
      </m:oMath>
      <w:r>
        <w:t xml:space="preserve">, </w:t>
      </w:r>
      <m:oMath>
        <m:r>
          <w:rPr>
            <w:rFonts w:ascii="Cambria Math" w:hAnsi="Cambria Math"/>
          </w:rPr>
          <m:t>p=.082</m:t>
        </m:r>
      </m:oMath>
      <w:r>
        <w:t xml:space="preserve">, Block 4 </w:t>
      </w:r>
      <m:oMath>
        <m:r>
          <w:rPr>
            <w:rFonts w:ascii="Cambria Math" w:hAnsi="Cambria Math"/>
          </w:rPr>
          <m:t>t(40)=2.39</m:t>
        </m:r>
      </m:oMath>
      <w:r>
        <w:t xml:space="preserve">, </w:t>
      </w:r>
      <m:oMath>
        <m:r>
          <w:rPr>
            <w:rFonts w:ascii="Cambria Math" w:hAnsi="Cambria Math"/>
          </w:rPr>
          <m:t>p=.022</m:t>
        </m:r>
      </m:oMath>
      <w:r>
        <w:t xml:space="preserve">, Block 5 </w:t>
      </w:r>
      <m:oMath>
        <m:r>
          <w:rPr>
            <w:rFonts w:ascii="Cambria Math" w:hAnsi="Cambria Math"/>
          </w:rPr>
          <m:t>t(40)=4.59</m:t>
        </m:r>
      </m:oMath>
      <w:r>
        <w:t xml:space="preserve">, </w:t>
      </w:r>
      <m:oMath>
        <m:r>
          <w:rPr>
            <w:rFonts w:ascii="Cambria Math" w:hAnsi="Cambria Math"/>
          </w:rPr>
          <m:t>p&lt;.001</m:t>
        </m:r>
      </m:oMath>
      <w:r>
        <w:t xml:space="preserve">, Block 6 </w:t>
      </w:r>
      <m:oMath>
        <m:r>
          <w:rPr>
            <w:rFonts w:ascii="Cambria Math" w:hAnsi="Cambria Math"/>
          </w:rPr>
          <m:t>t(40)=3.48</m:t>
        </m:r>
      </m:oMath>
      <w:r>
        <w:t xml:space="preserve">, </w:t>
      </w:r>
      <m:oMath>
        <m:r>
          <w:rPr>
            <w:rFonts w:ascii="Cambria Math" w:hAnsi="Cambria Math"/>
          </w:rPr>
          <m:t>p=.001</m:t>
        </m:r>
      </m:oMath>
      <w:r>
        <w:t xml:space="preserve">, Block 7 </w:t>
      </w:r>
      <m:oMath>
        <m:r>
          <w:rPr>
            <w:rFonts w:ascii="Cambria Math" w:hAnsi="Cambria Math"/>
          </w:rPr>
          <m:t>t(40)=2.32</m:t>
        </m:r>
      </m:oMath>
      <w:r>
        <w:t xml:space="preserve">, </w:t>
      </w:r>
      <m:oMath>
        <m:r>
          <w:rPr>
            <w:rFonts w:ascii="Cambria Math" w:hAnsi="Cambria Math"/>
          </w:rPr>
          <m:t>p=.026</m:t>
        </m:r>
      </m:oMath>
      <w:r>
        <w:t>). Given the ubiquity of non-significant effects of OFC lesions on acquisition learning in the literature, two independent replications of this novel effect were conducted (combined here; same pattern of statistical significance in both independent replications) which confirmed the effect was robust.</w:t>
      </w:r>
      <w:r w:rsidR="00D53432">
        <w:t xml:space="preserve"> </w:t>
      </w:r>
    </w:p>
    <w:p w14:paraId="7C1CB855" w14:textId="77777777" w:rsidR="003F53B9" w:rsidRPr="007F67D5" w:rsidRDefault="003F53B9" w:rsidP="00F04D98">
      <w:pPr>
        <w:pStyle w:val="BodyText"/>
        <w:spacing w:line="480" w:lineRule="auto"/>
        <w:rPr>
          <w:i/>
          <w:iCs/>
        </w:rPr>
      </w:pPr>
      <w:r w:rsidRPr="007F67D5">
        <w:rPr>
          <w:b/>
          <w:i/>
          <w:iCs/>
        </w:rPr>
        <w:t>Locomotor activity</w:t>
      </w:r>
    </w:p>
    <w:p w14:paraId="74D884F8" w14:textId="7F0C2BA2" w:rsidR="003F53B9" w:rsidRDefault="003F53B9" w:rsidP="00F04D98">
      <w:pPr>
        <w:pStyle w:val="BodyText"/>
        <w:spacing w:line="480" w:lineRule="auto"/>
      </w:pPr>
      <w:r>
        <w:t>The enhanced responding observed during acquisition in the OFC lesion group could simply reflect an enhancement of general locomotor activity. However locomotor activity (</w:t>
      </w:r>
      <w:r w:rsidRPr="00136F82">
        <w:rPr>
          <w:highlight w:val="yellow"/>
        </w:rPr>
        <w:t>Figure 1C</w:t>
      </w:r>
      <w:r>
        <w:t xml:space="preserve">) did not differ between groups (main effect of </w:t>
      </w:r>
      <w:proofErr w:type="spellStart"/>
      <w:r>
        <w:t>TimeBin</w:t>
      </w:r>
      <w:proofErr w:type="spellEnd"/>
      <w:r>
        <w:t xml:space="preserve"> </w:t>
      </w:r>
      <m:oMath>
        <m:r>
          <w:rPr>
            <w:rFonts w:ascii="Cambria Math" w:hAnsi="Cambria Math"/>
          </w:rPr>
          <m:t>F(1,33)=62.93</m:t>
        </m:r>
      </m:oMath>
      <w:r>
        <w:t xml:space="preserve">, </w:t>
      </w:r>
      <m:oMath>
        <m:r>
          <w:rPr>
            <w:rFonts w:ascii="Cambria Math" w:hAnsi="Cambria Math"/>
          </w:rPr>
          <m:t>p&lt;.001</m:t>
        </m:r>
      </m:oMath>
      <w:r>
        <w:t xml:space="preserve">, but no </w:t>
      </w:r>
      <w:r>
        <w:lastRenderedPageBreak/>
        <w:t xml:space="preserve">significant effect of Group </w:t>
      </w:r>
      <m:oMath>
        <m:r>
          <w:rPr>
            <w:rFonts w:ascii="Cambria Math" w:hAnsi="Cambria Math"/>
          </w:rPr>
          <m:t>F(1,33)=2.87</m:t>
        </m:r>
      </m:oMath>
      <w:r>
        <w:t xml:space="preserve">, </w:t>
      </w:r>
      <m:oMath>
        <m:r>
          <w:rPr>
            <w:rFonts w:ascii="Cambria Math" w:hAnsi="Cambria Math"/>
          </w:rPr>
          <m:t>p=.100</m:t>
        </m:r>
      </m:oMath>
      <w:r>
        <w:t xml:space="preserve">, or Group x TimeBin interaction </w:t>
      </w:r>
      <m:oMath>
        <m:r>
          <w:rPr>
            <w:rFonts w:ascii="Cambria Math" w:hAnsi="Cambria Math"/>
          </w:rPr>
          <m:t>F(1,33)=0.36</m:t>
        </m:r>
      </m:oMath>
      <w:r>
        <w:t xml:space="preserve">, </w:t>
      </w:r>
      <m:oMath>
        <m:r>
          <w:rPr>
            <w:rFonts w:ascii="Cambria Math" w:hAnsi="Cambria Math"/>
          </w:rPr>
          <m:t>p=.555</m:t>
        </m:r>
      </m:oMath>
      <w:r>
        <w:t xml:space="preserve">). Therefore, the enhanced responding during acquisition was not simply due to </w:t>
      </w:r>
      <w:r w:rsidR="00A90288">
        <w:t xml:space="preserve">lateral </w:t>
      </w:r>
      <w:r>
        <w:t>OFC lesions inducing hyperactivity</w:t>
      </w:r>
      <w:r w:rsidR="008A41A7">
        <w:t>, consistent with previous findings</w:t>
      </w:r>
      <w:r w:rsidR="00B21DA7">
        <w:t xml:space="preserve"> </w:t>
      </w:r>
      <w:r w:rsidR="00334182">
        <w:fldChar w:fldCharType="begin" w:fldLock="1"/>
      </w:r>
      <w:r w:rsidR="0075381C">
        <w:instrText>ADDIN CSL_CITATION {"citationItems":[{"id":"ITEM-1","itemData":{"DOI":"10.1111/j.1460-9568.2009.06906.x","ISBN":"0953-816x","PMID":"19769591","abstract":"Orbitofrontal cortex (OFC) damage produces impaired decision-making, impulsivity and perseveration and potentially contributes to compulsive drug seeking in cocaine users. To further explore this phenomenon, we assessed the role of the lateral OFC (lOFC) in drug context-induced cocaine-seeking behavior in the reinstatement model of drug relapse. Rats were trained to lever press for intravenous cocaine infusions in a distinct environmental context (cocaine-paired context) followed by extinction training in a different context (extinction-paired context). Reinstatement of cocaine seeking (non-reinforced lever presses) was assessed in the cocaine context in the absence of response-contingent stimuli. In Experiment 1, we evaluated whether acute inhibition of lOFC output alters context-induced cocaine-seeking behavior by infusing the GABA(B + A) agonists (baclofen + muscimol) or vehicle into the lOFC immediately before exposure to the cocaine-paired context. In Experiments 2 and 3, we assessed how prolonged loss of lOFC output affects drug context-induced cocaine seeking by administering bilateral N-methyl-d-aspartic acid or sham lesions of the lOFC either before or after self-administration and extinction training. Remarkably, IOFC functional inactivation attenuated, post-training lesions failed to alter and pre-training lesions potentiated drug context-induced cocaine seeking without altering responding in the extinction context. These results suggest that neural activity in the lOFC promotes context-induced cocaine-seeking behavior. However, prolonged loss of lOFC output enhances the motivational salience of cocaine-paired contextual stimuli probably by eliciting compensatory neuroadaptations, with the effects of post-training lOFC lesions reflecting an intermediate state of compensatory neuroplasticity. Overall, these findings support the idea that OFC dysfunction may promote cue reactivity and enhance relapse propensity in cocaine users.","author":[{"dropping-particle":"","family":"Lasseter","given":"H C","non-dropping-particle":"","parse-names":false,"suffix":""},{"dropping-particle":"","family":"Ramirez","given":"D R","non-dropping-particle":"","parse-names":false,"suffix":""},{"dropping-particle":"","family":"Xie","given":"X","non-dropping-particle":"","parse-names":false,"suffix":""},{"dropping-particle":"","family":"Fuchs","given":"R A","non-dropping-particle":"","parse-names":false,"suffix":""}],"container-title":"European Journal of Neuroscience","edition":"2009/09/23","id":"ITEM-1","issue":"7","issued":{"date-parts":[["2009"]]},"language":"eng","note":"1460-9568\nLasseter, Heather C\nRamirez, Donna R\nXie, Xiaohu\nFuchs, Rita A\nR01 DA 017673/DA/NIDA NIH HHS/United States\nR01 DA 017673-S1/DA/NIDA NIH HHS/United States\nR01 DA017673/DA/NIDA NIH HHS/United States\nR01 DA017673-06/DA/NIDA NIH HHS/United States\nT32 DA 07244/DA/NIDA NIH HHS/United States\nJournal Article\nResearch Support, N.I.H., Extramural\nResearch Support, Non-U.S. Gov't\nFrance\nEur J Neurosci. 2009 Oct;30(7):1370-81. doi: 10.1111/j.1460-9568.2009.06906.x. Epub 2009 Sep 21.","page":"1370-1381","title":"Involvement of the lateral orbitofrontal cortex in drug context-induced reinstatement of cocaine-seeking behavior in rats","type":"article-journal","volume":"30"},"prefix":"e.g. ","uris":["http://www.mendeley.com/documents/?uuid=09141c07-edf2-4b4d-9ecd-09f3e92259b0"]},{"id":"ITEM-2","itemData":{"DOI":"10.7554/eLife.37357.001","ISSN":"2050084X","abstract":"The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deficits","type":"article-journal","volume":"7"},"uris":["http://www.mendeley.com/documents/?uuid=830dcb69-80d3-3948-bcf4-b67f5d01f017"]}],"mendeley":{"formattedCitation":"(e.g. Lasseter et al., 2009; Panayi &amp; Killcross, 2018)","plainTextFormattedCitation":"(e.g. Lasseter et al., 2009; Panayi &amp; Killcross, 2018)","previouslyFormattedCitation":"(e.g. Lasseter et al., 2009; Panayi &amp; Killcross, 2018)"},"properties":{"noteIndex":0},"schema":"https://github.com/citation-style-language/schema/raw/master/csl-citation.json"}</w:instrText>
      </w:r>
      <w:r w:rsidR="00334182">
        <w:fldChar w:fldCharType="separate"/>
      </w:r>
      <w:r w:rsidR="00334182" w:rsidRPr="00334182">
        <w:rPr>
          <w:noProof/>
        </w:rPr>
        <w:t>(e.g. Lasseter et al., 2009; Panayi &amp; Killcross, 2018)</w:t>
      </w:r>
      <w:r w:rsidR="00334182">
        <w:fldChar w:fldCharType="end"/>
      </w:r>
      <w:r>
        <w:t>.</w:t>
      </w:r>
    </w:p>
    <w:p w14:paraId="3172141B" w14:textId="13F2B8CB" w:rsidR="003F53B9" w:rsidRPr="007F67D5" w:rsidRDefault="00ED6F26" w:rsidP="00F04D98">
      <w:pPr>
        <w:pStyle w:val="BodyText"/>
        <w:spacing w:line="480" w:lineRule="auto"/>
        <w:rPr>
          <w:i/>
          <w:iCs/>
        </w:rPr>
      </w:pPr>
      <w:r>
        <w:rPr>
          <w:b/>
          <w:i/>
          <w:iCs/>
        </w:rPr>
        <w:t xml:space="preserve">General </w:t>
      </w:r>
      <w:r w:rsidR="003F53B9" w:rsidRPr="007F67D5">
        <w:rPr>
          <w:b/>
          <w:i/>
          <w:iCs/>
        </w:rPr>
        <w:t>Satiety</w:t>
      </w:r>
    </w:p>
    <w:p w14:paraId="007A2CF3" w14:textId="2AA794CB" w:rsidR="003F53B9" w:rsidRDefault="003F53B9" w:rsidP="00F04D98">
      <w:pPr>
        <w:pStyle w:val="BodyText"/>
        <w:spacing w:line="480" w:lineRule="auto"/>
      </w:pPr>
      <w:r>
        <w:t xml:space="preserve">To test whether the enhanced responding following pre-training OFC lesions was sensitive to levels of hunger or shifts in general motivation, a subgroup of animals (subgroup 1) was tested when sated, i.e. following 24 hours </w:t>
      </w:r>
      <w:r w:rsidRPr="00201EFD">
        <w:rPr>
          <w:i/>
          <w:iCs/>
        </w:rPr>
        <w:t>ad libitum</w:t>
      </w:r>
      <w:r>
        <w:t xml:space="preserve"> access to home-cage food (</w:t>
      </w:r>
      <w:r w:rsidRPr="00136F82">
        <w:rPr>
          <w:highlight w:val="yellow"/>
        </w:rPr>
        <w:t>Figure 1B</w:t>
      </w:r>
      <w:r>
        <w:t xml:space="preserve">). General satiety, did not affect the rate of responding in the sham group (Sham: Satiety vs Hungry </w:t>
      </w:r>
      <m:oMath>
        <m:r>
          <w:rPr>
            <w:rFonts w:ascii="Cambria Math" w:hAnsi="Cambria Math"/>
          </w:rPr>
          <m:t>t(13)=-1.38</m:t>
        </m:r>
      </m:oMath>
      <w:r>
        <w:t xml:space="preserve">, </w:t>
      </w:r>
      <m:oMath>
        <m:r>
          <w:rPr>
            <w:rFonts w:ascii="Cambria Math" w:hAnsi="Cambria Math"/>
          </w:rPr>
          <m:t>p=.191</m:t>
        </m:r>
      </m:oMath>
      <w:r>
        <w:t xml:space="preserve">) but significantly suppressed responding in the lesion group (Lesion: Satiety vs Hungry </w:t>
      </w:r>
      <m:oMath>
        <m:r>
          <w:rPr>
            <w:rFonts w:ascii="Cambria Math" w:hAnsi="Cambria Math"/>
          </w:rPr>
          <m:t>t(13)=-4.24</m:t>
        </m:r>
      </m:oMath>
      <w:r>
        <w:t xml:space="preserve">, </w:t>
      </w:r>
      <m:oMath>
        <m:r>
          <w:rPr>
            <w:rFonts w:ascii="Cambria Math" w:hAnsi="Cambria Math"/>
          </w:rPr>
          <m:t>p=.001</m:t>
        </m:r>
      </m:oMath>
      <w:r>
        <w:t xml:space="preserve">) compared to subsequent testing 24 hours later when hungry again (no significant main effect of Group </w:t>
      </w:r>
      <m:oMath>
        <m:r>
          <w:rPr>
            <w:rFonts w:ascii="Cambria Math" w:hAnsi="Cambria Math"/>
          </w:rPr>
          <m:t>F(1,13)=1.43</m:t>
        </m:r>
      </m:oMath>
      <w:r>
        <w:t xml:space="preserve">, </w:t>
      </w:r>
      <m:oMath>
        <m:r>
          <w:rPr>
            <w:rFonts w:ascii="Cambria Math" w:hAnsi="Cambria Math"/>
          </w:rPr>
          <m:t>p=.253</m:t>
        </m:r>
      </m:oMath>
      <w:r>
        <w:t xml:space="preserve">, but a significant main effect of Hunger </w:t>
      </w:r>
      <m:oMath>
        <m:r>
          <w:rPr>
            <w:rFonts w:ascii="Cambria Math" w:hAnsi="Cambria Math"/>
          </w:rPr>
          <m:t>F(1,13)=16.30</m:t>
        </m:r>
      </m:oMath>
      <w:r>
        <w:t xml:space="preserve">, </w:t>
      </w:r>
      <m:oMath>
        <m:r>
          <w:rPr>
            <w:rFonts w:ascii="Cambria Math" w:hAnsi="Cambria Math"/>
          </w:rPr>
          <m:t>p=.001</m:t>
        </m:r>
      </m:oMath>
      <w:r>
        <w:t xml:space="preserve">, and Group x Hunger interaction </w:t>
      </w:r>
      <m:oMath>
        <m:r>
          <w:rPr>
            <w:rFonts w:ascii="Cambria Math" w:hAnsi="Cambria Math"/>
          </w:rPr>
          <m:t>F(1,13)=4.63</m:t>
        </m:r>
      </m:oMath>
      <w:r>
        <w:t xml:space="preserve">, </w:t>
      </w:r>
      <m:oMath>
        <m:r>
          <w:rPr>
            <w:rFonts w:ascii="Cambria Math" w:hAnsi="Cambria Math"/>
          </w:rPr>
          <m:t>p=.051</m:t>
        </m:r>
      </m:oMath>
      <w:r>
        <w:t xml:space="preserve">). Since the satiety test session was rewarded, it is possible that OFC lesioned animals could learn that the reward was less valuable by direct experience with the reward, similar to incentive learning effects normally observed in instrumental conditioning </w:t>
      </w:r>
      <w:r>
        <w:fldChar w:fldCharType="begin" w:fldLock="1"/>
      </w:r>
      <w:r>
        <w:instrText>ADDIN CSL_CITATION {"citationItems":[{"id":"ITEM-1","itemData":{"DOI":"10.1002/0471214426.pas0312","ISBN":"9780471214427","abstract":"Acquired behavior is motivated by two forms of incentive learning. Pavlovian incentive learning reflects the acquisition of motivational properties by conditioned stimuli (CSs) through their association with appetitive and aversive reinforcers. Although the influence of appetitive CSs is modulated by primary motivational states, they exert a general motivation influence on appetitive behavior. By contrast, aversive CSs inhibit appetitive behavior. The second process, instrumental incentive learning, determines the incentive value assigned to outcomes of goal-directed, instrumental action. This incentive value, and its control by primary motivational states, has to be learned through experience of the hedonic reactions elicited by the outcome. The two incentive learning processes function in parallel to motivate instrumental behavior.","author":[{"dropping-particle":"","family":"Dickinson","given":"A","non-dropping-particle":"","parse-names":false,"suffix":""},{"dropping-particle":"","family":"Balleine","given":"B W","non-dropping-particle":"","parse-names":false,"suffix":""}],"container-title":"Stevens' Handbook of Experimental Psychology","id":"ITEM-1","issued":{"date-parts":[["2002"]]},"publisher":"John Wiley &amp; Sons, Inc.","title":"The Role of Learning in the Operation of Motivational Systems","type":"chapter"},"uris":["http://www.mendeley.com/documents/?uuid=5f2cd0e0-4657-4a4e-91d1-4362764fa19b"]}],"mendeley":{"formattedCitation":"(Dickinson &amp; Balleine, 2002)","plainTextFormattedCitation":"(Dickinson &amp; Balleine, 2002)","previouslyFormattedCitation":"(Dickinson &amp; Balleine, 2002)"},"properties":{"noteIndex":0},"schema":"https://github.com/citation-style-language/schema/raw/master/csl-citation.json"}</w:instrText>
      </w:r>
      <w:r>
        <w:fldChar w:fldCharType="separate"/>
      </w:r>
      <w:r w:rsidRPr="00D929BD">
        <w:rPr>
          <w:noProof/>
        </w:rPr>
        <w:t>(Dickinson &amp; Balleine, 2002)</w:t>
      </w:r>
      <w:r>
        <w:fldChar w:fldCharType="end"/>
      </w:r>
      <w:r>
        <w:t>. However, this possibility is unlikely as responding was comparable between groups on the first trial of the satiety test (</w:t>
      </w:r>
      <m:oMath>
        <m:r>
          <w:rPr>
            <w:rFonts w:ascii="Cambria Math" w:hAnsi="Cambria Math"/>
          </w:rPr>
          <m:t>t(13)=1.04</m:t>
        </m:r>
      </m:oMath>
      <w:r>
        <w:t xml:space="preserve">, </w:t>
      </w:r>
      <m:oMath>
        <m:r>
          <w:rPr>
            <w:rFonts w:ascii="Cambria Math" w:hAnsi="Cambria Math"/>
          </w:rPr>
          <m:t>p=.317</m:t>
        </m:r>
      </m:oMath>
      <w:r>
        <w:t xml:space="preserve">, </w:t>
      </w:r>
      <w:r w:rsidRPr="00916723">
        <w:rPr>
          <w:highlight w:val="yellow"/>
        </w:rPr>
        <w:t>Figure 1-figure supplement 2</w:t>
      </w:r>
      <w:r>
        <w:t>), before the first reward was delivered. This suggests that</w:t>
      </w:r>
      <w:r w:rsidR="00C9406F">
        <w:t xml:space="preserve">, consistent with </w:t>
      </w:r>
      <w:r w:rsidR="003B74A4">
        <w:t xml:space="preserve">previous </w:t>
      </w:r>
      <w:r w:rsidR="007F12A9">
        <w:t xml:space="preserve">reports </w:t>
      </w:r>
      <w:r w:rsidR="007F12A9">
        <w:fldChar w:fldCharType="begin" w:fldLock="1"/>
      </w:r>
      <w:r w:rsidR="00334182">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feeding","type":"article-journal","volume":"25"},"prefix":"e.g. ","uris":["http://www.mendeley.com/documents/?uuid=910be4df-5700-43f9-a41d-a627c24b09a3"]}],"mendeley":{"formattedCitation":"(e.g. McDannald et al., 2005)","plainTextFormattedCitation":"(e.g. McDannald et al., 2005)","previouslyFormattedCitation":"(e.g. McDannald et al., 2005)"},"properties":{"noteIndex":0},"schema":"https://github.com/citation-style-language/schema/raw/master/csl-citation.json"}</w:instrText>
      </w:r>
      <w:r w:rsidR="007F12A9">
        <w:fldChar w:fldCharType="separate"/>
      </w:r>
      <w:r w:rsidR="007F12A9" w:rsidRPr="007F12A9">
        <w:rPr>
          <w:noProof/>
        </w:rPr>
        <w:t>(e.g. McDannald et al., 2005)</w:t>
      </w:r>
      <w:r w:rsidR="007F12A9">
        <w:fldChar w:fldCharType="end"/>
      </w:r>
      <w:r w:rsidR="007F12A9">
        <w:t xml:space="preserve">, </w:t>
      </w:r>
      <w:r>
        <w:t xml:space="preserve">animals with </w:t>
      </w:r>
      <w:r w:rsidR="008A41A7">
        <w:t xml:space="preserve">lateral </w:t>
      </w:r>
      <w:r>
        <w:t>OFC lesions are sensitive to shifts in hunger and general motivation.</w:t>
      </w:r>
    </w:p>
    <w:p w14:paraId="6A1B1149" w14:textId="77777777" w:rsidR="003F53B9" w:rsidRPr="007F67D5" w:rsidRDefault="003F53B9" w:rsidP="00F04D98">
      <w:pPr>
        <w:pStyle w:val="BodyText"/>
        <w:spacing w:line="480" w:lineRule="auto"/>
        <w:rPr>
          <w:i/>
          <w:iCs/>
        </w:rPr>
      </w:pPr>
      <w:r w:rsidRPr="007F67D5">
        <w:rPr>
          <w:b/>
          <w:i/>
          <w:iCs/>
        </w:rPr>
        <w:lastRenderedPageBreak/>
        <w:t>Devaluation Test</w:t>
      </w:r>
    </w:p>
    <w:p w14:paraId="2B730167" w14:textId="64DC9804" w:rsidR="003F53B9" w:rsidRDefault="003F53B9" w:rsidP="00F04D98">
      <w:pPr>
        <w:pStyle w:val="BodyText"/>
        <w:spacing w:line="480" w:lineRule="auto"/>
      </w:pPr>
      <w:r>
        <w:t xml:space="preserve">OFC lesions have been shown to cause characteristic deficits in Pavlovian outcome devaluation </w:t>
      </w:r>
      <w:r>
        <w:fldChar w:fldCharType="begin" w:fldLock="1"/>
      </w:r>
      <w:r w:rsidR="00305542">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fldChar w:fldCharType="separate"/>
      </w:r>
      <w:r w:rsidR="00FA6E1C" w:rsidRPr="00FA6E1C">
        <w:rPr>
          <w:noProof/>
        </w:rPr>
        <w:t>(Gallagher et al., 1999; Panayi &amp; Killcross, 2018; Pickens et al., 2003, 2005)</w:t>
      </w:r>
      <w:r>
        <w:fldChar w:fldCharType="end"/>
      </w:r>
      <w:r>
        <w:t>. Therefore, to test whether the present lesion manipulation was comparable to other reports we tested a subgroup of animals (subgroup 2) on Pavlovian outcome devaluation. First the sham and lesion animals were given novel acquisition training of two novel and unique cue-outcome relationship (</w:t>
      </w:r>
      <w:r w:rsidRPr="00F820F2">
        <w:rPr>
          <w:highlight w:val="yellow"/>
        </w:rPr>
        <w:t>Figure 1-figure supplement 3A</w:t>
      </w:r>
      <w:r>
        <w:t>). A specific taste aversion was then established by pairing consumption of one of the outcomes with illness (</w:t>
      </w:r>
      <w:proofErr w:type="spellStart"/>
      <w:r>
        <w:t>i.p.</w:t>
      </w:r>
      <w:proofErr w:type="spellEnd"/>
      <w:r>
        <w:t xml:space="preserve"> injection of lithium chloride; Devalued), and the value of the other outcome was left intact (</w:t>
      </w:r>
      <w:proofErr w:type="spellStart"/>
      <w:r>
        <w:t>i.p.</w:t>
      </w:r>
      <w:proofErr w:type="spellEnd"/>
      <w:r>
        <w:t xml:space="preserve"> injection of saline; Non-Devalued). Both groups learned the novel cue-outcome associations and acquired the specific taste aversion (</w:t>
      </w:r>
      <w:r w:rsidRPr="00F820F2">
        <w:rPr>
          <w:highlight w:val="yellow"/>
        </w:rPr>
        <w:t>Figure 1-figure supplement 3B</w:t>
      </w:r>
      <w:r>
        <w:t>).</w:t>
      </w:r>
    </w:p>
    <w:p w14:paraId="7609903A" w14:textId="345306B9" w:rsidR="003F53B9" w:rsidRDefault="003F53B9" w:rsidP="00F04D98">
      <w:pPr>
        <w:pStyle w:val="BodyText"/>
        <w:spacing w:line="480" w:lineRule="auto"/>
      </w:pPr>
      <w:r>
        <w:t>Finally, during a devaluation test (</w:t>
      </w:r>
      <w:r w:rsidRPr="006B6F29">
        <w:rPr>
          <w:highlight w:val="yellow"/>
        </w:rPr>
        <w:t>Figure 1D</w:t>
      </w:r>
      <w:r>
        <w:t>), the two cues were presented in extinction. The sham group showed a significant devaluation effect, i.e. responding was lower to the devalued than non-devalued cue (</w:t>
      </w:r>
      <m:oMath>
        <m:r>
          <w:rPr>
            <w:rFonts w:ascii="Cambria Math" w:hAnsi="Cambria Math"/>
          </w:rPr>
          <m:t>t(11)=-3.06</m:t>
        </m:r>
      </m:oMath>
      <w:r>
        <w:t xml:space="preserve">, </w:t>
      </w:r>
      <m:oMath>
        <m:r>
          <w:rPr>
            <w:rFonts w:ascii="Cambria Math" w:hAnsi="Cambria Math"/>
          </w:rPr>
          <m:t>p=.011</m:t>
        </m:r>
      </m:oMath>
      <w:r>
        <w:t>). In contrast, the devaluation effect was abolished in the lesion group, and responding remained high to both the devalued and non-devalued cue (</w:t>
      </w:r>
      <m:oMath>
        <m:r>
          <w:rPr>
            <w:rFonts w:ascii="Cambria Math" w:hAnsi="Cambria Math"/>
          </w:rPr>
          <m:t>t(11)=1.09</m:t>
        </m:r>
      </m:oMath>
      <w:r>
        <w:t xml:space="preserve">, </w:t>
      </w:r>
      <m:oMath>
        <m:r>
          <w:rPr>
            <w:rFonts w:ascii="Cambria Math" w:hAnsi="Cambria Math"/>
          </w:rPr>
          <m:t>p=.300</m:t>
        </m:r>
      </m:oMath>
      <w:r>
        <w:t xml:space="preserve">; Significant Group x Cue interaction </w:t>
      </w:r>
      <m:oMath>
        <m:r>
          <w:rPr>
            <w:rFonts w:ascii="Cambria Math" w:hAnsi="Cambria Math"/>
          </w:rPr>
          <m:t>F(1,11)=7.55</m:t>
        </m:r>
      </m:oMath>
      <w:r>
        <w:t xml:space="preserve">, </w:t>
      </w:r>
      <m:oMath>
        <m:r>
          <w:rPr>
            <w:rFonts w:ascii="Cambria Math" w:hAnsi="Cambria Math"/>
          </w:rPr>
          <m:t>p=.019</m:t>
        </m:r>
      </m:oMath>
      <w:r>
        <w:t xml:space="preserve">, but no main effect of Group </w:t>
      </w:r>
      <m:oMath>
        <m:r>
          <w:rPr>
            <w:rFonts w:ascii="Cambria Math" w:hAnsi="Cambria Math"/>
          </w:rPr>
          <m:t>F(1,11)=0.54</m:t>
        </m:r>
      </m:oMath>
      <w:r>
        <w:t xml:space="preserve">, </w:t>
      </w:r>
      <m:oMath>
        <m:r>
          <w:rPr>
            <w:rFonts w:ascii="Cambria Math" w:hAnsi="Cambria Math"/>
          </w:rPr>
          <m:t>p=.479</m:t>
        </m:r>
      </m:oMath>
      <w:r>
        <w:t xml:space="preserve">, or Cue </w:t>
      </w:r>
      <m:oMath>
        <m:r>
          <w:rPr>
            <w:rFonts w:ascii="Cambria Math" w:hAnsi="Cambria Math"/>
          </w:rPr>
          <m:t>F(1,11)=1.09</m:t>
        </m:r>
      </m:oMath>
      <w:r>
        <w:t xml:space="preserve">, </w:t>
      </w:r>
      <m:oMath>
        <m:r>
          <w:rPr>
            <w:rFonts w:ascii="Cambria Math" w:hAnsi="Cambria Math"/>
          </w:rPr>
          <m:t>p=.320</m:t>
        </m:r>
      </m:oMath>
      <w:r>
        <w:t xml:space="preserve">). This finding successfully replicates the finding that both complete OFC and focal lateral OFC lesions abolish the outcome devaluation effect in rodents </w:t>
      </w:r>
      <w:r>
        <w:fldChar w:fldCharType="begin" w:fldLock="1"/>
      </w:r>
      <w:r w:rsidR="00305542">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Panayi &amp; Killcross, 2018; Pickens et al., 2003, 2005)","plainTextFormattedCitation":"(Gallagher et al., 1999; Panayi &amp; Killcross, 2018; Pickens et al., 2003, 2005)","previouslyFormattedCitation":"(Gallagher et al., 1999; Panayi &amp; Killcross, 2018; Pickens et al., 2003, 2005)"},"properties":{"noteIndex":0},"schema":"https://github.com/citation-style-language/schema/raw/master/csl-citation.json"}</w:instrText>
      </w:r>
      <w:r>
        <w:fldChar w:fldCharType="separate"/>
      </w:r>
      <w:r w:rsidR="00FA6E1C" w:rsidRPr="00FA6E1C">
        <w:rPr>
          <w:noProof/>
        </w:rPr>
        <w:t>(Gallagher et al., 1999; Panayi &amp; Killcross, 2018; Pickens et al., 2003, 2005)</w:t>
      </w:r>
      <w:r>
        <w:fldChar w:fldCharType="end"/>
      </w:r>
      <w:r>
        <w:t>.</w:t>
      </w:r>
    </w:p>
    <w:p w14:paraId="4DE40D8E" w14:textId="46AAAAE9" w:rsidR="00070894" w:rsidRDefault="00070894" w:rsidP="00F04D98">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61E84DAD" w14:textId="77777777" w:rsidR="00070894" w:rsidRPr="00C42A81" w:rsidRDefault="00070894" w:rsidP="00F04D98">
      <w:pPr>
        <w:spacing w:line="480" w:lineRule="auto"/>
        <w:rPr>
          <w:rFonts w:cstheme="minorHAnsi"/>
          <w:b/>
          <w:sz w:val="24"/>
          <w:szCs w:val="24"/>
        </w:rPr>
      </w:pPr>
      <w:r w:rsidRPr="00C42A81">
        <w:rPr>
          <w:rFonts w:cstheme="minorHAnsi"/>
          <w:b/>
          <w:noProof/>
          <w:sz w:val="24"/>
          <w:szCs w:val="24"/>
        </w:rPr>
        <w:lastRenderedPageBreak/>
        <w:drawing>
          <wp:inline distT="0" distB="0" distL="0" distR="0" wp14:anchorId="72DA14DB" wp14:editId="335F0C8C">
            <wp:extent cx="5943600" cy="229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27F8DB56" w14:textId="77777777" w:rsidR="00070894" w:rsidRPr="00C42A81" w:rsidRDefault="00070894" w:rsidP="00F04D98">
      <w:pPr>
        <w:spacing w:line="480" w:lineRule="auto"/>
        <w:rPr>
          <w:rFonts w:cstheme="minorHAnsi"/>
          <w:b/>
          <w:sz w:val="24"/>
          <w:szCs w:val="24"/>
        </w:rPr>
      </w:pPr>
    </w:p>
    <w:p w14:paraId="110344E4" w14:textId="77B85E0F" w:rsidR="00070894" w:rsidRDefault="00070894" w:rsidP="00F04D98">
      <w:pPr>
        <w:spacing w:line="480" w:lineRule="auto"/>
        <w:rPr>
          <w:rFonts w:cstheme="minorHAnsi"/>
          <w:color w:val="212121"/>
          <w:sz w:val="24"/>
          <w:szCs w:val="24"/>
          <w:shd w:val="clear" w:color="auto" w:fill="FFFFFF"/>
        </w:rPr>
      </w:pPr>
      <w:r w:rsidRPr="00C42A81">
        <w:rPr>
          <w:rFonts w:cstheme="minorHAnsi"/>
          <w:b/>
          <w:sz w:val="24"/>
          <w:szCs w:val="24"/>
        </w:rPr>
        <w:t xml:space="preserve">Figure 1. </w:t>
      </w:r>
      <w:r w:rsidRPr="00C42A81">
        <w:rPr>
          <w:rFonts w:cstheme="minorHAnsi"/>
          <w:sz w:val="24"/>
          <w:szCs w:val="24"/>
        </w:rPr>
        <w:t xml:space="preserve">The effect of pre-training OFC lesions on the acquisition of simple Pavlovian cue-outcome relationship. Representative lesion damage and histology depicted in </w:t>
      </w:r>
      <w:r w:rsidRPr="00C42A81">
        <w:rPr>
          <w:rFonts w:cstheme="minorHAnsi"/>
          <w:sz w:val="24"/>
          <w:szCs w:val="24"/>
          <w:u w:val="single"/>
        </w:rPr>
        <w:t>Figure 1-figure supplement 1</w:t>
      </w:r>
      <w:r w:rsidRPr="00C42A81">
        <w:rPr>
          <w:rFonts w:cstheme="minorHAnsi"/>
          <w:sz w:val="24"/>
          <w:szCs w:val="24"/>
        </w:rPr>
        <w:t>. (</w:t>
      </w:r>
      <w:r w:rsidRPr="00C42A81">
        <w:rPr>
          <w:rFonts w:cstheme="minorHAnsi"/>
          <w:b/>
          <w:sz w:val="24"/>
          <w:szCs w:val="24"/>
        </w:rPr>
        <w:t>A</w:t>
      </w:r>
      <w:r w:rsidRPr="00C42A81">
        <w:rPr>
          <w:rFonts w:cstheme="minorHAnsi"/>
          <w:sz w:val="24"/>
          <w:szCs w:val="24"/>
        </w:rPr>
        <w:t xml:space="preserve">) </w:t>
      </w:r>
      <w:r>
        <w:rPr>
          <w:rFonts w:cstheme="minorHAnsi"/>
          <w:sz w:val="24"/>
          <w:szCs w:val="24"/>
        </w:rPr>
        <w:t xml:space="preserve">Experiment 1: </w:t>
      </w:r>
      <w:r w:rsidRPr="00C42A81">
        <w:rPr>
          <w:rFonts w:cstheme="minorHAnsi"/>
          <w:sz w:val="24"/>
          <w:szCs w:val="24"/>
        </w:rPr>
        <w:t xml:space="preserve">OFC lesions significantly enhance acquisition behaviour to a simple Pavlovian cue (CS) predicting a food pellet. Responding during the baseline PreCS period </w:t>
      </w:r>
      <w:r w:rsidRPr="00C42A81">
        <w:rPr>
          <w:rFonts w:eastAsia="Times New Roman" w:cstheme="minorHAnsi"/>
          <w:sz w:val="24"/>
          <w:szCs w:val="24"/>
          <w:lang w:val="en-AU" w:eastAsia="en-AU"/>
        </w:rPr>
        <w:t>is subtracted from responding during the CS period</w:t>
      </w:r>
      <w:r>
        <w:rPr>
          <w:rFonts w:eastAsia="Times New Roman" w:cstheme="minorHAnsi"/>
          <w:sz w:val="24"/>
          <w:szCs w:val="24"/>
          <w:lang w:val="en-AU" w:eastAsia="en-AU"/>
        </w:rPr>
        <w:t xml:space="preserve"> (i.e. CS-PreCS)</w:t>
      </w:r>
      <w:r w:rsidRPr="00C42A81">
        <w:rPr>
          <w:rFonts w:eastAsia="Times New Roman" w:cstheme="minorHAnsi"/>
          <w:sz w:val="24"/>
          <w:szCs w:val="24"/>
          <w:lang w:val="en-AU" w:eastAsia="en-AU"/>
        </w:rPr>
        <w:t>. Data presented in blocks of 3 days. (</w:t>
      </w:r>
      <w:r w:rsidRPr="00C42A81">
        <w:rPr>
          <w:rFonts w:eastAsia="Times New Roman" w:cstheme="minorHAnsi"/>
          <w:b/>
          <w:sz w:val="24"/>
          <w:szCs w:val="24"/>
          <w:lang w:val="en-AU" w:eastAsia="en-AU"/>
        </w:rPr>
        <w:t>B</w:t>
      </w:r>
      <w:r w:rsidRPr="00C42A81">
        <w:rPr>
          <w:rFonts w:eastAsia="Times New Roman" w:cstheme="minorHAnsi"/>
          <w:sz w:val="24"/>
          <w:szCs w:val="24"/>
          <w:lang w:val="en-AU" w:eastAsia="en-AU"/>
        </w:rPr>
        <w:t xml:space="preserve">) The effect of manipulating general levels of satiety (24 hrs ad-libitum access to food) on Pavlovian acquisition behaviour in a subset of rats </w:t>
      </w:r>
      <w:r w:rsidRPr="00C42A81">
        <w:rPr>
          <w:rFonts w:eastAsia="Times New Roman" w:cstheme="minorHAnsi"/>
          <w:sz w:val="24"/>
          <w:szCs w:val="24"/>
          <w:lang w:eastAsia="en-AU"/>
        </w:rPr>
        <w:t>(subgroup 1; sham n = 8, lesion n = 7)</w:t>
      </w:r>
      <w:r w:rsidRPr="00C42A81">
        <w:rPr>
          <w:rFonts w:eastAsia="Times New Roman" w:cstheme="minorHAnsi"/>
          <w:sz w:val="24"/>
          <w:szCs w:val="24"/>
          <w:lang w:val="en-AU" w:eastAsia="en-AU"/>
        </w:rPr>
        <w:t>. General satiety reduced behaviour in the lesion group and abolished group differences (sated), which returned when tested hungry 24 hours later. Th</w:t>
      </w:r>
      <w:r>
        <w:rPr>
          <w:rFonts w:eastAsia="Times New Roman" w:cstheme="minorHAnsi"/>
          <w:sz w:val="24"/>
          <w:szCs w:val="24"/>
          <w:lang w:val="en-AU" w:eastAsia="en-AU"/>
        </w:rPr>
        <w:t>e</w:t>
      </w:r>
      <w:r w:rsidRPr="00C42A81">
        <w:rPr>
          <w:rFonts w:eastAsia="Times New Roman" w:cstheme="minorHAnsi"/>
          <w:sz w:val="24"/>
          <w:szCs w:val="24"/>
          <w:lang w:val="en-AU" w:eastAsia="en-AU"/>
        </w:rPr>
        <w:t xml:space="preserve"> effect of satiety was also evident on the first trial of the session </w:t>
      </w:r>
      <w:r w:rsidRPr="00C42A81">
        <w:rPr>
          <w:rFonts w:eastAsia="Times New Roman" w:cstheme="minorHAnsi"/>
          <w:sz w:val="24"/>
          <w:szCs w:val="24"/>
          <w:u w:val="single"/>
          <w:lang w:val="en-AU" w:eastAsia="en-AU"/>
        </w:rPr>
        <w:t>Figure 1-figure supplement 2</w:t>
      </w:r>
      <w:r w:rsidRPr="00C42A81">
        <w:rPr>
          <w:rFonts w:eastAsia="Times New Roman" w:cstheme="minorHAnsi"/>
          <w:sz w:val="24"/>
          <w:szCs w:val="24"/>
          <w:lang w:val="en-AU" w:eastAsia="en-AU"/>
        </w:rPr>
        <w:t>. (</w:t>
      </w:r>
      <w:r w:rsidRPr="00C42A81">
        <w:rPr>
          <w:rFonts w:eastAsia="Times New Roman" w:cstheme="minorHAnsi"/>
          <w:b/>
          <w:sz w:val="24"/>
          <w:szCs w:val="24"/>
          <w:lang w:val="en-AU" w:eastAsia="en-AU"/>
        </w:rPr>
        <w:t>C</w:t>
      </w:r>
      <w:r w:rsidRPr="00C42A81">
        <w:rPr>
          <w:rFonts w:eastAsia="Times New Roman" w:cstheme="minorHAnsi"/>
          <w:sz w:val="24"/>
          <w:szCs w:val="24"/>
          <w:lang w:val="en-AU" w:eastAsia="en-AU"/>
        </w:rPr>
        <w:t xml:space="preserve">) Locomotor activity (as reflected by infra-red beam breaks in a novel </w:t>
      </w:r>
      <w:proofErr w:type="gramStart"/>
      <w:r w:rsidRPr="00C42A81">
        <w:rPr>
          <w:rFonts w:eastAsia="Times New Roman" w:cstheme="minorHAnsi"/>
          <w:sz w:val="24"/>
          <w:szCs w:val="24"/>
          <w:lang w:val="en-AU" w:eastAsia="en-AU"/>
        </w:rPr>
        <w:t>open-field</w:t>
      </w:r>
      <w:proofErr w:type="gramEnd"/>
      <w:r w:rsidRPr="00C42A81">
        <w:rPr>
          <w:rFonts w:eastAsia="Times New Roman" w:cstheme="minorHAnsi"/>
          <w:sz w:val="24"/>
          <w:szCs w:val="24"/>
          <w:lang w:val="en-AU" w:eastAsia="en-AU"/>
        </w:rPr>
        <w:t>) measured over 1 hour (separated into 30 min blocks) shows no significant hyperactivity in the OFC lesion group. (</w:t>
      </w:r>
      <w:r w:rsidRPr="00C42A81">
        <w:rPr>
          <w:rFonts w:eastAsia="Times New Roman" w:cstheme="minorHAnsi"/>
          <w:b/>
          <w:sz w:val="24"/>
          <w:szCs w:val="24"/>
          <w:lang w:val="en-AU" w:eastAsia="en-AU"/>
        </w:rPr>
        <w:t>D</w:t>
      </w:r>
      <w:r w:rsidRPr="00C42A81">
        <w:rPr>
          <w:rFonts w:eastAsia="Times New Roman" w:cstheme="minorHAnsi"/>
          <w:sz w:val="24"/>
          <w:szCs w:val="24"/>
          <w:lang w:val="en-AU" w:eastAsia="en-AU"/>
        </w:rPr>
        <w:t xml:space="preserve">) The effect of outcome-specific devaluation is abolished by OFC lesions (subgroup 2; sham </w:t>
      </w:r>
      <w:r w:rsidRPr="00C42A81">
        <w:rPr>
          <w:rFonts w:eastAsia="Times New Roman" w:cstheme="minorHAnsi"/>
          <w:i/>
          <w:sz w:val="24"/>
          <w:szCs w:val="24"/>
          <w:lang w:val="en-AU" w:eastAsia="en-AU"/>
        </w:rPr>
        <w:t>n</w:t>
      </w:r>
      <w:r w:rsidRPr="00C42A81">
        <w:rPr>
          <w:rFonts w:eastAsia="Times New Roman" w:cstheme="minorHAnsi"/>
          <w:sz w:val="24"/>
          <w:szCs w:val="24"/>
          <w:lang w:val="en-AU" w:eastAsia="en-AU"/>
        </w:rPr>
        <w:t xml:space="preserve"> = 8, lesion </w:t>
      </w:r>
      <w:r w:rsidRPr="00C42A81">
        <w:rPr>
          <w:rFonts w:eastAsia="Times New Roman" w:cstheme="minorHAnsi"/>
          <w:i/>
          <w:sz w:val="24"/>
          <w:szCs w:val="24"/>
          <w:lang w:val="en-AU" w:eastAsia="en-AU"/>
        </w:rPr>
        <w:t>n</w:t>
      </w:r>
      <w:r w:rsidRPr="00C42A81">
        <w:rPr>
          <w:rFonts w:eastAsia="Times New Roman" w:cstheme="minorHAnsi"/>
          <w:sz w:val="24"/>
          <w:szCs w:val="24"/>
          <w:lang w:val="en-AU" w:eastAsia="en-AU"/>
        </w:rPr>
        <w:t xml:space="preserve"> = 5). After retraining with two unique Pavlovian cues and outcomes (</w:t>
      </w:r>
      <w:r w:rsidRPr="00C42A81">
        <w:rPr>
          <w:rFonts w:eastAsia="Times New Roman" w:cstheme="minorHAnsi"/>
          <w:sz w:val="24"/>
          <w:szCs w:val="24"/>
          <w:u w:val="single"/>
          <w:lang w:val="en-AU" w:eastAsia="en-AU"/>
        </w:rPr>
        <w:t>Figure 1-figure supplement 3A</w:t>
      </w:r>
      <w:r w:rsidRPr="00C42A81">
        <w:rPr>
          <w:rFonts w:eastAsia="Times New Roman" w:cstheme="minorHAnsi"/>
          <w:sz w:val="24"/>
          <w:szCs w:val="24"/>
          <w:lang w:val="en-AU" w:eastAsia="en-AU"/>
        </w:rPr>
        <w:t xml:space="preserve">), one </w:t>
      </w:r>
      <w:r w:rsidRPr="00C42A81">
        <w:rPr>
          <w:rFonts w:eastAsia="Times New Roman" w:cstheme="minorHAnsi"/>
          <w:sz w:val="24"/>
          <w:szCs w:val="24"/>
          <w:lang w:val="en-AU" w:eastAsia="en-AU"/>
        </w:rPr>
        <w:lastRenderedPageBreak/>
        <w:t>outcome was paired with injections of LiCl to establish an outcome specific taste aversion (</w:t>
      </w:r>
      <w:r w:rsidRPr="00C42A81">
        <w:rPr>
          <w:rFonts w:eastAsia="Times New Roman" w:cstheme="minorHAnsi"/>
          <w:sz w:val="24"/>
          <w:szCs w:val="24"/>
          <w:u w:val="single"/>
          <w:lang w:val="en-AU" w:eastAsia="en-AU"/>
        </w:rPr>
        <w:t>Figure 1-figure supplement 3B</w:t>
      </w:r>
      <w:r w:rsidRPr="00C42A81">
        <w:rPr>
          <w:rFonts w:eastAsia="Times New Roman" w:cstheme="minorHAnsi"/>
          <w:sz w:val="24"/>
          <w:szCs w:val="24"/>
          <w:lang w:val="en-AU" w:eastAsia="en-AU"/>
        </w:rPr>
        <w:t xml:space="preserve">). At test, responding to the cue that predicted the now Devalued outcome (vs the Non-Devalued control outcome) revealed that the sham group appropriately reduced behaviour for the Devalued outcome whereas the lesion group did not. </w:t>
      </w:r>
      <w:r w:rsidRPr="00C42A81">
        <w:rPr>
          <w:rFonts w:cstheme="minorHAnsi"/>
          <w:color w:val="212121"/>
          <w:sz w:val="24"/>
          <w:szCs w:val="24"/>
          <w:shd w:val="clear" w:color="auto" w:fill="FFFFFF"/>
        </w:rPr>
        <w:t>Error bars depict ± SEM.</w:t>
      </w:r>
    </w:p>
    <w:p w14:paraId="76FD6A72" w14:textId="77777777" w:rsidR="00070894" w:rsidRDefault="00070894" w:rsidP="00F04D98">
      <w:pPr>
        <w:spacing w:line="480" w:lineRule="auto"/>
        <w:rPr>
          <w:rFonts w:cstheme="minorHAnsi"/>
          <w:color w:val="212121"/>
          <w:sz w:val="24"/>
          <w:szCs w:val="24"/>
          <w:shd w:val="clear" w:color="auto" w:fill="FFFFFF"/>
        </w:rPr>
      </w:pPr>
      <w:r>
        <w:rPr>
          <w:rFonts w:cstheme="minorHAnsi"/>
          <w:color w:val="212121"/>
          <w:sz w:val="24"/>
          <w:szCs w:val="24"/>
          <w:shd w:val="clear" w:color="auto" w:fill="FFFFFF"/>
        </w:rPr>
        <w:br w:type="page"/>
      </w:r>
    </w:p>
    <w:p w14:paraId="193A8542" w14:textId="77777777" w:rsidR="008C0345" w:rsidRDefault="008C0345" w:rsidP="00F04D98">
      <w:pPr>
        <w:pStyle w:val="BodyText"/>
        <w:spacing w:line="480" w:lineRule="auto"/>
      </w:pPr>
      <w:r>
        <w:rPr>
          <w:b/>
        </w:rPr>
        <w:lastRenderedPageBreak/>
        <w:t>Experiment 2: Post-training muscimol inactivation</w:t>
      </w:r>
    </w:p>
    <w:p w14:paraId="7516EF58" w14:textId="1D1F759C" w:rsidR="008C0345" w:rsidRDefault="008C0345" w:rsidP="00F04D98">
      <w:pPr>
        <w:pStyle w:val="BodyText"/>
        <w:spacing w:line="480" w:lineRule="auto"/>
      </w:pPr>
      <w:r>
        <w:t>The enhanced Pavlovian responding observed following OFC lesions (</w:t>
      </w:r>
      <w:r w:rsidRPr="00887885">
        <w:rPr>
          <w:highlight w:val="yellow"/>
        </w:rPr>
        <w:t>Figure 1A</w:t>
      </w:r>
      <w:r>
        <w:t>) may be due to enhanced learning of a general cue-outcome predictive relationship in the OFC lesion group (</w:t>
      </w:r>
      <w:r w:rsidRPr="00506B43">
        <w:rPr>
          <w:highlight w:val="yellow"/>
        </w:rPr>
        <w:t>Figure 2-figure supplement 1</w:t>
      </w:r>
      <w:r>
        <w:t xml:space="preserve">). This is consistent with a role for the OFC in representing outcome expectancy information. For example, incremental learning about a cue-outcome relationship is thought to depend upon prediction errors </w:t>
      </w:r>
      <w:r>
        <w:fldChar w:fldCharType="begin" w:fldLock="1"/>
      </w:r>
      <w:r w:rsidR="00305542">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Psychology","id":"ITEM-3","issued":{"date-parts":[["2017","2","22"]]},"page":"244","publisher":"Frontiers","title":"The Dopamine Prediction Error: Contributions to Associative Models of Reward Learning","type":"article-journal","volume":"8"},"uris":["http://www.mendeley.com/documents/?uuid=fbb6448d-68d3-3897-bbc9-bdc9c99fbab4"]},{"id":"ITEM-4","itemData":{"author":[{"dropping-particle":"","family":"LePelley","given":"M E","non-dropping-particle":"","parse-names":false,"suffix":""}],"container-title":"Quarterly Journal of Experimental Psychology","id":"ITEM-4","issued":{"date-parts":[["2004"]]},"page":"192-243","title":"The role of associative history in models of associative learning: A selective review and a hybrid model","type":"article-journal","volume":"57B"},"uris":["http://www.mendeley.com/documents/?uuid=96e1516b-7733-4f10-90a9-99cfcc035e7e"]},{"id":"ITEM-5","itemData":{"DOI":"DOI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Sciences","id":"ITEM-5","issue":"1718","issued":{"date-parts":[["2011"]]},"language":"English","note":"797QK\nTimes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learning","type":"article-journal","volume":"278"},"uris":["http://www.mendeley.com/documents/?uuid=6146cb66-c2ab-493f-b4f4-f79579d5fc02"]},{"id":"ITEM-6","itemData":{"DOI":"10.1037/h0076778","author":[{"dropping-particle":"","family":"Mackintosh","given":"N J","non-dropping-particle":"","parse-names":false,"suffix":""}],"container-title":"Psychol Rev","id":"ITEM-6","issue":"4","issued":{"date-parts":[["1975"]]},"page":"279-298","title":"A theory of attention: Variations in the associability of stimuli with reinforcement","type":"article-journal","volume":"82"},"uris":["http://www.mendeley.com/documents/?uuid=ad2071d9-ff93-481e-8cbb-9d2eadc2806e"]},{"id":"ITEM-7","itemData":{"author":[{"dropping-particle":"","family":"Sutton","given":"R S","non-dropping-particle":"","parse-names":false,"suffix":""},{"dropping-particle":"","family":"Barto","given":"A G","non-dropping-particle":"","parse-names":false,"suffix":""}],"id":"ITEM-7","issued":{"date-parts":[["1998"]]},"publisher":"The MIT Press","publisher-place":"Cambridge, Massachusetts","title":"Reinforccement Learning: An introduction","type":"book"},"uris":["http://www.mendeley.com/documents/?uuid=1956114d-255e-443a-88aa-46006f3584cb"]}],"mendeley":{"formattedCitation":"(Esber &amp; Haselgrove, 2011; LePelley, 2004; Mackintosh, 1975; Nasser et al., 2017; Pearce &amp; Hall, 1980; Rescorla &amp; Wagner, 1972; Sutton &amp; Barto, 1998)","plainTextFormattedCitation":"(Esber &amp; Haselgrove, 2011; LePelley, 2004; Mackintosh, 1975; Nasser et al., 2017; Pearce &amp; Hall, 1980; Rescorla &amp; Wagner, 1972; Sutton &amp; Barto, 1998)","previouslyFormattedCitation":"(Esber &amp; Haselgrove, 2011; LePelley, 2004; Mackintosh, 1975; Nasser et al., 2017; Pearce &amp; Hall, 1980; Rescorla &amp; Wagner, 1972; Sutton &amp; Barto, 1998)"},"properties":{"noteIndex":0},"schema":"https://github.com/citation-style-language/schema/raw/master/csl-citation.json"}</w:instrText>
      </w:r>
      <w:r>
        <w:fldChar w:fldCharType="separate"/>
      </w:r>
      <w:r w:rsidRPr="006159CE">
        <w:rPr>
          <w:noProof/>
        </w:rPr>
        <w:t>(Esber &amp; Haselgrove, 2011; LePelley, 2004; Mackintosh, 1975; Nasser et al., 2017; Pearce &amp; Hall, 1980; Rescorla &amp; Wagner, 1972; Sutton &amp; Barto, 1998)</w:t>
      </w:r>
      <w:r>
        <w:fldChar w:fldCharType="end"/>
      </w:r>
      <w:r>
        <w:t xml:space="preserve">, i.e. the difference between the experience outcome value and the expected outcome value. The expected outcome value of a cue is incrementally updated until this prediction error discrepancy is </w:t>
      </w:r>
      <w:proofErr w:type="spellStart"/>
      <w:r>
        <w:t>minimised</w:t>
      </w:r>
      <w:proofErr w:type="spellEnd"/>
      <w:r>
        <w:t xml:space="preserve">. If the OFC carries some aspect of outcome expectancy information </w:t>
      </w:r>
      <w:r>
        <w:fldChar w:fldCharType="begin" w:fldLock="1"/>
      </w:r>
      <w:r w:rsidR="00234420">
        <w:instrText>ADDIN CSL_CITATION {"citationItems":[{"id":"ITEM-1","itemData":{"ISBN":"0270-6474","PMID":"10818166","abstract":"Goal-directed actions are guided by expected outcomes of those actions. Humans with bilateral damage to ventromedial prefrontal cortex, or the amygdala, are deficient in their ability to use information about positive and negative outcomes to guide their choice behavior. Similarly, rats and monkeys with orbital prefrontal or amygdala damage have been found to be impaired in their responses to changing values of outcomes. In the present study, we tested whether direct, functional interaction between the amygdala and the orbital prefrontal cortex is necessary for guiding behavior based on expected outcomes. Unlike control monkeys, rhesus monkeys with surgical disconnection of these two structures, achieved by crossed unilateral lesions of the amygdala in one hemisphere and orbital prefrontal cortex in the other, combined with forebrain commissurotomy, were unable to adjust their choice behavior after a change in the outcome (here, a reduction in the value of a particular reinforcer). The lesions did not affect motivation to work for a food reinforcer, or food preferences, per se. Hence, the amygdala and orbital prefrontal cortex act as part of an integrated neural system guiding decision-making and adaptive response selection.","author":[{"dropping-particle":"","family":"Baxter","given":"M G","non-dropping-particle":"","parse-names":false,"suffix":""},{"dropping-particle":"","family":"Parker","given":"A","non-dropping-particle":"","parse-names":false,"suffix":""},{"dropping-particle":"","family":"Lindner","given":"C C","non-dropping-particle":"","parse-names":false,"suffix":""},{"dropping-particle":"","family":"Izquierdo","given":"A D","non-dropping-particle":"","parse-names":false,"suffix":""},{"dropping-particle":"","family":"Murray","given":"Elisabeth A.","non-dropping-particle":"","parse-names":false,"suffix":""}],"container-title":"Journal of Neuroscience","edition":"2000/05/20","id":"ITEM-1","issue":"11","issued":{"date-parts":[["2000"]]},"language":"eng","note":"1529-2401\nBaxter, M G\nParker, A\nLindner, C C\nIzquierdo, A D\nMurray, E A\nJournal Article\nResearch Support, U.S. Gov't, P.H.S.\nUnited states\nJ Neurosci. 2000 Jun 1;20(11):4311-9.","page":"4311-4319","title":"Control of response selection by reinforcer value requires interaction of amygdala and orbital prefrontal cortex","type":"article-journal","volume":"20"},"uris":["http://www.mendeley.com/documents/?uuid=e624be6f-08fe-4981-8aec-2451bcf9d593"]},{"id":"ITEM-2","itemData":{"DOI":"23/35/11189 [pii]","ISBN":"1529-2401 (Electronic)\r0270-6474 (Linking)","PMID":"14657178","author":[{"dropping-particle":"","family":"Pears","given":"A","non-dropping-particle":"","parse-names":false,"suffix":""},{"dropping-particle":"","family":"Parkinson","given":"J A","non-dropping-particle":"","parse-names":false,"suffix":""},{"dropping-particle":"","family":"Hopewell","given":"L","non-dropping-particle":"","parse-names":false,"suffix":""},{"dropping-particle":"","family":"Everitt","given":"B J","non-dropping-particle":"","parse-names":false,"suffix":""},{"dropping-particle":"","family":"Roberts","given":"A C","non-dropping-particle":"","parse-names":false,"suffix":""}],"container-title":"Journal of Neuroscience","edition":"2003/12/06","id":"ITEM-2","issue":"35","issued":{"date-parts":[["2003"]]},"language":"eng","page":"11189-11201","title":"Lesions of the orbitofrontal but not medial prefrontal cortex disrupt conditioned reinforcement in primates","type":"article-journal","volume":"23"},"uris":["http://www.mendeley.com/documents/?uuid=e6d7569d-b7ce-4d1d-8844-2dbc8a6e75b3"]},{"id":"ITEM-3","itemData":{"DOI":"DOI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J","non-dropping-particle":"","parse-names":false,"suffix":""}],"container-title":"Neuron","id":"ITEM-3","issue":"2","issued":{"date-parts":[["2009"]]},"language":"English","page":"269-280","title":"The Orbitofrontal Cortex and Ventral Tegmental Area Are Necessary for Learning from Unexpected Outcomes","type":"article-journal","volume":"62"},"uris":["http://www.mendeley.com/documents/?uuid=630ecaa0-8f06-4897-802f-f08a30b8c04d"]},{"id":"ITEM-4","itemData":{"DOI":"10.1038/nn.2957","ISBN":"1546-1726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Neuroscience","id":"ITEM-4","issue":"12","issued":{"date-parts":[["2011","10","30"]]},"page":"1590-1597","title":"Expectancy-related changes in firing of dopamine neurons depend on orbitofrontal cortex","type":"article-journal","volume":"14"},"uris":["http://www.mendeley.com/documents/?uuid=ef0e30e7-0413-4094-a294-c1ebacc27b60"]},{"id":"ITEM-5","itemData":{"DOI":"Doi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Neuroscience","id":"ITEM-5","issue":"12","issued":{"date-parts":[["2009"]]},"language":"English","page":"885-892","title":"A new perspective on the role of the orbitofrontal cortex in adaptive behaviour","type":"article-journal","volume":"10"},"uris":["http://www.mendeley.com/documents/?uuid=9124fd3f-a73f-4663-9302-6f70d776e02c"]}],"mendeley":{"formattedCitation":"(Baxter et al., 2000; Pears et al., 2003; Schoenbaum et al., 2009; Takahashi et al., 2009, 2011)","plainTextFormattedCitation":"(Baxter et al., 2000; Pears et al., 2003; Schoenbaum et al., 2009; Takahashi et al., 2009, 2011)","previouslyFormattedCitation":"(Baxter et al., 2000; Pears et al., 2003; Schoenbaum et al., 2009; Takahashi et al., 2009, 2011)"},"properties":{"noteIndex":0},"schema":"https://github.com/citation-style-language/schema/raw/master/csl-citation.json"}</w:instrText>
      </w:r>
      <w:r>
        <w:fldChar w:fldCharType="separate"/>
      </w:r>
      <w:r w:rsidR="00305542" w:rsidRPr="00305542">
        <w:rPr>
          <w:noProof/>
        </w:rPr>
        <w:t>(Baxter et al., 2000; Pears et al., 2003; Schoenbaum et al., 2009; Takahashi et al., 2009, 2011)</w:t>
      </w:r>
      <w:r>
        <w:fldChar w:fldCharType="end"/>
      </w:r>
      <w:r>
        <w:t xml:space="preserve">, then OFC lesions might consistently reduce/underestimate the expected value of a cue which in turn would result in abnormally persistent prediction errors and enhanced learning. Therefore, disruption of OFC function should temporarily lower expected value, and enhance prediction errors and learning supported by other brain regions (for modelling of this prediction see </w:t>
      </w:r>
      <w:r w:rsidRPr="00506B43">
        <w:rPr>
          <w:highlight w:val="yellow"/>
        </w:rPr>
        <w:t>Figure 2-figure supplement 1</w:t>
      </w:r>
      <w:r>
        <w:t xml:space="preserve">). We tested this hypothesis by inactivating the OFC after first successfully acquiring cue-outcome learning i.e. when expected value is high and prediction errors are low. If the OFC carries some aspect of the learned expected value, then inactivation of the OFC should restore prediction errors at the time of </w:t>
      </w:r>
      <w:proofErr w:type="gramStart"/>
      <w:r>
        <w:t>reward, and</w:t>
      </w:r>
      <w:proofErr w:type="gramEnd"/>
      <w:r>
        <w:t xml:space="preserve"> responding should increase to reflect new learning. Following this, returning function to the OFC should result in an over-expectation of the value of the outcome, and performance should decrease to reflect the extinction of this over-expectation. </w:t>
      </w:r>
      <w:r>
        <w:lastRenderedPageBreak/>
        <w:t>Importantly, while this account is couched in terms prediction-error learning mechanisms, the prediction remains true for any account of OFC lesions enhancing learning (</w:t>
      </w:r>
      <w:r w:rsidRPr="00506B43">
        <w:rPr>
          <w:highlight w:val="yellow"/>
        </w:rPr>
        <w:t>Figure 2-figure supplement 1</w:t>
      </w:r>
      <w:r>
        <w:t>).</w:t>
      </w:r>
    </w:p>
    <w:p w14:paraId="1116F4F4" w14:textId="4A242BC3" w:rsidR="00FE4BF9" w:rsidRDefault="00FE4BF9" w:rsidP="00FE4BF9">
      <w:pPr>
        <w:spacing w:line="240" w:lineRule="auto"/>
        <w:rPr>
          <w:rFonts w:cstheme="minorHAnsi"/>
          <w:color w:val="212121"/>
          <w:sz w:val="24"/>
          <w:szCs w:val="24"/>
          <w:shd w:val="clear" w:color="auto" w:fill="FFFFFF"/>
        </w:rPr>
      </w:pPr>
      <w:r>
        <w:rPr>
          <w:rFonts w:cstheme="minorHAnsi"/>
          <w:noProof/>
          <w:color w:val="212121"/>
          <w:sz w:val="24"/>
          <w:szCs w:val="24"/>
          <w:shd w:val="clear" w:color="auto" w:fill="FFFFFF"/>
        </w:rPr>
        <w:drawing>
          <wp:inline distT="0" distB="0" distL="0" distR="0" wp14:anchorId="5BD83931" wp14:editId="6CB3D5F6">
            <wp:extent cx="3416300" cy="2338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2338070"/>
                    </a:xfrm>
                    <a:prstGeom prst="rect">
                      <a:avLst/>
                    </a:prstGeom>
                    <a:noFill/>
                    <a:ln>
                      <a:noFill/>
                    </a:ln>
                  </pic:spPr>
                </pic:pic>
              </a:graphicData>
            </a:graphic>
          </wp:inline>
        </w:drawing>
      </w:r>
    </w:p>
    <w:p w14:paraId="38BFFA8D" w14:textId="2D8762B3" w:rsidR="00FE4BF9" w:rsidRDefault="00FE4BF9" w:rsidP="00FE4BF9">
      <w:pPr>
        <w:spacing w:line="480" w:lineRule="auto"/>
        <w:rPr>
          <w:rFonts w:cstheme="minorHAnsi"/>
          <w:color w:val="212121"/>
          <w:sz w:val="24"/>
          <w:szCs w:val="24"/>
          <w:shd w:val="clear" w:color="auto" w:fill="FFFFFF"/>
        </w:rPr>
      </w:pPr>
      <w:r>
        <w:rPr>
          <w:rFonts w:cstheme="minorHAnsi"/>
          <w:b/>
          <w:color w:val="212121"/>
          <w:sz w:val="24"/>
          <w:szCs w:val="24"/>
          <w:shd w:val="clear" w:color="auto" w:fill="FFFFFF"/>
        </w:rPr>
        <w:t>Figure 2.</w:t>
      </w:r>
      <w:r>
        <w:rPr>
          <w:rFonts w:cstheme="minorHAnsi"/>
          <w:color w:val="212121"/>
          <w:sz w:val="24"/>
          <w:szCs w:val="24"/>
          <w:shd w:val="clear" w:color="auto" w:fill="FFFFFF"/>
        </w:rPr>
        <w:t xml:space="preserve"> Post-training OFC inactivation suppresses Pavlovian acquisition behaviour, in contrast to pre-training lesions which increased Pavlovian acquisition behaviour. If pre-training lesions increase Pavlovian learning, then post-training lesions or inactivation should also increase learning (rationale and learning model predictions in </w:t>
      </w:r>
      <w:r>
        <w:rPr>
          <w:rFonts w:cstheme="minorHAnsi"/>
          <w:color w:val="212121"/>
          <w:sz w:val="24"/>
          <w:szCs w:val="24"/>
          <w:u w:val="single"/>
          <w:shd w:val="clear" w:color="auto" w:fill="FFFFFF"/>
        </w:rPr>
        <w:t>Figure 2-figure supplement 1</w:t>
      </w:r>
      <w:r>
        <w:rPr>
          <w:rFonts w:cstheme="minorHAnsi"/>
          <w:color w:val="212121"/>
          <w:sz w:val="24"/>
          <w:szCs w:val="24"/>
          <w:shd w:val="clear" w:color="auto" w:fill="FFFFFF"/>
        </w:rPr>
        <w:t xml:space="preserve">). Experiment 2: Rates of discriminative responding (CS-PreCS) during initial acquisition (sessions 1-9), post-operative recovery (post), following intra-OFC infusion of muscimol or saline (sessions 12-15), and without infusion (sessions 16-17). Cannulae placements depicted in </w:t>
      </w:r>
      <w:r>
        <w:rPr>
          <w:rFonts w:cstheme="minorHAnsi"/>
          <w:color w:val="212121"/>
          <w:sz w:val="24"/>
          <w:szCs w:val="24"/>
          <w:u w:val="single"/>
          <w:shd w:val="clear" w:color="auto" w:fill="FFFFFF"/>
        </w:rPr>
        <w:t>Figure 2-figure supplement 2</w:t>
      </w:r>
      <w:r>
        <w:rPr>
          <w:rFonts w:cstheme="minorHAnsi"/>
          <w:color w:val="212121"/>
          <w:sz w:val="24"/>
          <w:szCs w:val="24"/>
          <w:shd w:val="clear" w:color="auto" w:fill="FFFFFF"/>
        </w:rPr>
        <w:t>. The effect of post-training lesions on acquisition revealed the same pattern of results (</w:t>
      </w:r>
      <w:r>
        <w:rPr>
          <w:rFonts w:cstheme="minorHAnsi"/>
          <w:color w:val="212121"/>
          <w:sz w:val="24"/>
          <w:szCs w:val="24"/>
          <w:u w:val="single"/>
          <w:shd w:val="clear" w:color="auto" w:fill="FFFFFF"/>
        </w:rPr>
        <w:t>Figure 2-figure supplement 3, Figure 2-figure supplement 4</w:t>
      </w:r>
      <w:r>
        <w:rPr>
          <w:rFonts w:cstheme="minorHAnsi"/>
          <w:color w:val="212121"/>
          <w:sz w:val="24"/>
          <w:szCs w:val="24"/>
          <w:shd w:val="clear" w:color="auto" w:fill="FFFFFF"/>
        </w:rPr>
        <w:t>). Error bars depict ± SEM.</w:t>
      </w:r>
    </w:p>
    <w:p w14:paraId="3DE23063" w14:textId="77777777" w:rsidR="00FE4BF9" w:rsidRDefault="00FE4BF9">
      <w:pPr>
        <w:rPr>
          <w:rFonts w:cstheme="minorHAnsi"/>
          <w:color w:val="212121"/>
          <w:sz w:val="24"/>
          <w:szCs w:val="24"/>
          <w:shd w:val="clear" w:color="auto" w:fill="FFFFFF"/>
        </w:rPr>
      </w:pPr>
      <w:r>
        <w:rPr>
          <w:rFonts w:cstheme="minorHAnsi"/>
          <w:color w:val="212121"/>
          <w:sz w:val="24"/>
          <w:szCs w:val="24"/>
          <w:shd w:val="clear" w:color="auto" w:fill="FFFFFF"/>
        </w:rPr>
        <w:br w:type="page"/>
      </w:r>
    </w:p>
    <w:p w14:paraId="70D17FF4" w14:textId="5D5AC80C" w:rsidR="004003BA" w:rsidRDefault="004003BA" w:rsidP="00F04D98">
      <w:pPr>
        <w:pStyle w:val="BodyText"/>
        <w:spacing w:line="480" w:lineRule="auto"/>
      </w:pPr>
      <w:r>
        <w:lastRenderedPageBreak/>
        <w:t>We tested this hypothesis by first training a new group of animals on the same simple Pavlovian task for 9 days, before implantation of bilateral cannulae targeting the OFC (</w:t>
      </w:r>
      <w:r w:rsidRPr="001F2701">
        <w:rPr>
          <w:highlight w:val="yellow"/>
        </w:rPr>
        <w:t>Figure 2, Days 1-9</w:t>
      </w:r>
      <w:r>
        <w:t xml:space="preserve">; significant main effect of Day </w:t>
      </w:r>
      <m:oMath>
        <m:r>
          <w:rPr>
            <w:rFonts w:ascii="Cambria Math" w:hAnsi="Cambria Math"/>
          </w:rPr>
          <m:t>F(8,176)=25.42</m:t>
        </m:r>
      </m:oMath>
      <w:r>
        <w:t xml:space="preserve">, </w:t>
      </w:r>
      <m:oMath>
        <m:r>
          <w:rPr>
            <w:rFonts w:ascii="Cambria Math" w:hAnsi="Cambria Math"/>
          </w:rPr>
          <m:t>p&lt;.001</m:t>
        </m:r>
      </m:oMath>
      <w:r>
        <w:t xml:space="preserve">, but no main effect of Group </w:t>
      </w:r>
      <m:oMath>
        <m:r>
          <w:rPr>
            <w:rFonts w:ascii="Cambria Math" w:hAnsi="Cambria Math"/>
          </w:rPr>
          <m:t>F(1,22)=1.08</m:t>
        </m:r>
      </m:oMath>
      <w:r>
        <w:t xml:space="preserve">, </w:t>
      </w:r>
      <m:oMath>
        <m:r>
          <w:rPr>
            <w:rFonts w:ascii="Cambria Math" w:hAnsi="Cambria Math"/>
          </w:rPr>
          <m:t>p=.310</m:t>
        </m:r>
      </m:oMath>
      <w:r>
        <w:t xml:space="preserve">, or Group x Day interaction </w:t>
      </w:r>
      <m:oMath>
        <m:r>
          <w:rPr>
            <w:rFonts w:ascii="Cambria Math" w:hAnsi="Cambria Math"/>
          </w:rPr>
          <m:t>F(8,176)=0.54</m:t>
        </m:r>
      </m:oMath>
      <w:r>
        <w:t xml:space="preserve">, </w:t>
      </w:r>
      <m:oMath>
        <m:r>
          <w:rPr>
            <w:rFonts w:ascii="Cambria Math" w:hAnsi="Cambria Math"/>
          </w:rPr>
          <m:t>p=.825</m:t>
        </m:r>
      </m:oMath>
      <w:r>
        <w:t xml:space="preserve">). Following post-operative recovery (histology depicted in </w:t>
      </w:r>
      <w:r w:rsidRPr="001F2701">
        <w:rPr>
          <w:iCs/>
          <w:highlight w:val="yellow"/>
        </w:rPr>
        <w:t>Figure 2-figure supplement 2</w:t>
      </w:r>
      <w:r>
        <w:t>), and prior to infusion, response levels were similar in both groups (</w:t>
      </w:r>
      <w:r w:rsidRPr="00375DDA">
        <w:rPr>
          <w:highlight w:val="yellow"/>
        </w:rPr>
        <w:t>Figure 2, Post;</w:t>
      </w:r>
      <w:r>
        <w:t xml:space="preserve"> no significant differences between Groups </w:t>
      </w:r>
      <m:oMath>
        <m:r>
          <w:rPr>
            <w:rFonts w:ascii="Cambria Math" w:hAnsi="Cambria Math"/>
          </w:rPr>
          <m:t>t(22)=-0.68</m:t>
        </m:r>
      </m:oMath>
      <w:r>
        <w:t xml:space="preserve">, </w:t>
      </w:r>
      <m:oMath>
        <m:r>
          <w:rPr>
            <w:rFonts w:ascii="Cambria Math" w:hAnsi="Cambria Math"/>
          </w:rPr>
          <m:t>p=.501</m:t>
        </m:r>
      </m:oMath>
      <w:r>
        <w:t>).</w:t>
      </w:r>
    </w:p>
    <w:p w14:paraId="3026A682" w14:textId="7EB96041" w:rsidR="004003BA" w:rsidRDefault="004003BA" w:rsidP="00F04D98">
      <w:pPr>
        <w:pStyle w:val="BodyText"/>
        <w:spacing w:line="480" w:lineRule="auto"/>
      </w:pPr>
      <w:r>
        <w:t>Contrary to our prediction, intra-OFC muscimol infusions disrupted rather than enhanced further acquisition of responding relative to the saline group (</w:t>
      </w:r>
      <w:r w:rsidRPr="001F2701">
        <w:rPr>
          <w:highlight w:val="yellow"/>
        </w:rPr>
        <w:t>Figure 2, Infusion - Days 12-15</w:t>
      </w:r>
      <w:r>
        <w:t xml:space="preserve">; Significant Group x Day interaction </w:t>
      </w:r>
      <m:oMath>
        <m:r>
          <w:rPr>
            <w:rFonts w:ascii="Cambria Math" w:hAnsi="Cambria Math"/>
          </w:rPr>
          <m:t>F(3,66)=5.03</m:t>
        </m:r>
      </m:oMath>
      <w:r>
        <w:t xml:space="preserve">, </w:t>
      </w:r>
      <m:oMath>
        <m:r>
          <w:rPr>
            <w:rFonts w:ascii="Cambria Math" w:hAnsi="Cambria Math"/>
          </w:rPr>
          <m:t>p=.003</m:t>
        </m:r>
      </m:oMath>
      <w:r>
        <w:t xml:space="preserve">, but no main effect of Group </w:t>
      </w:r>
      <m:oMath>
        <m:r>
          <w:rPr>
            <w:rFonts w:ascii="Cambria Math" w:hAnsi="Cambria Math"/>
          </w:rPr>
          <m:t>F(1,22)=1.90</m:t>
        </m:r>
      </m:oMath>
      <w:r>
        <w:t xml:space="preserve">, </w:t>
      </w:r>
      <m:oMath>
        <m:r>
          <w:rPr>
            <w:rFonts w:ascii="Cambria Math" w:hAnsi="Cambria Math"/>
          </w:rPr>
          <m:t>p=.182</m:t>
        </m:r>
      </m:oMath>
      <w:r>
        <w:t xml:space="preserve">, or Day </w:t>
      </w:r>
      <m:oMath>
        <m:r>
          <w:rPr>
            <w:rFonts w:ascii="Cambria Math" w:hAnsi="Cambria Math"/>
          </w:rPr>
          <m:t>F(3,66)=0.32</m:t>
        </m:r>
      </m:oMath>
      <w:r>
        <w:t xml:space="preserve">, </w:t>
      </w:r>
      <m:oMath>
        <m:r>
          <w:rPr>
            <w:rFonts w:ascii="Cambria Math" w:hAnsi="Cambria Math"/>
          </w:rPr>
          <m:t>p=.809</m:t>
        </m:r>
      </m:oMath>
      <w:r>
        <w:t xml:space="preserve">). Simple effects revealed significantly greater responding in the saline group on the last 2 days of infusions (Muscimol vs Saline: Day 12 </w:t>
      </w:r>
      <m:oMath>
        <m:r>
          <w:rPr>
            <w:rFonts w:ascii="Cambria Math" w:hAnsi="Cambria Math"/>
          </w:rPr>
          <m:t>t(22)=0.67</m:t>
        </m:r>
      </m:oMath>
      <w:r>
        <w:t xml:space="preserve">, </w:t>
      </w:r>
      <m:oMath>
        <m:r>
          <w:rPr>
            <w:rFonts w:ascii="Cambria Math" w:hAnsi="Cambria Math"/>
          </w:rPr>
          <m:t>p=.508</m:t>
        </m:r>
      </m:oMath>
      <w:r>
        <w:t xml:space="preserve">, Day 13 </w:t>
      </w:r>
      <m:oMath>
        <m:r>
          <w:rPr>
            <w:rFonts w:ascii="Cambria Math" w:hAnsi="Cambria Math"/>
          </w:rPr>
          <m:t>t(22)=-1.03</m:t>
        </m:r>
      </m:oMath>
      <w:r>
        <w:t xml:space="preserve">, </w:t>
      </w:r>
      <m:oMath>
        <m:r>
          <w:rPr>
            <w:rFonts w:ascii="Cambria Math" w:hAnsi="Cambria Math"/>
          </w:rPr>
          <m:t>p=.315</m:t>
        </m:r>
      </m:oMath>
      <w:r>
        <w:t xml:space="preserve">, Day 14 </w:t>
      </w:r>
      <m:oMath>
        <m:r>
          <w:rPr>
            <w:rFonts w:ascii="Cambria Math" w:hAnsi="Cambria Math"/>
          </w:rPr>
          <m:t>t(22)=-2.79</m:t>
        </m:r>
      </m:oMath>
      <w:r>
        <w:t xml:space="preserve">, </w:t>
      </w:r>
      <m:oMath>
        <m:r>
          <w:rPr>
            <w:rFonts w:ascii="Cambria Math" w:hAnsi="Cambria Math"/>
          </w:rPr>
          <m:t>p=.011</m:t>
        </m:r>
      </m:oMath>
      <w:r>
        <w:t xml:space="preserve">, Day 15 </w:t>
      </w:r>
      <m:oMath>
        <m:r>
          <w:rPr>
            <w:rFonts w:ascii="Cambria Math" w:hAnsi="Cambria Math"/>
          </w:rPr>
          <m:t>t(22)=-2.08</m:t>
        </m:r>
      </m:oMath>
      <w:r>
        <w:t xml:space="preserve">, </w:t>
      </w:r>
      <m:oMath>
        <m:r>
          <w:rPr>
            <w:rFonts w:ascii="Cambria Math" w:hAnsi="Cambria Math"/>
          </w:rPr>
          <m:t>p=.049</m:t>
        </m:r>
      </m:oMath>
      <w:r>
        <w:t xml:space="preserve">). Furthermore, the saline group increased responding across infusion days 12-15 (Saline: significant positive linear trend </w:t>
      </w:r>
      <m:oMath>
        <m:r>
          <w:rPr>
            <w:rFonts w:ascii="Cambria Math" w:hAnsi="Cambria Math"/>
          </w:rPr>
          <m:t>t(22)=2.79</m:t>
        </m:r>
      </m:oMath>
      <w:r>
        <w:t xml:space="preserve">, </w:t>
      </w:r>
      <m:oMath>
        <m:r>
          <w:rPr>
            <w:rFonts w:ascii="Cambria Math" w:hAnsi="Cambria Math"/>
          </w:rPr>
          <m:t>p=.011</m:t>
        </m:r>
      </m:oMath>
      <w:r>
        <w:t xml:space="preserve">), whereas the muscimol group did not (Muscimol: no significant linear trend </w:t>
      </w:r>
      <m:oMath>
        <m:r>
          <w:rPr>
            <w:rFonts w:ascii="Cambria Math" w:hAnsi="Cambria Math"/>
          </w:rPr>
          <m:t>t(22)=-1.57</m:t>
        </m:r>
      </m:oMath>
      <w:r>
        <w:t xml:space="preserve">, </w:t>
      </w:r>
      <m:oMath>
        <m:r>
          <w:rPr>
            <w:rFonts w:ascii="Cambria Math" w:hAnsi="Cambria Math"/>
          </w:rPr>
          <m:t>p=.131</m:t>
        </m:r>
      </m:oMath>
      <w:r>
        <w:t>). Therefore, post-training inactivation of the OFC impaired acquisition.</w:t>
      </w:r>
    </w:p>
    <w:p w14:paraId="50E62631" w14:textId="28AE8D09" w:rsidR="008E35AE" w:rsidRDefault="004003BA" w:rsidP="00F04D98">
      <w:pPr>
        <w:pStyle w:val="BodyText"/>
        <w:spacing w:line="480" w:lineRule="auto"/>
      </w:pPr>
      <w:r>
        <w:t>Post-infusion, with function returned to the OFC, the group differences observed under drug infusion were no longer apparent, and both groups continued to acquire responding at similar levels (</w:t>
      </w:r>
      <w:r w:rsidRPr="009A0B5F">
        <w:rPr>
          <w:highlight w:val="yellow"/>
        </w:rPr>
        <w:t>Figure 2, Days 16-17;</w:t>
      </w:r>
      <w:r>
        <w:t xml:space="preserve"> significant main effect of Day </w:t>
      </w:r>
      <m:oMath>
        <m:r>
          <w:rPr>
            <w:rFonts w:ascii="Cambria Math" w:hAnsi="Cambria Math"/>
          </w:rPr>
          <m:t>F(1,22)=16.05</m:t>
        </m:r>
      </m:oMath>
      <w:r>
        <w:t xml:space="preserve">, </w:t>
      </w:r>
      <m:oMath>
        <m:r>
          <w:rPr>
            <w:rFonts w:ascii="Cambria Math" w:hAnsi="Cambria Math"/>
          </w:rPr>
          <m:t>p=.001</m:t>
        </m:r>
      </m:oMath>
      <w:r>
        <w:t xml:space="preserve">, but no main effect of Group </w:t>
      </w:r>
      <m:oMath>
        <m:r>
          <w:rPr>
            <w:rFonts w:ascii="Cambria Math" w:hAnsi="Cambria Math"/>
          </w:rPr>
          <m:t>F(1,22)=0.11</m:t>
        </m:r>
      </m:oMath>
      <w:r>
        <w:t xml:space="preserve">, </w:t>
      </w:r>
      <m:oMath>
        <m:r>
          <w:rPr>
            <w:rFonts w:ascii="Cambria Math" w:hAnsi="Cambria Math"/>
          </w:rPr>
          <m:t>p=.740</m:t>
        </m:r>
      </m:oMath>
      <w:r>
        <w:t xml:space="preserve">, or Group x Day interaction </w:t>
      </w:r>
      <m:oMath>
        <m:r>
          <w:rPr>
            <w:rFonts w:ascii="Cambria Math" w:hAnsi="Cambria Math"/>
          </w:rPr>
          <m:t>F(1,22)=0.21</m:t>
        </m:r>
      </m:oMath>
      <w:r>
        <w:t xml:space="preserve">, </w:t>
      </w:r>
      <m:oMath>
        <m:r>
          <w:rPr>
            <w:rFonts w:ascii="Cambria Math" w:hAnsi="Cambria Math"/>
          </w:rPr>
          <w:lastRenderedPageBreak/>
          <m:t>p=.649</m:t>
        </m:r>
      </m:oMath>
      <w:r>
        <w:t xml:space="preserve">). Therefore, the effect of OFC inactivation did not persist, which suggests that the disruption in acquisition following OFC inactivation might not have impaired learning </w:t>
      </w:r>
      <w:r>
        <w:rPr>
          <w:i/>
        </w:rPr>
        <w:t>per se</w:t>
      </w:r>
      <w:r>
        <w:t>.</w:t>
      </w:r>
      <w:r w:rsidR="003A0122">
        <w:t xml:space="preserve"> </w:t>
      </w:r>
    </w:p>
    <w:p w14:paraId="34FABE24" w14:textId="3B992EE4" w:rsidR="00A21F34" w:rsidRDefault="00054192" w:rsidP="00F04D98">
      <w:pPr>
        <w:pStyle w:val="BodyText"/>
        <w:spacing w:line="480" w:lineRule="auto"/>
      </w:pPr>
      <w:r>
        <w:t>Furthermore,</w:t>
      </w:r>
      <w:r w:rsidR="00E64E7F" w:rsidRPr="00E64E7F">
        <w:t xml:space="preserve"> </w:t>
      </w:r>
      <w:r w:rsidR="000138A9">
        <w:t xml:space="preserve"> we tested post-training lesions to rule out the possibility that the differences between pre- and post-training OFC manipulations were simply due to differences in the method of manipulation i.e. excitotoxic lesions vs inactivation using a GABA-A agonist.</w:t>
      </w:r>
      <w:r w:rsidR="006B6A85">
        <w:t xml:space="preserve"> Consistent with muscimol inactivation, p</w:t>
      </w:r>
      <w:r w:rsidR="00945730">
        <w:t xml:space="preserve">ost-training </w:t>
      </w:r>
      <w:r w:rsidR="003638D9">
        <w:t xml:space="preserve">lesions significantly impaired Pavlovian acquisition </w:t>
      </w:r>
      <w:r w:rsidR="00F44375">
        <w:t>(</w:t>
      </w:r>
      <w:r w:rsidR="00547881">
        <w:t xml:space="preserve">Supplementary Experiment 1: </w:t>
      </w:r>
      <w:r w:rsidR="0092451D" w:rsidRPr="001F2701">
        <w:rPr>
          <w:iCs/>
          <w:highlight w:val="yellow"/>
        </w:rPr>
        <w:t xml:space="preserve">Figure 2-figure supplement </w:t>
      </w:r>
      <w:r w:rsidR="0092451D">
        <w:rPr>
          <w:iCs/>
        </w:rPr>
        <w:t xml:space="preserve">3, </w:t>
      </w:r>
      <w:r w:rsidR="0092451D" w:rsidRPr="001F2701">
        <w:rPr>
          <w:iCs/>
          <w:highlight w:val="yellow"/>
        </w:rPr>
        <w:t xml:space="preserve">Figure 2-figure supplement </w:t>
      </w:r>
      <w:r w:rsidR="0092451D">
        <w:rPr>
          <w:iCs/>
        </w:rPr>
        <w:t>4</w:t>
      </w:r>
      <w:r w:rsidR="00F44375">
        <w:t>).</w:t>
      </w:r>
      <w:r w:rsidR="00747447">
        <w:t xml:space="preserve"> Th</w:t>
      </w:r>
      <w:r w:rsidR="00097F82">
        <w:t>erefore</w:t>
      </w:r>
      <w:r w:rsidR="006B6A85">
        <w:t>,</w:t>
      </w:r>
      <w:r w:rsidR="00097F82">
        <w:t xml:space="preserve"> it is unlikely that the difference between pre- and post-training OFC manipulations observed in Experiment 1 </w:t>
      </w:r>
      <w:r w:rsidR="00FA3108">
        <w:t>and 2 are due to the method of manipulation.</w:t>
      </w:r>
    </w:p>
    <w:p w14:paraId="4F074F79" w14:textId="1A8F28C4" w:rsidR="00FA33F7" w:rsidRDefault="00FA33F7" w:rsidP="00F04D98">
      <w:pPr>
        <w:pStyle w:val="BodyText"/>
        <w:spacing w:line="480" w:lineRule="auto"/>
      </w:pPr>
      <w:r>
        <w:rPr>
          <w:b/>
        </w:rPr>
        <w:t xml:space="preserve">Experiment </w:t>
      </w:r>
      <w:r w:rsidR="00B27092">
        <w:rPr>
          <w:b/>
        </w:rPr>
        <w:t>3</w:t>
      </w:r>
      <w:r>
        <w:rPr>
          <w:b/>
        </w:rPr>
        <w:t>: OFC inactivation prior to associative blocking</w:t>
      </w:r>
    </w:p>
    <w:p w14:paraId="6680AAE6" w14:textId="0C7F4391" w:rsidR="00FA33F7" w:rsidRDefault="00FA33F7" w:rsidP="00F04D98">
      <w:pPr>
        <w:pStyle w:val="BodyText"/>
        <w:spacing w:line="480" w:lineRule="auto"/>
      </w:pPr>
      <w:r>
        <w:t>OFC inactivation during acquisition suppressed cue responding, but it is unclear if this reduction in behaviour is due to suppression of additional learning or behavioural performance (</w:t>
      </w:r>
      <w:r w:rsidRPr="00333D7D">
        <w:rPr>
          <w:highlight w:val="yellow"/>
        </w:rPr>
        <w:t>Figure 2</w:t>
      </w:r>
      <w:r>
        <w:t xml:space="preserve">). This ambiguity is predominantly driven by the assumption that an animal’s response levels represent some monotonic function of acquired learning </w:t>
      </w:r>
      <w:r>
        <w:fldChar w:fldCharType="begin" w:fldLock="1"/>
      </w:r>
      <w:r w:rsidR="008650FB">
        <w:instrText>ADDIN CSL_CITATION {"citationItems":[{"id":"ITEM-1","itemData":{"author":[{"dropping-particle":"","family":"Wagner","given":"Allan R.","non-dropping-particle":"","parse-names":false,"suffix":""}],"container-title":"Information processing in animals: Memory mechanisms","editor":[{"dropping-particle":"","family":"Spear","given":"N E","non-dropping-particle":"","parse-names":false,"suffix":""}],"id":"ITEM-1","issued":{"date-parts":[["1981"]]},"page":"5-47","publisher":"Erlbaum","publisher-place":"Hillsdale, NJ","title":"SOP: A model of automatic memory processing in animal behavior","type":"chapter"},"uris":["http://www.mendeley.com/documents/?uuid=3b93c8db-647e-4c44-9a69-f058eda6b653"]},{"id":"ITEM-2","itemData":{"author":[{"dropping-particle":"","family":"Sutton","given":"R S","non-dropping-particle":"","parse-names":false,"suffix":""},{"dropping-particle":"","family":"Barto","given":"A G","non-dropping-particle":"","parse-names":false,"suffix":""}],"id":"ITEM-2","issued":{"date-parts":[["1998"]]},"publisher":"The MIT Press","publisher-place":"Cambridge, Massachusetts","title":"Reinforccement Learning: An introduction","type":"book"},"uris":["http://www.mendeley.com/documents/?uuid=1956114d-255e-443a-88aa-46006f3584cb"]},{"id":"ITEM-3","itemData":{"DOI":"10.1037/h0076778","author":[{"dropping-particle":"","family":"Mackintosh","given":"N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reinforcement","type":"article-journal","volume":"82"},"uris":["http://www.mendeley.com/documents/?uuid=ad2071d9-ff93-481e-8cbb-9d2eadc2806e"]},{"id":"ITEM-4","itemData":{"ISBN":"0033-295X (Print)\r0033-295X (Linking)","PMID":"7443916","author":[{"dropping-particle":"","family":"Pearce","given":"J M","non-dropping-particle":"","parse-names":false,"suffix":""},{"dropping-particle":"","family":"Hall","given":"G","non-dropping-particle":"","parse-names":false,"suffix":""}],"container-title":"Psychol Rev","id":"ITEM-4","issue":"6","issued":{"date-parts":[["1980"]]},"page":"532-552","title":"A model for Pavlovian learning: variations in the effectiveness of conditioned but not of unconditioned stimuli","type":"article-journal","volume":"87"},"uris":["http://www.mendeley.com/documents/?uuid=630e1394-4cb5-41e3-b44d-48cd97c253e9"]},{"id":"ITEM-5","itemData":{"author":[{"dropping-particle":"","family":"Rescorla","given":"R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F","non-dropping-particle":"","parse-names":false,"suffix":""}],"id":"ITEM-5","issued":{"date-parts":[["1972"]]},"page":"64-99","publisher":"Appleton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nonreinforcement","type":"chapter"},"uris":["http://www.mendeley.com/documents/?uuid=419a1eed-79da-44ec-839f-e7e763d110a2"]}],"mendeley":{"formattedCitation":"(Mackintosh, 1975; Pearce &amp; Hall, 1980; Rescorla &amp; Wagner, 1972; Sutton &amp; Barto, 1998; Wagner, 1981)","plainTextFormattedCitation":"(Mackintosh, 1975; Pearce &amp; Hall, 1980; Rescorla &amp; Wagner, 1972; Sutton &amp; Barto, 1998; Wagner, 1981)","previouslyFormattedCitation":"(Mackintosh, 1975; Pearce &amp; Hall, 1980; Rescorla &amp; Wagner, 1972; Sutton &amp; Barto, 1998; Wagner, 1981)"},"properties":{"noteIndex":0},"schema":"https://github.com/citation-style-language/schema/raw/master/csl-citation.json"}</w:instrText>
      </w:r>
      <w:r>
        <w:fldChar w:fldCharType="separate"/>
      </w:r>
      <w:r w:rsidRPr="006159CE">
        <w:rPr>
          <w:noProof/>
        </w:rPr>
        <w:t>(Mackintosh, 1975; Pearce &amp; Hall, 1980; Rescorla &amp; Wagner, 1972; Sutton &amp; Barto, 1998; Wagner, 1981)</w:t>
      </w:r>
      <w:r>
        <w:fldChar w:fldCharType="end"/>
      </w:r>
      <w:r>
        <w:t>. To disambiguate learning from performance effects we employed an associative blocking design (</w:t>
      </w:r>
      <w:r w:rsidRPr="00333D7D">
        <w:rPr>
          <w:highlight w:val="yellow"/>
        </w:rPr>
        <w:t>Figure 3A</w:t>
      </w:r>
      <w:r>
        <w:t xml:space="preserve">). In a blocking experiment,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fldChar w:fldCharType="begin" w:fldLock="1"/>
      </w:r>
      <w: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conditioning","type":"chapter"},"uris":["http://www.mendeley.com/documents/?uuid=c9cf7252-10de-4917-88b0-fde5dd962f72"]}],"mendeley":{"formattedCitation":"(Kamin, 1969)","plainTextFormattedCitation":"(Kamin, 1969)","previouslyFormattedCitation":"(Kamin, 1969)"},"properties":{"noteIndex":0},"schema":"https://github.com/citation-style-language/schema/raw/master/csl-citation.json"}</w:instrText>
      </w:r>
      <w:r>
        <w:fldChar w:fldCharType="separate"/>
      </w:r>
      <w:r w:rsidRPr="008032D9">
        <w:rPr>
          <w:noProof/>
        </w:rPr>
        <w:t>(Kamin, 1969)</w:t>
      </w:r>
      <w:r>
        <w:fldChar w:fldCharType="end"/>
      </w:r>
      <w:r>
        <w:t xml:space="preserve">. However, if learning about cue A is insufficient, then </w:t>
      </w:r>
      <w:r>
        <w:lastRenderedPageBreak/>
        <w:t>learning about cue B should not be blocked. We predicted that if OFC inactivation is disrupting learning, then OFC inactivation during initial learning about cue A should disrupt the blocking effect.</w:t>
      </w:r>
    </w:p>
    <w:p w14:paraId="330D2688" w14:textId="464064FD" w:rsidR="00500651" w:rsidRDefault="000546A3" w:rsidP="00F04D98">
      <w:pPr>
        <w:pStyle w:val="BodyText"/>
        <w:spacing w:line="480" w:lineRule="auto"/>
      </w:pPr>
      <w:r>
        <w:t>First</w:t>
      </w:r>
      <w:r w:rsidR="00F31ECA">
        <w:t>,</w:t>
      </w:r>
      <w:r>
        <w:t xml:space="preserve"> we demonstrated </w:t>
      </w:r>
      <w:r w:rsidR="00AF495E">
        <w:t>again that OFC inactivation significantly impairs acquisition</w:t>
      </w:r>
      <w:r w:rsidR="00F31ECA">
        <w:t xml:space="preserve"> in a new cohort of animals</w:t>
      </w:r>
      <w:r w:rsidR="00AF495E">
        <w:t xml:space="preserve"> using </w:t>
      </w:r>
      <w:r w:rsidR="0018779C">
        <w:t xml:space="preserve">similar parameters to those required for the associative blocking design (inactivation </w:t>
      </w:r>
      <w:r w:rsidR="00454E31">
        <w:t>from days 5-10 of acquisition with a 10s visual CS;</w:t>
      </w:r>
      <w:r w:rsidR="00AC2B1B">
        <w:t xml:space="preserve"> Supplementary Experiment 2:</w:t>
      </w:r>
      <w:r w:rsidR="00454E31">
        <w:t xml:space="preserve"> </w:t>
      </w:r>
      <w:r w:rsidR="00500651" w:rsidRPr="001F2701">
        <w:rPr>
          <w:iCs/>
          <w:highlight w:val="yellow"/>
        </w:rPr>
        <w:t xml:space="preserve">Figure </w:t>
      </w:r>
      <w:r w:rsidR="00500651">
        <w:rPr>
          <w:iCs/>
          <w:highlight w:val="yellow"/>
        </w:rPr>
        <w:t>3</w:t>
      </w:r>
      <w:r w:rsidR="00500651" w:rsidRPr="001F2701">
        <w:rPr>
          <w:iCs/>
          <w:highlight w:val="yellow"/>
        </w:rPr>
        <w:t xml:space="preserve">-figure supplement </w:t>
      </w:r>
      <w:r w:rsidR="00500651">
        <w:rPr>
          <w:iCs/>
        </w:rPr>
        <w:t xml:space="preserve">1, </w:t>
      </w:r>
      <w:r w:rsidR="00500651" w:rsidRPr="001F2701">
        <w:rPr>
          <w:iCs/>
          <w:highlight w:val="yellow"/>
        </w:rPr>
        <w:t xml:space="preserve">Figure </w:t>
      </w:r>
      <w:r w:rsidR="00500651">
        <w:rPr>
          <w:iCs/>
          <w:highlight w:val="yellow"/>
        </w:rPr>
        <w:t>3</w:t>
      </w:r>
      <w:r w:rsidR="00500651" w:rsidRPr="001F2701">
        <w:rPr>
          <w:iCs/>
          <w:highlight w:val="yellow"/>
        </w:rPr>
        <w:t xml:space="preserve">-figure supplement </w:t>
      </w:r>
      <w:r w:rsidR="00500651">
        <w:rPr>
          <w:iCs/>
        </w:rPr>
        <w:t>2</w:t>
      </w:r>
      <w:r w:rsidR="00454E31">
        <w:t>).</w:t>
      </w:r>
      <w:r w:rsidR="0068482A">
        <w:t xml:space="preserve"> </w:t>
      </w:r>
      <w:r w:rsidR="00545B11">
        <w:t xml:space="preserve">Again, OFC inactivation significantly impaired </w:t>
      </w:r>
      <w:r w:rsidR="001F06F9">
        <w:t>acquisition</w:t>
      </w:r>
      <w:r w:rsidR="0024781A">
        <w:t xml:space="preserve">, confirming that the effects observed in Figure 2 </w:t>
      </w:r>
      <w:r w:rsidR="00E85D1D">
        <w:t xml:space="preserve">are not dependent on </w:t>
      </w:r>
      <w:r w:rsidR="00362515">
        <w:t>a specific cue modality or duration.</w:t>
      </w:r>
      <w:r w:rsidR="0024781A">
        <w:t xml:space="preserve"> </w:t>
      </w:r>
    </w:p>
    <w:p w14:paraId="5DA2FF82" w14:textId="0FF1EECE" w:rsidR="0068482A" w:rsidRDefault="0068482A" w:rsidP="00F04D98">
      <w:pPr>
        <w:pStyle w:val="BodyText"/>
        <w:spacing w:line="480" w:lineRule="auto"/>
      </w:pPr>
      <w:r>
        <w:t>Next</w:t>
      </w:r>
      <w:r w:rsidR="000A6F1C">
        <w:t>,</w:t>
      </w:r>
      <w:r>
        <w:t xml:space="preserve"> in a </w:t>
      </w:r>
      <w:r w:rsidR="000A6F1C">
        <w:t>different</w:t>
      </w:r>
      <w:r>
        <w:t xml:space="preserve"> </w:t>
      </w:r>
      <w:r w:rsidR="00F31ECA">
        <w:t>cohort</w:t>
      </w:r>
      <w:r>
        <w:t xml:space="preserve"> of animals</w:t>
      </w:r>
      <w:r w:rsidR="00F31ECA">
        <w:t>,</w:t>
      </w:r>
      <w:r>
        <w:t xml:space="preserve"> </w:t>
      </w:r>
      <w:r w:rsidR="006466A1">
        <w:t xml:space="preserve">we tested </w:t>
      </w:r>
      <w:r w:rsidR="00CA560B">
        <w:t xml:space="preserve">whether </w:t>
      </w:r>
      <w:r w:rsidR="00F1254B">
        <w:t>impaired</w:t>
      </w:r>
      <w:r w:rsidR="006466A1">
        <w:t xml:space="preserve"> </w:t>
      </w:r>
      <w:r w:rsidR="00ED7C35">
        <w:t xml:space="preserve">CS-US </w:t>
      </w:r>
      <w:r w:rsidR="00F1254B">
        <w:t>acquisition following</w:t>
      </w:r>
      <w:r w:rsidR="006466A1">
        <w:t xml:space="preserve"> OFC </w:t>
      </w:r>
      <w:r w:rsidR="00987025">
        <w:t>inactivation</w:t>
      </w:r>
      <w:r w:rsidR="006466A1">
        <w:t xml:space="preserve"> </w:t>
      </w:r>
      <w:r w:rsidR="00F1254B">
        <w:t xml:space="preserve">disrupted </w:t>
      </w:r>
      <w:r w:rsidR="007E3BEE">
        <w:t xml:space="preserve">subsequent </w:t>
      </w:r>
      <w:r w:rsidR="00987025">
        <w:t>Pavlovian</w:t>
      </w:r>
      <w:r>
        <w:t xml:space="preserve"> blocking</w:t>
      </w:r>
      <w:r w:rsidR="006E63CD">
        <w:t xml:space="preserve"> (cannula</w:t>
      </w:r>
      <w:r w:rsidR="00B12723">
        <w:t xml:space="preserve"> placements</w:t>
      </w:r>
      <w:r w:rsidR="006E63CD">
        <w:t xml:space="preserve"> depicted in </w:t>
      </w:r>
      <w:r w:rsidR="006E63CD" w:rsidRPr="001F2701">
        <w:rPr>
          <w:iCs/>
          <w:highlight w:val="yellow"/>
        </w:rPr>
        <w:t xml:space="preserve">Figure </w:t>
      </w:r>
      <w:r w:rsidR="006E63CD">
        <w:rPr>
          <w:iCs/>
          <w:highlight w:val="yellow"/>
        </w:rPr>
        <w:t>3</w:t>
      </w:r>
      <w:r w:rsidR="006E63CD" w:rsidRPr="001F2701">
        <w:rPr>
          <w:iCs/>
          <w:highlight w:val="yellow"/>
        </w:rPr>
        <w:t xml:space="preserve">-figure supplement </w:t>
      </w:r>
      <w:r w:rsidR="006E63CD">
        <w:rPr>
          <w:iCs/>
        </w:rPr>
        <w:t>3</w:t>
      </w:r>
      <w:r w:rsidR="006E63CD">
        <w:t>)</w:t>
      </w:r>
      <w:r>
        <w:t>. During stage 1 of blocking (</w:t>
      </w:r>
      <w:r w:rsidRPr="00252843">
        <w:rPr>
          <w:highlight w:val="yellow"/>
        </w:rPr>
        <w:t>Figure 3B</w:t>
      </w:r>
      <w:r>
        <w:t xml:space="preserve">), all animals were given 10 days of acquisition training to cue A. OFC function was intact during the first 4 days of acquisition, and all animals began to acquire the cue A-outcome relationship (Days 1-4: significant main effect of Day </w:t>
      </w:r>
      <m:oMath>
        <m:r>
          <w:rPr>
            <w:rFonts w:ascii="Cambria Math" w:hAnsi="Cambria Math"/>
          </w:rPr>
          <m:t>F(3,72)=5.77</m:t>
        </m:r>
      </m:oMath>
      <w:r>
        <w:t xml:space="preserve">, </w:t>
      </w:r>
      <m:oMath>
        <m:r>
          <w:rPr>
            <w:rFonts w:ascii="Cambria Math" w:hAnsi="Cambria Math"/>
          </w:rPr>
          <m:t>p=.001</m:t>
        </m:r>
      </m:oMath>
      <w:r>
        <w:t xml:space="preserve">, but no effect of Group , or Group x Day interaction </w:t>
      </w:r>
      <m:oMath>
        <m:r>
          <w:rPr>
            <w:rFonts w:ascii="Cambria Math" w:hAnsi="Cambria Math"/>
          </w:rPr>
          <m:t>F(3,72)=0.27</m:t>
        </m:r>
      </m:oMath>
      <w:r>
        <w:t xml:space="preserve">, </w:t>
      </w:r>
      <m:oMath>
        <m:r>
          <w:rPr>
            <w:rFonts w:ascii="Cambria Math" w:hAnsi="Cambria Math"/>
          </w:rPr>
          <m:t>p=.850</m:t>
        </m:r>
      </m:oMath>
      <w:r>
        <w:t>). All animals then received an additional 6 days of acquisition to cue A (</w:t>
      </w:r>
      <w:r w:rsidRPr="00950E01">
        <w:rPr>
          <w:highlight w:val="yellow"/>
        </w:rPr>
        <w:t>Figure 3B, Days 5-10</w:t>
      </w:r>
      <w:r>
        <w:t xml:space="preserve">) following either intra-OFC infusions of muscimol or saline. Infusions of muscimol depressed overall responding relative to saline infusions (significant main effect of Group </w:t>
      </w:r>
      <m:oMath>
        <m:r>
          <w:rPr>
            <w:rFonts w:ascii="Cambria Math" w:hAnsi="Cambria Math"/>
          </w:rPr>
          <m:t>F(1,24)=4.25</m:t>
        </m:r>
      </m:oMath>
      <w:r>
        <w:t xml:space="preserve">, </w:t>
      </w:r>
      <m:oMath>
        <m:r>
          <w:rPr>
            <w:rFonts w:ascii="Cambria Math" w:hAnsi="Cambria Math"/>
          </w:rPr>
          <m:t>p=.050</m:t>
        </m:r>
      </m:oMath>
      <w:r>
        <w:t xml:space="preserve">, and Day </w:t>
      </w:r>
      <m:oMath>
        <m:r>
          <w:rPr>
            <w:rFonts w:ascii="Cambria Math" w:hAnsi="Cambria Math"/>
          </w:rPr>
          <m:t>F(5,120)=17.49</m:t>
        </m:r>
      </m:oMath>
      <w:r>
        <w:t xml:space="preserve">, </w:t>
      </w:r>
      <m:oMath>
        <m:r>
          <w:rPr>
            <w:rFonts w:ascii="Cambria Math" w:hAnsi="Cambria Math"/>
          </w:rPr>
          <m:t>p&lt;.001</m:t>
        </m:r>
      </m:oMath>
      <w:r>
        <w:t xml:space="preserve">, but no Group x Day interaction </w:t>
      </w:r>
      <m:oMath>
        <m:r>
          <w:rPr>
            <w:rFonts w:ascii="Cambria Math" w:hAnsi="Cambria Math"/>
          </w:rPr>
          <m:t>F(5,120)=1.31</m:t>
        </m:r>
      </m:oMath>
      <w:r>
        <w:t xml:space="preserve">, </w:t>
      </w:r>
      <m:oMath>
        <m:r>
          <w:rPr>
            <w:rFonts w:ascii="Cambria Math" w:hAnsi="Cambria Math"/>
          </w:rPr>
          <m:t>p=.263</m:t>
        </m:r>
      </m:oMath>
      <w:r>
        <w:t>). Importantly, on the final day (Day 10), responding in the muscimol group was significantly lower than the saline group (</w:t>
      </w:r>
      <m:oMath>
        <m:r>
          <w:rPr>
            <w:rFonts w:ascii="Cambria Math" w:hAnsi="Cambria Math"/>
          </w:rPr>
          <m:t>t(24)=-2.69</m:t>
        </m:r>
      </m:oMath>
      <w:r>
        <w:t xml:space="preserve">, </w:t>
      </w:r>
      <m:oMath>
        <m:r>
          <w:rPr>
            <w:rFonts w:ascii="Cambria Math" w:hAnsi="Cambria Math"/>
          </w:rPr>
          <m:t>p=.013</m:t>
        </m:r>
      </m:oMath>
      <w:r>
        <w:t>).</w:t>
      </w:r>
    </w:p>
    <w:p w14:paraId="15FA990F" w14:textId="220DE93D" w:rsidR="000E75D6" w:rsidRDefault="000E75D6" w:rsidP="00F04D98">
      <w:pPr>
        <w:pStyle w:val="BodyText"/>
        <w:spacing w:line="480" w:lineRule="auto"/>
      </w:pPr>
      <w:r>
        <w:lastRenderedPageBreak/>
        <w:t>Next, animals were trained such that compounds AB and CD also predicted reward (</w:t>
      </w:r>
      <w:r w:rsidRPr="008359E2">
        <w:rPr>
          <w:highlight w:val="yellow"/>
        </w:rPr>
        <w:t>Figure 3C, Stage 2</w:t>
      </w:r>
      <w:r>
        <w:t xml:space="preserve">), importantly OFC function was intact in all animals i.e. no infusions. Responding in both the saline and muscimol groups was initially lower to the novel compound CD than to AB (Significant Cue x Day interaction </w:t>
      </w:r>
      <m:oMath>
        <m:r>
          <w:rPr>
            <w:rFonts w:ascii="Cambria Math" w:hAnsi="Cambria Math"/>
          </w:rPr>
          <m:t>F(2,48)=12.12</m:t>
        </m:r>
      </m:oMath>
      <w:r>
        <w:t xml:space="preserve">, </w:t>
      </w:r>
      <m:oMath>
        <m:r>
          <w:rPr>
            <w:rFonts w:ascii="Cambria Math" w:hAnsi="Cambria Math"/>
          </w:rPr>
          <m:t>p&lt;.001</m:t>
        </m:r>
      </m:oMath>
      <w:r>
        <w:t xml:space="preserve">, and main effect of Day </w:t>
      </w:r>
      <m:oMath>
        <m:r>
          <w:rPr>
            <w:rFonts w:ascii="Cambria Math" w:hAnsi="Cambria Math"/>
          </w:rPr>
          <m:t>F(2,48)=20.09</m:t>
        </m:r>
      </m:oMath>
      <w:r>
        <w:t xml:space="preserve">, </w:t>
      </w:r>
      <m:oMath>
        <m:r>
          <w:rPr>
            <w:rFonts w:ascii="Cambria Math" w:hAnsi="Cambria Math"/>
          </w:rPr>
          <m:t>p&lt;.001</m:t>
        </m:r>
      </m:oMath>
      <w:r>
        <w:t xml:space="preserve">, but no other main effects or interactions with Group were significant, all remaining effects </w:t>
      </w:r>
      <w:r>
        <w:rPr>
          <w:i/>
        </w:rPr>
        <w:t>F</w:t>
      </w:r>
      <w:r>
        <w:t xml:space="preserve"> &lt; 1.91, </w:t>
      </w:r>
      <w:r>
        <w:rPr>
          <w:i/>
        </w:rPr>
        <w:t>p</w:t>
      </w:r>
      <w:r>
        <w:t xml:space="preserve"> &gt; .160; Cue AB vs CD: Day 12 </w:t>
      </w:r>
      <m:oMath>
        <m:r>
          <w:rPr>
            <w:rFonts w:ascii="Cambria Math" w:hAnsi="Cambria Math"/>
          </w:rPr>
          <m:t>t(24)=3.74</m:t>
        </m:r>
      </m:oMath>
      <w:r>
        <w:t xml:space="preserve">, </w:t>
      </w:r>
      <m:oMath>
        <m:r>
          <w:rPr>
            <w:rFonts w:ascii="Cambria Math" w:hAnsi="Cambria Math"/>
          </w:rPr>
          <m:t>p=.001</m:t>
        </m:r>
      </m:oMath>
      <w:r>
        <w:t xml:space="preserve">, Day 13 </w:t>
      </w:r>
      <m:oMath>
        <m:r>
          <w:rPr>
            <w:rFonts w:ascii="Cambria Math" w:hAnsi="Cambria Math"/>
          </w:rPr>
          <m:t>t(24)=-0.44</m:t>
        </m:r>
      </m:oMath>
      <w:r>
        <w:t xml:space="preserve">, </w:t>
      </w:r>
      <m:oMath>
        <m:r>
          <w:rPr>
            <w:rFonts w:ascii="Cambria Math" w:hAnsi="Cambria Math"/>
          </w:rPr>
          <m:t>p=.663</m:t>
        </m:r>
      </m:oMath>
      <w:r>
        <w:t xml:space="preserve">, Day 14 </w:t>
      </w:r>
      <m:oMath>
        <m:r>
          <w:rPr>
            <w:rFonts w:ascii="Cambria Math" w:hAnsi="Cambria Math"/>
          </w:rPr>
          <m:t>t(24)=-1.80</m:t>
        </m:r>
      </m:oMath>
      <w:r>
        <w:t xml:space="preserve">, </w:t>
      </w:r>
      <m:oMath>
        <m:r>
          <w:rPr>
            <w:rFonts w:ascii="Cambria Math" w:hAnsi="Cambria Math"/>
          </w:rPr>
          <m:t>p=.085</m:t>
        </m:r>
      </m:oMath>
      <w:r>
        <w:t>). However, the pattern of means suggests that responding to compound AB in the muscimol group was similar to the novel compound CD on Day 12 (</w:t>
      </w:r>
      <w:r w:rsidRPr="008359E2">
        <w:rPr>
          <w:highlight w:val="yellow"/>
        </w:rPr>
        <w:t>Figure 3C, Right - Day 12,</w:t>
      </w:r>
      <w:r>
        <w:t xml:space="preserve"> Muscimol: AB vs CD </w:t>
      </w:r>
      <m:oMath>
        <m:r>
          <w:rPr>
            <w:rFonts w:ascii="Cambria Math" w:hAnsi="Cambria Math"/>
          </w:rPr>
          <m:t>t(24)=1.82</m:t>
        </m:r>
      </m:oMath>
      <w:r>
        <w:t xml:space="preserve">, </w:t>
      </w:r>
      <m:oMath>
        <m:r>
          <w:rPr>
            <w:rFonts w:ascii="Cambria Math" w:hAnsi="Cambria Math"/>
          </w:rPr>
          <m:t>p=.081</m:t>
        </m:r>
      </m:oMath>
      <w:r>
        <w:t>), and lower than compound AB in the saline group (</w:t>
      </w:r>
      <w:r w:rsidRPr="008359E2">
        <w:rPr>
          <w:highlight w:val="yellow"/>
        </w:rPr>
        <w:t>Figure 3C, Left - Day 12</w:t>
      </w:r>
      <w:r>
        <w:t xml:space="preserve">; Day 12, Saline: AB vs CD </w:t>
      </w:r>
      <m:oMath>
        <m:r>
          <w:rPr>
            <w:rFonts w:ascii="Cambria Math" w:hAnsi="Cambria Math"/>
          </w:rPr>
          <m:t>t(24)=3.47</m:t>
        </m:r>
      </m:oMath>
      <w:r>
        <w:t xml:space="preserve">, </w:t>
      </w:r>
      <m:oMath>
        <m:r>
          <w:rPr>
            <w:rFonts w:ascii="Cambria Math" w:hAnsi="Cambria Math"/>
          </w:rPr>
          <m:t>p=.002</m:t>
        </m:r>
      </m:oMath>
      <w:r>
        <w:t>). Furthermore, Within-session changes over trials on Day 12 revealed rapid within-session acquisition to both compounds in both groups, but responding was significantly lower in the muscimol group at the start of the session (</w:t>
      </w:r>
      <w:r w:rsidRPr="001F2782">
        <w:rPr>
          <w:highlight w:val="yellow"/>
        </w:rPr>
        <w:t xml:space="preserve">Figure 3 - </w:t>
      </w:r>
      <w:r>
        <w:rPr>
          <w:highlight w:val="yellow"/>
        </w:rPr>
        <w:t>figure supplement</w:t>
      </w:r>
      <w:r w:rsidRPr="00136F82">
        <w:rPr>
          <w:highlight w:val="yellow"/>
        </w:rPr>
        <w:t xml:space="preserve"> </w:t>
      </w:r>
      <w:r w:rsidR="00B12723">
        <w:t>4</w:t>
      </w:r>
      <w:r>
        <w:t xml:space="preserve">; First 2 trials, significant main effect of Group </w:t>
      </w:r>
      <m:oMath>
        <m:r>
          <w:rPr>
            <w:rFonts w:ascii="Cambria Math" w:hAnsi="Cambria Math"/>
          </w:rPr>
          <m:t>F(1,24)=8.67</m:t>
        </m:r>
      </m:oMath>
      <w:r>
        <w:t xml:space="preserve">, </w:t>
      </w:r>
      <m:oMath>
        <m:r>
          <w:rPr>
            <w:rFonts w:ascii="Cambria Math" w:hAnsi="Cambria Math"/>
          </w:rPr>
          <m:t>p=.007</m:t>
        </m:r>
      </m:oMath>
      <w:r>
        <w:t xml:space="preserve">, and Cue </w:t>
      </w:r>
      <m:oMath>
        <m:r>
          <w:rPr>
            <w:rFonts w:ascii="Cambria Math" w:hAnsi="Cambria Math"/>
          </w:rPr>
          <m:t>F(1,24)=7.61</m:t>
        </m:r>
      </m:oMath>
      <w:r>
        <w:t xml:space="preserve">, </w:t>
      </w:r>
      <m:oMath>
        <m:r>
          <w:rPr>
            <w:rFonts w:ascii="Cambria Math" w:hAnsi="Cambria Math"/>
          </w:rPr>
          <m:t>p=.011</m:t>
        </m:r>
      </m:oMath>
      <w:r>
        <w:t xml:space="preserve">, but no Group x Cue interaction </w:t>
      </w:r>
      <m:oMath>
        <m:r>
          <w:rPr>
            <w:rFonts w:ascii="Cambria Math" w:hAnsi="Cambria Math"/>
          </w:rPr>
          <m:t>F(1,24)=0.19</m:t>
        </m:r>
      </m:oMath>
      <w:r>
        <w:t xml:space="preserve">, </w:t>
      </w:r>
      <m:oMath>
        <m:r>
          <w:rPr>
            <w:rFonts w:ascii="Cambria Math" w:hAnsi="Cambria Math"/>
          </w:rPr>
          <m:t>p=.670</m:t>
        </m:r>
      </m:oMath>
      <w:r>
        <w:t>). The lower responding to cue AB in the muscimol group suggests that acquisition to cue A was impaired following infusions in Stage 1 and this impairment persisted (albeit transiently) when test drug free in stage 2. Indeed, the levels of responding to compound AB in the muscimol group at the start of Day 12 (</w:t>
      </w:r>
      <w:r w:rsidRPr="00D073A1">
        <w:rPr>
          <w:highlight w:val="yellow"/>
        </w:rPr>
        <w:t xml:space="preserve">Figure 3 - </w:t>
      </w:r>
      <w:r>
        <w:rPr>
          <w:highlight w:val="yellow"/>
        </w:rPr>
        <w:t>figure supplement</w:t>
      </w:r>
      <w:r w:rsidRPr="00136F82">
        <w:rPr>
          <w:highlight w:val="yellow"/>
        </w:rPr>
        <w:t xml:space="preserve"> </w:t>
      </w:r>
      <w:r w:rsidR="00B12723">
        <w:t>4</w:t>
      </w:r>
      <w:r>
        <w:t xml:space="preserve">) are </w:t>
      </w:r>
      <w:proofErr w:type="gramStart"/>
      <w:r>
        <w:t>similar to</w:t>
      </w:r>
      <w:proofErr w:type="gramEnd"/>
      <w:r>
        <w:t xml:space="preserve"> levels of responding to the novel compound CD in the saline group. This would suggest that learning about cue A in the muscimol group was impaired in stage 1, and therefore cue A should not effectively block learning to cue B in stage 2. </w:t>
      </w:r>
    </w:p>
    <w:p w14:paraId="49CE91BE" w14:textId="0C1146CF" w:rsidR="001B11FA" w:rsidRDefault="000E75D6" w:rsidP="00F04D98">
      <w:pPr>
        <w:pStyle w:val="BodyText"/>
        <w:spacing w:line="480" w:lineRule="auto"/>
      </w:pPr>
      <w:r>
        <w:lastRenderedPageBreak/>
        <w:t>At test both groups showed significant blocking of learning to cue B relative to the control cue D (</w:t>
      </w:r>
      <w:r w:rsidRPr="004437AA">
        <w:rPr>
          <w:highlight w:val="yellow"/>
        </w:rPr>
        <w:t>Figure 3D;</w:t>
      </w:r>
      <w:r>
        <w:t xml:space="preserve"> Significant main effect of Cue </w:t>
      </w:r>
      <m:oMath>
        <m:r>
          <w:rPr>
            <w:rFonts w:ascii="Cambria Math" w:hAnsi="Cambria Math"/>
          </w:rPr>
          <m:t>F(1,24)=7.29</m:t>
        </m:r>
      </m:oMath>
      <w:r>
        <w:t xml:space="preserve">, </w:t>
      </w:r>
      <m:oMath>
        <m:r>
          <w:rPr>
            <w:rFonts w:ascii="Cambria Math" w:hAnsi="Cambria Math"/>
          </w:rPr>
          <m:t>p=.013</m:t>
        </m:r>
      </m:oMath>
      <w:r>
        <w:t xml:space="preserve">, but no main effect of Group </w:t>
      </w:r>
      <m:oMath>
        <m:r>
          <w:rPr>
            <w:rFonts w:ascii="Cambria Math" w:hAnsi="Cambria Math"/>
          </w:rPr>
          <m:t>F(1,24)=0.54</m:t>
        </m:r>
      </m:oMath>
      <w:r>
        <w:t xml:space="preserve">, </w:t>
      </w:r>
      <m:oMath>
        <m:r>
          <w:rPr>
            <w:rFonts w:ascii="Cambria Math" w:hAnsi="Cambria Math"/>
          </w:rPr>
          <m:t>p=.471</m:t>
        </m:r>
      </m:oMath>
      <w:r>
        <w:t xml:space="preserve">, or Group x Cue interaction </w:t>
      </w:r>
      <m:oMath>
        <m:r>
          <w:rPr>
            <w:rFonts w:ascii="Cambria Math" w:hAnsi="Cambria Math"/>
          </w:rPr>
          <m:t>F(1,24)=0.04</m:t>
        </m:r>
      </m:oMath>
      <w:r>
        <w:t xml:space="preserve">, </w:t>
      </w:r>
      <m:oMath>
        <m:r>
          <w:rPr>
            <w:rFonts w:ascii="Cambria Math" w:hAnsi="Cambria Math"/>
          </w:rPr>
          <m:t>p=.843</m:t>
        </m:r>
      </m:oMath>
      <w:r>
        <w:t>). This suggests that inactivation of the OFC significantly reduced behavioural performance but not learning to cue A in Stage 1, and this impairment transiently affected compound AB on Day 12 in the absence of OFC inactivation. Therefore, the impairments observed in our earlier findings (</w:t>
      </w:r>
      <w:r w:rsidRPr="004437AA">
        <w:rPr>
          <w:highlight w:val="yellow"/>
        </w:rPr>
        <w:t>Figure 2A</w:t>
      </w:r>
      <w:r>
        <w:t>, post infusion) are unlikely to be due to impairments in learning. In addition to this, we rule out the possibility that the two groups used different attentional solutions to achieve a similar blocking result (</w:t>
      </w:r>
      <w:r w:rsidRPr="00994C11">
        <w:rPr>
          <w:highlight w:val="yellow"/>
        </w:rPr>
        <w:t>Figure 3-</w:t>
      </w:r>
      <w:r w:rsidRPr="00A4541B">
        <w:rPr>
          <w:highlight w:val="yellow"/>
        </w:rPr>
        <w:t xml:space="preserve"> </w:t>
      </w:r>
      <w:r>
        <w:rPr>
          <w:highlight w:val="yellow"/>
        </w:rPr>
        <w:t>figure supplement</w:t>
      </w:r>
      <w:r w:rsidRPr="00136F82">
        <w:rPr>
          <w:highlight w:val="yellow"/>
        </w:rPr>
        <w:t xml:space="preserve"> </w:t>
      </w:r>
      <w:r w:rsidR="00B12723">
        <w:t>5</w:t>
      </w:r>
      <w:r>
        <w:t>).</w:t>
      </w:r>
    </w:p>
    <w:p w14:paraId="7025C2CB" w14:textId="77777777" w:rsidR="001B11FA" w:rsidRDefault="001B11FA" w:rsidP="00F04D98">
      <w:pPr>
        <w:spacing w:line="480" w:lineRule="auto"/>
        <w:rPr>
          <w:sz w:val="24"/>
          <w:szCs w:val="24"/>
        </w:rPr>
      </w:pPr>
      <w:r>
        <w:br w:type="page"/>
      </w:r>
    </w:p>
    <w:p w14:paraId="73AEE5CC" w14:textId="77777777" w:rsidR="001B11FA" w:rsidRPr="00C42A81" w:rsidRDefault="001B11FA" w:rsidP="00F04D98">
      <w:pPr>
        <w:spacing w:line="480" w:lineRule="auto"/>
        <w:rPr>
          <w:rFonts w:cstheme="minorHAnsi"/>
          <w:sz w:val="24"/>
          <w:szCs w:val="24"/>
        </w:rPr>
      </w:pPr>
      <w:r>
        <w:rPr>
          <w:rFonts w:cstheme="minorHAnsi"/>
          <w:noProof/>
          <w:sz w:val="24"/>
          <w:szCs w:val="24"/>
        </w:rPr>
        <w:lastRenderedPageBreak/>
        <w:drawing>
          <wp:inline distT="0" distB="0" distL="0" distR="0" wp14:anchorId="3CAE8BD5" wp14:editId="0F373AB5">
            <wp:extent cx="5934710" cy="395922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3959225"/>
                    </a:xfrm>
                    <a:prstGeom prst="rect">
                      <a:avLst/>
                    </a:prstGeom>
                    <a:noFill/>
                    <a:ln>
                      <a:noFill/>
                    </a:ln>
                  </pic:spPr>
                </pic:pic>
              </a:graphicData>
            </a:graphic>
          </wp:inline>
        </w:drawing>
      </w:r>
    </w:p>
    <w:p w14:paraId="4F8F9836" w14:textId="159D81AB" w:rsidR="001B11FA" w:rsidRDefault="001B11FA" w:rsidP="00D448AF">
      <w:pPr>
        <w:spacing w:after="240" w:line="480" w:lineRule="auto"/>
        <w:rPr>
          <w:sz w:val="24"/>
          <w:szCs w:val="24"/>
        </w:rPr>
      </w:pPr>
      <w:r w:rsidRPr="00C42A81">
        <w:rPr>
          <w:rFonts w:cstheme="minorHAnsi"/>
          <w:b/>
          <w:sz w:val="24"/>
          <w:szCs w:val="24"/>
        </w:rPr>
        <w:t xml:space="preserve">Figure 3. </w:t>
      </w:r>
      <w:r w:rsidR="00D448AF" w:rsidRPr="00D448AF">
        <w:rPr>
          <w:rFonts w:cstheme="minorHAnsi"/>
          <w:sz w:val="24"/>
          <w:szCs w:val="24"/>
        </w:rPr>
        <w:t xml:space="preserve">The effect of OFC inactivation during acquisition on subsequent learning in a Pavlovian blocking design. Experiment 3: (A) 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Figure 3-figure supplement 3. (B) Pavlovian acquisition to cue A over 10 days, with intact OFC (days 1-4) and following infusion of saline or muscimol to functionally inactivate the OFC (days 5-10). Muscimol infusions significantly suppressed responding to cue A. (C) Performance during stage 2 of blocking to cue compounds AB and CD in the saline (left) and </w:t>
      </w:r>
      <w:r w:rsidR="00D448AF" w:rsidRPr="00D448AF">
        <w:rPr>
          <w:rFonts w:cstheme="minorHAnsi"/>
          <w:sz w:val="24"/>
          <w:szCs w:val="24"/>
        </w:rPr>
        <w:lastRenderedPageBreak/>
        <w:t>muscimol (right) infusion groups. A focused analysis of responding within Day 12 is presented in Figure 3-figure supplement 4. (D) Responding during an extinction test to “blocked” cue B and the overshadowing control cue D. Figure 3-figure supplement 5 shows subsequent reacquisition to cues B and A to assess possible differences in attentional strategies between the saline and muscimol group. Significantly reduced responding to cue B relative to cue D indicates that learning about cue A effectively blocked subsequent learning to cue B in both the muscimol and saline groups. Pavlovian responding quantified by the rate of discriminative responding (CS-PreCS). Error bars depict ± SEM.</w:t>
      </w:r>
      <w:r>
        <w:br w:type="page"/>
      </w:r>
    </w:p>
    <w:p w14:paraId="2E450364" w14:textId="77777777" w:rsidR="00A06C66" w:rsidRPr="00F0708B" w:rsidRDefault="00A06C66" w:rsidP="008E1084">
      <w:pPr>
        <w:pStyle w:val="BodyText"/>
        <w:spacing w:line="480" w:lineRule="auto"/>
        <w:jc w:val="center"/>
        <w:rPr>
          <w:b/>
          <w:bCs/>
        </w:rPr>
      </w:pPr>
      <w:r w:rsidRPr="00F0708B">
        <w:rPr>
          <w:b/>
          <w:bCs/>
        </w:rPr>
        <w:lastRenderedPageBreak/>
        <w:t>Discussion</w:t>
      </w:r>
    </w:p>
    <w:p w14:paraId="497C0A66" w14:textId="264480FF" w:rsidR="00FA33F7" w:rsidRDefault="00A06C66" w:rsidP="00F04D98">
      <w:pPr>
        <w:pStyle w:val="BodyText"/>
        <w:spacing w:line="480" w:lineRule="auto"/>
      </w:pPr>
      <w:r w:rsidRPr="00F0708B">
        <w:t>The present studies tested the hypothesis that the rodent lateral OFC is not necessary for Pavlovian acquisition</w:t>
      </w:r>
      <w:r w:rsidR="00034929">
        <w:t xml:space="preserve"> in simple single CS-US procedure</w:t>
      </w:r>
      <w:r w:rsidRPr="00F0708B">
        <w:t>. Here we show that OFC lesions and inactivation significantly affects Pavlovian acquisitio</w:t>
      </w:r>
      <w:r w:rsidR="00034929">
        <w:t>n</w:t>
      </w:r>
      <w:r w:rsidRPr="00F0708B">
        <w:t>. Furthermore, we found a dissociation between pre- and post-training OFC manipulations on Pavlovian acquisition such that pre-training OFC lesions enhance, whereas post-training lesions and inactivation impairs acquisition behaviour.</w:t>
      </w:r>
      <w:r w:rsidR="00416693">
        <w:t xml:space="preserve"> </w:t>
      </w:r>
      <w:r w:rsidR="00EB272D">
        <w:t xml:space="preserve">Given the absence of these </w:t>
      </w:r>
      <w:r w:rsidR="00155B6D">
        <w:t>effects in the extant literature, it is notable that the</w:t>
      </w:r>
      <w:r w:rsidR="004810C4">
        <w:t xml:space="preserve">se effects were robust and were </w:t>
      </w:r>
      <w:r w:rsidR="00155B6D">
        <w:t xml:space="preserve">replicated </w:t>
      </w:r>
      <w:r w:rsidR="003A1D65">
        <w:t>multiple times.</w:t>
      </w:r>
      <w:r w:rsidRPr="00F0708B">
        <w:t xml:space="preserve"> Next, using an associative blocking design, we tested whether impaired behaviour following post-training OFC inactivation reflects a disruption of learning or behavioural control. OFC inactivation did not disrupt the underlying learning about the predictive CS-US relationship</w:t>
      </w:r>
      <w:r>
        <w:t xml:space="preserve"> as assayed by blocking</w:t>
      </w:r>
      <w:r w:rsidRPr="00F0708B">
        <w:t>, and instead disrupted the appropriate control of anticipatory behaviour to the CS.</w:t>
      </w:r>
    </w:p>
    <w:p w14:paraId="608B0669" w14:textId="77777777" w:rsidR="000E07DF" w:rsidRPr="00F0708B" w:rsidRDefault="000E07DF" w:rsidP="00F04D98">
      <w:pPr>
        <w:pStyle w:val="BodyText"/>
        <w:spacing w:line="480" w:lineRule="auto"/>
        <w:rPr>
          <w:b/>
          <w:bCs/>
        </w:rPr>
      </w:pPr>
      <w:r w:rsidRPr="00F0708B">
        <w:rPr>
          <w:b/>
          <w:bCs/>
        </w:rPr>
        <w:t>Lateral OFC is necessary for simple Pavlovian acquisition</w:t>
      </w:r>
    </w:p>
    <w:p w14:paraId="5081E70D" w14:textId="721C21AA" w:rsidR="000E07DF" w:rsidRDefault="000E07DF" w:rsidP="00F04D98">
      <w:pPr>
        <w:spacing w:line="480" w:lineRule="auto"/>
        <w:rPr>
          <w:sz w:val="24"/>
          <w:szCs w:val="24"/>
        </w:rPr>
      </w:pPr>
      <w:r w:rsidRPr="00F0708B">
        <w:rPr>
          <w:sz w:val="24"/>
          <w:szCs w:val="24"/>
        </w:rPr>
        <w:t xml:space="preserve">The significant role of the OFC in Pavlovian acquisition in the present studies is surprising since OFC lesions and inactivation have consistently been reported to have no effect on acquisition in rats </w:t>
      </w:r>
      <w:r w:rsidRPr="00F0708B">
        <w:rPr>
          <w:sz w:val="24"/>
          <w:szCs w:val="24"/>
        </w:rPr>
        <w:fldChar w:fldCharType="begin" w:fldLock="1"/>
      </w:r>
      <w:r w:rsidR="00234420">
        <w:rPr>
          <w:sz w:val="24"/>
          <w:szCs w:val="24"/>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-2","issue":"6","issued":{"date-parts":[["2002","5"]]},"language":"English","page":"885-890","title":"Orbitofrontal lesions in rats impair reversal but not acquisition of go, no-go odor discriminations","type":"article-journal","volume":"13"},"uris":["http://www.mendeley.com/documents/?uuid=6a9c8c6b-d2e7-4139-807b-0fb6429d32a7"]},{"id":"ITEM-3","itemData":{"DOI":"Doi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-3","issue":"7202","issued":{"date-parts":[["2008"]]},"language":"English","page":"340-U45","title":"The role of the orbitofrontal cortex in the pursuit of happiness and more specific rewards","type":"article-journal","volume":"454"},"prefix":"e.g. ","uris":["http://www.mendeley.com/documents/?uuid=c3367cf0-c4f1-419c-80b8-0bb9c2afd479"]},{"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learning","type":"article-journal","volume":"19"},"uris":["http://www.mendeley.com/documents/?uuid=67ba92ca-b679-407e-9f2a-7aac71c3f739"]}],"mendeley":{"formattedCitation":"(e.g. Burke et al., 2008; Gallagher et al., 1999; Schoenbaum et al., 2002; Stalnaker et al., 2007)","plainTextFormattedCitation":"(e.g. Burke et al., 2008; Gallagher et al., 1999; Schoenbaum et al., 2002; Stalnaker et al., 2007)","previouslyFormattedCitation":"(e.g. Burke et al., 2008; Gallagher et al., 1999; Schoenbaum et al., 2002; Stalnaker et al., 2007)"},"properties":{"noteIndex":0},"schema":"https://github.com/citation-style-language/schema/raw/master/csl-citation.json"}</w:instrText>
      </w:r>
      <w:r w:rsidRPr="00F0708B">
        <w:rPr>
          <w:sz w:val="24"/>
          <w:szCs w:val="24"/>
        </w:rPr>
        <w:fldChar w:fldCharType="separate"/>
      </w:r>
      <w:r w:rsidR="00305542" w:rsidRPr="00305542">
        <w:rPr>
          <w:noProof/>
          <w:sz w:val="24"/>
          <w:szCs w:val="24"/>
        </w:rPr>
        <w:t>(e.g. Burke et al., 2008; Gallagher et al., 1999; Schoenbaum et al., 2002; Stalnaker et al., 2007)</w:t>
      </w:r>
      <w:r w:rsidRPr="00F0708B">
        <w:rPr>
          <w:sz w:val="24"/>
          <w:szCs w:val="24"/>
        </w:rPr>
        <w:fldChar w:fldCharType="end"/>
      </w:r>
      <w:r w:rsidRPr="00F0708B">
        <w:rPr>
          <w:sz w:val="24"/>
          <w:szCs w:val="24"/>
        </w:rPr>
        <w:t>, unless there are complex cue</w:t>
      </w:r>
      <w:r>
        <w:rPr>
          <w:sz w:val="24"/>
          <w:szCs w:val="24"/>
        </w:rPr>
        <w:t>-</w:t>
      </w:r>
      <w:r w:rsidRPr="00F0708B">
        <w:rPr>
          <w:sz w:val="24"/>
          <w:szCs w:val="24"/>
        </w:rPr>
        <w:t xml:space="preserve"> or outcome</w:t>
      </w:r>
      <w:r>
        <w:rPr>
          <w:sz w:val="24"/>
          <w:szCs w:val="24"/>
        </w:rPr>
        <w:t>-</w:t>
      </w:r>
      <w:r w:rsidRPr="00F0708B">
        <w:rPr>
          <w:sz w:val="24"/>
          <w:szCs w:val="24"/>
        </w:rPr>
        <w:t xml:space="preserve">specific task demands </w:t>
      </w:r>
      <w:r w:rsidRPr="00F0708B">
        <w:rPr>
          <w:sz w:val="24"/>
          <w:szCs w:val="24"/>
        </w:rPr>
        <w:fldChar w:fldCharType="begin" w:fldLock="1"/>
      </w:r>
      <w:r w:rsidRPr="00F0708B">
        <w:rPr>
          <w:sz w:val="24"/>
          <w:szCs w:val="24"/>
        </w:rPr>
        <w:instrText>ADDIN CSL_CITATION {"citationItems":[{"id":"ITEM-1","itemData":{"DOI":"10.1037/0735-7044.121.5.896","ISBN":"0735-7044","author":[{"dropping-particle":"","family":"Ramirez","given":"D R","non-dropping-particle":"","parse-names":false,"suffix":""},{"dropping-particle":"","family":"Savage","given":"L M","non-dropping-particle":"","parse-names":false,"suffix":""}],"container-title":"Behav Neurosci","id":"ITEM-1","issue":"5","issued":{"date-parts":[["2007"]]},"language":"English","page":"896-906","title":"Differential involvement of the basolateral amygdala, orbitofrontal cortex, and nucleus accumbens core in the acquisition and use of reward expectancies","type":"article-journal","volume":"121"},"prefix":"e.g. ","uris":["http://www.mendeley.com/documents/?uuid=d2c1679a-994b-488a-8466-3042e7008941"]}],"mendeley":{"formattedCitation":"(e.g. Ramirez &amp; Savage, 2007)","plainTextFormattedCitation":"(e.g. Ramirez &amp; Savage, 2007)","previouslyFormattedCitation":"(e.g. Ramirez &amp; Savage, 2007)"},"properties":{"noteIndex":0},"schema":"https://github.com/citation-style-language/schema/raw/master/csl-citation.json"}</w:instrText>
      </w:r>
      <w:r w:rsidRPr="00F0708B">
        <w:rPr>
          <w:sz w:val="24"/>
          <w:szCs w:val="24"/>
        </w:rPr>
        <w:fldChar w:fldCharType="separate"/>
      </w:r>
      <w:r w:rsidRPr="00F0708B">
        <w:rPr>
          <w:noProof/>
          <w:sz w:val="24"/>
          <w:szCs w:val="24"/>
        </w:rPr>
        <w:t>(e.g. Ramirez &amp; Savage, 2007)</w:t>
      </w:r>
      <w:r w:rsidRPr="00F0708B">
        <w:rPr>
          <w:sz w:val="24"/>
          <w:szCs w:val="24"/>
        </w:rPr>
        <w:fldChar w:fldCharType="end"/>
      </w:r>
      <w:r w:rsidRPr="00F0708B">
        <w:rPr>
          <w:sz w:val="24"/>
          <w:szCs w:val="24"/>
        </w:rPr>
        <w:t xml:space="preserve">. </w:t>
      </w:r>
      <w:r>
        <w:rPr>
          <w:sz w:val="24"/>
          <w:szCs w:val="24"/>
        </w:rPr>
        <w:t>However</w:t>
      </w:r>
      <w:r w:rsidRPr="00F0708B">
        <w:rPr>
          <w:sz w:val="24"/>
          <w:szCs w:val="24"/>
        </w:rPr>
        <w:t xml:space="preserve">, in tasks involving simple single Pavlovian CS-US procedures and pre-training OFC lesions, performance often does not reach asymptote (e.g. after 9 days, </w:t>
      </w:r>
      <w:r w:rsidRPr="00F0708B">
        <w:rPr>
          <w:sz w:val="24"/>
          <w:szCs w:val="24"/>
        </w:rPr>
        <w:fldChar w:fldCharType="begin" w:fldLock="1"/>
      </w:r>
      <w:r w:rsidR="00305542">
        <w:rPr>
          <w:sz w:val="24"/>
          <w:szCs w:val="24"/>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learning","type":"article-journal","volume":"19"},"uris":["http://www.mendeley.com/documents/?uuid=67ba92ca-b679-407e-9f2a-7aac71c3f739"]}],"mendeley":{"formattedCitation":"(Gallagher et al., 1999)","plainTextFormattedCitation":"(Gallagher et al., 1999)","previouslyFormattedCitation":"(Gallagher et al., 1999)"},"properties":{"noteIndex":0},"schema":"https://github.com/citation-style-language/schema/raw/master/csl-citation.json"}</w:instrText>
      </w:r>
      <w:r w:rsidRPr="00F0708B">
        <w:rPr>
          <w:sz w:val="24"/>
          <w:szCs w:val="24"/>
        </w:rPr>
        <w:fldChar w:fldCharType="separate"/>
      </w:r>
      <w:r w:rsidRPr="00F0708B">
        <w:rPr>
          <w:noProof/>
          <w:sz w:val="24"/>
          <w:szCs w:val="24"/>
        </w:rPr>
        <w:t>(Gallagher et al., 1999)</w:t>
      </w:r>
      <w:r w:rsidRPr="00F0708B">
        <w:rPr>
          <w:sz w:val="24"/>
          <w:szCs w:val="24"/>
        </w:rPr>
        <w:fldChar w:fldCharType="end"/>
      </w:r>
      <w:r w:rsidRPr="00F0708B">
        <w:rPr>
          <w:sz w:val="24"/>
          <w:szCs w:val="24"/>
        </w:rPr>
        <w:t xml:space="preserve">) before proceeding to a new stage of the experiment. In Experiment 1, we did not observe any significant effects of OFC lesions on acquisition until around 15-21 days of </w:t>
      </w:r>
      <w:r w:rsidRPr="00F0708B">
        <w:rPr>
          <w:sz w:val="24"/>
          <w:szCs w:val="24"/>
        </w:rPr>
        <w:lastRenderedPageBreak/>
        <w:t xml:space="preserve">acquisition. However, after extended training Schoenbaum et al </w:t>
      </w:r>
      <w:r w:rsidRPr="00F0708B">
        <w:rPr>
          <w:sz w:val="24"/>
          <w:szCs w:val="24"/>
        </w:rPr>
        <w:fldChar w:fldCharType="begin" w:fldLock="1"/>
      </w:r>
      <w:r w:rsidR="00305542">
        <w:rPr>
          <w:sz w:val="24"/>
          <w:szCs w:val="24"/>
        </w:rPr>
        <w:instrText>ADDIN CSL_CITATION {"citationItems":[{"id":"ITEM-1","itemData":{"DOI":"Doi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Memory","id":"ITEM-1","issue":"2","issued":{"date-parts":[["2003"]]},"language":"English","page":"129-140","title":"Lesions of orbitofrontal cortex and basolateral amygdala complex disrupt acquisition of odor-guided discriminations and reversals","type":"article-journal","volume":"10"},"suppress-author":1,"uris":["http://www.mendeley.com/documents/?uuid=5ebfb22c-1f18-498d-8cd4-28e2d758f013"]}],"mendeley":{"formattedCitation":"(2003)","plainTextFormattedCitation":"(2003)","previouslyFormattedCitation":"(2003)"},"properties":{"noteIndex":0},"schema":"https://github.com/citation-style-language/schema/raw/master/csl-citation.json"}</w:instrText>
      </w:r>
      <w:r w:rsidRPr="00F0708B">
        <w:rPr>
          <w:sz w:val="24"/>
          <w:szCs w:val="24"/>
        </w:rPr>
        <w:fldChar w:fldCharType="separate"/>
      </w:r>
      <w:r w:rsidRPr="00944175">
        <w:rPr>
          <w:noProof/>
          <w:sz w:val="24"/>
          <w:szCs w:val="24"/>
        </w:rPr>
        <w:t>(2003)</w:t>
      </w:r>
      <w:r w:rsidRPr="00F0708B">
        <w:rPr>
          <w:sz w:val="24"/>
          <w:szCs w:val="24"/>
        </w:rPr>
        <w:fldChar w:fldCharType="end"/>
      </w:r>
      <w:r w:rsidRPr="00F0708B">
        <w:rPr>
          <w:sz w:val="24"/>
          <w:szCs w:val="24"/>
        </w:rPr>
        <w:t xml:space="preserve"> have reported significant effects of OFC lesions on acquisition in a simple cue-outcome go-</w:t>
      </w:r>
      <w:proofErr w:type="spellStart"/>
      <w:r w:rsidRPr="00F0708B">
        <w:rPr>
          <w:sz w:val="24"/>
          <w:szCs w:val="24"/>
        </w:rPr>
        <w:t>nogo</w:t>
      </w:r>
      <w:proofErr w:type="spellEnd"/>
      <w:r w:rsidRPr="00F0708B">
        <w:rPr>
          <w:sz w:val="24"/>
          <w:szCs w:val="24"/>
        </w:rPr>
        <w:t xml:space="preserve"> task when looking at response latencies, but not on trials-to-criterion. Therefore, the effects of pretraining lesions may not have been observed previously due to task specific parameters such as the length of training and the sensitivity of the response measures. </w:t>
      </w:r>
    </w:p>
    <w:p w14:paraId="290B121C" w14:textId="4471DEA6" w:rsidR="004B640C" w:rsidRDefault="004B640C" w:rsidP="00F04D98">
      <w:pPr>
        <w:spacing w:line="480" w:lineRule="auto"/>
        <w:ind w:firstLine="720"/>
        <w:rPr>
          <w:sz w:val="24"/>
          <w:szCs w:val="24"/>
        </w:rPr>
      </w:pPr>
      <w:r w:rsidRPr="00F0708B">
        <w:rPr>
          <w:sz w:val="24"/>
          <w:szCs w:val="24"/>
        </w:rPr>
        <w:t xml:space="preserve">Pretraining OFC lesions have been shown to disrupt Pavlovian acquisition in sign-tracking procedures in which lever insertion is used as the CS </w:t>
      </w:r>
      <w:r w:rsidRPr="00F0708B">
        <w:rPr>
          <w:sz w:val="24"/>
          <w:szCs w:val="24"/>
        </w:rPr>
        <w:fldChar w:fldCharType="begin" w:fldLock="1"/>
      </w:r>
      <w:r w:rsidRPr="00F0708B">
        <w:rPr>
          <w:sz w:val="24"/>
          <w:szCs w:val="24"/>
        </w:rPr>
        <w:instrText>ADDIN CSL_CITATION {"citationItems":[{"id":"ITEM-1","itemData":{"DOI":"23/25/8771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Neuroscience","edition":"2003/09/26","id":"ITEM-1","issue":"25","issued":{"date-parts":[["2003"]]},"language":"eng","page":"8771-8780","title":"Dissociable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cortex","type":"article-journal","volume":"23"},"uris":["http://www.mendeley.com/documents/?uuid=396d62ca-46f0-4005-9f85-62f4bb2dc6f9"]}],"mendeley":{"formattedCitation":"(Chudasama &amp; Robbins, 2003)","plainTextFormattedCitation":"(Chudasama &amp; Robbins, 2003)","previouslyFormattedCitation":"(Chudasama &amp; Robbins, 2003)"},"properties":{"noteIndex":0},"schema":"https://github.com/citation-style-language/schema/raw/master/csl-citation.json"}</w:instrText>
      </w:r>
      <w:r w:rsidRPr="00F0708B">
        <w:rPr>
          <w:sz w:val="24"/>
          <w:szCs w:val="24"/>
        </w:rPr>
        <w:fldChar w:fldCharType="separate"/>
      </w:r>
      <w:r w:rsidRPr="00F0708B">
        <w:rPr>
          <w:noProof/>
          <w:sz w:val="24"/>
          <w:szCs w:val="24"/>
        </w:rPr>
        <w:t>(Chudasama &amp; Robbins, 2003)</w:t>
      </w:r>
      <w:r w:rsidRPr="00F0708B">
        <w:rPr>
          <w:sz w:val="24"/>
          <w:szCs w:val="24"/>
        </w:rPr>
        <w:fldChar w:fldCharType="end"/>
      </w:r>
      <w:r w:rsidRPr="00F0708B">
        <w:rPr>
          <w:sz w:val="24"/>
          <w:szCs w:val="24"/>
        </w:rPr>
        <w:t xml:space="preserve">. Focal lateral OFC lesions </w:t>
      </w:r>
      <w:r w:rsidR="00034449">
        <w:rPr>
          <w:sz w:val="24"/>
          <w:szCs w:val="24"/>
        </w:rPr>
        <w:t xml:space="preserve">also </w:t>
      </w:r>
      <w:r w:rsidRPr="00F0708B">
        <w:rPr>
          <w:sz w:val="24"/>
          <w:szCs w:val="24"/>
        </w:rPr>
        <w:t xml:space="preserve">significantly impair sign-tracking behaviour (i.e. engaging with the lever cue), and bias behaviour towards goal-tacking (i.e. approaching the magazine) </w:t>
      </w:r>
      <w:r w:rsidRPr="00F0708B">
        <w:rPr>
          <w:sz w:val="24"/>
          <w:szCs w:val="24"/>
        </w:rPr>
        <w:fldChar w:fldCharType="begin" w:fldLock="1"/>
      </w:r>
      <w:r w:rsidRPr="00F0708B">
        <w:rPr>
          <w:sz w:val="24"/>
          <w:szCs w:val="24"/>
        </w:rPr>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Pr="00F0708B">
        <w:rPr>
          <w:sz w:val="24"/>
          <w:szCs w:val="24"/>
        </w:rPr>
        <w:fldChar w:fldCharType="separate"/>
      </w:r>
      <w:r w:rsidRPr="00F0708B">
        <w:rPr>
          <w:noProof/>
          <w:sz w:val="24"/>
          <w:szCs w:val="24"/>
        </w:rPr>
        <w:t>(Panayi &amp; Killcross, 2018)</w:t>
      </w:r>
      <w:r w:rsidRPr="00F0708B">
        <w:rPr>
          <w:sz w:val="24"/>
          <w:szCs w:val="24"/>
        </w:rPr>
        <w:fldChar w:fldCharType="end"/>
      </w:r>
      <w:r w:rsidRPr="00F0708B">
        <w:rPr>
          <w:sz w:val="24"/>
          <w:szCs w:val="24"/>
        </w:rPr>
        <w:t xml:space="preserve">. </w:t>
      </w:r>
      <w:r w:rsidR="004B0216">
        <w:rPr>
          <w:sz w:val="24"/>
          <w:szCs w:val="24"/>
        </w:rPr>
        <w:t>T</w:t>
      </w:r>
      <w:r w:rsidRPr="00F0708B">
        <w:rPr>
          <w:sz w:val="24"/>
          <w:szCs w:val="24"/>
        </w:rPr>
        <w:t>he</w:t>
      </w:r>
      <w:r w:rsidR="004B0216">
        <w:rPr>
          <w:sz w:val="24"/>
          <w:szCs w:val="24"/>
        </w:rPr>
        <w:t xml:space="preserve"> present</w:t>
      </w:r>
      <w:r w:rsidRPr="00F0708B">
        <w:rPr>
          <w:sz w:val="24"/>
          <w:szCs w:val="24"/>
        </w:rPr>
        <w:t xml:space="preserve"> findings that</w:t>
      </w:r>
      <w:r w:rsidR="004B0216">
        <w:rPr>
          <w:sz w:val="24"/>
          <w:szCs w:val="24"/>
        </w:rPr>
        <w:t xml:space="preserve"> pre-training</w:t>
      </w:r>
      <w:r w:rsidRPr="00F0708B">
        <w:rPr>
          <w:sz w:val="24"/>
          <w:szCs w:val="24"/>
        </w:rPr>
        <w:t xml:space="preserve"> OFC lesions enhanced behaviour focused </w:t>
      </w:r>
      <w:proofErr w:type="gramStart"/>
      <w:r w:rsidRPr="00F0708B">
        <w:rPr>
          <w:sz w:val="24"/>
          <w:szCs w:val="24"/>
        </w:rPr>
        <w:t>toward</w:t>
      </w:r>
      <w:proofErr w:type="gramEnd"/>
      <w:r w:rsidRPr="00F0708B">
        <w:rPr>
          <w:sz w:val="24"/>
          <w:szCs w:val="24"/>
        </w:rPr>
        <w:t xml:space="preserve"> the magazine</w:t>
      </w:r>
      <w:r w:rsidR="004B0216">
        <w:rPr>
          <w:sz w:val="24"/>
          <w:szCs w:val="24"/>
        </w:rPr>
        <w:t xml:space="preserve"> is consistent with </w:t>
      </w:r>
      <w:r w:rsidR="002800FD">
        <w:rPr>
          <w:sz w:val="24"/>
          <w:szCs w:val="24"/>
        </w:rPr>
        <w:t>a deficit in sign-tracking and a bias towards goal-tracking</w:t>
      </w:r>
      <w:r w:rsidRPr="00F0708B">
        <w:rPr>
          <w:sz w:val="24"/>
          <w:szCs w:val="24"/>
        </w:rPr>
        <w:t>.</w:t>
      </w:r>
      <w:r w:rsidR="00A866ED">
        <w:rPr>
          <w:sz w:val="24"/>
          <w:szCs w:val="24"/>
        </w:rPr>
        <w:t xml:space="preserve"> </w:t>
      </w:r>
    </w:p>
    <w:p w14:paraId="2EADFC97" w14:textId="51FD4A43" w:rsidR="0006340D" w:rsidRPr="00F0708B" w:rsidRDefault="0006340D" w:rsidP="00F04D98">
      <w:pPr>
        <w:spacing w:line="480" w:lineRule="auto"/>
        <w:ind w:firstLine="720"/>
        <w:rPr>
          <w:sz w:val="24"/>
          <w:szCs w:val="24"/>
        </w:rPr>
      </w:pPr>
      <w:r w:rsidRPr="00F0708B">
        <w:rPr>
          <w:sz w:val="24"/>
          <w:szCs w:val="24"/>
        </w:rPr>
        <w:t xml:space="preserve">In contrast to pre-training lesions, post-training OFC inactivation/lesions normally coincide with changes in experimental phase and continued acquisition is not assessed. In tasks in which OFC inactivation coincides with a change in experimental stage, the effects of OFC inactivation are consistent with an impairment in subsequent acquisition </w:t>
      </w:r>
      <w:r w:rsidRPr="00F0708B">
        <w:rPr>
          <w:sz w:val="24"/>
          <w:szCs w:val="24"/>
        </w:rPr>
        <w:fldChar w:fldCharType="begin" w:fldLock="1"/>
      </w:r>
      <w:r w:rsidR="00305542">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0708B">
        <w:rPr>
          <w:sz w:val="24"/>
          <w:szCs w:val="24"/>
        </w:rPr>
        <w:fldChar w:fldCharType="separate"/>
      </w:r>
      <w:r w:rsidRPr="00F0708B">
        <w:rPr>
          <w:noProof/>
          <w:sz w:val="24"/>
          <w:szCs w:val="24"/>
        </w:rPr>
        <w:t>(2009)</w:t>
      </w:r>
      <w:r w:rsidRPr="00F0708B">
        <w:rPr>
          <w:sz w:val="24"/>
          <w:szCs w:val="24"/>
        </w:rPr>
        <w:fldChar w:fldCharType="end"/>
      </w:r>
      <w:r w:rsidRPr="00F0708B">
        <w:rPr>
          <w:sz w:val="24"/>
          <w:szCs w:val="24"/>
        </w:rPr>
        <w:t xml:space="preserve">. For example, Burke et al </w:t>
      </w:r>
      <w:r w:rsidRPr="00F0708B">
        <w:rPr>
          <w:sz w:val="24"/>
          <w:szCs w:val="24"/>
        </w:rPr>
        <w:fldChar w:fldCharType="begin" w:fldLock="1"/>
      </w:r>
      <w:r w:rsidR="00305542">
        <w:rPr>
          <w:sz w:val="24"/>
          <w:szCs w:val="24"/>
        </w:rPr>
        <w:instrText>ADDIN CSL_CITATION {"citationItems":[{"id":"ITEM-1","itemData":{"DOI":"DOI 10.1111/j.1460-9568.2009.06992.x","ISBN":"0953-816X","author":[{"dropping-particle":"","family":"Burke","given":"K A","non-dropping-particle":"","parse-names":false,"suffix":""},{"dropping-particle":"","family":"Takahashi","given":"Yuji K.","non-dropping-particle":"","parse-names":false,"suffix":""},{"dropping-particle":"","family":"Correll","given":"J","non-dropping-particle":"","parse-names":false,"suffix":""},{"dropping-particle":"","family":"Brown","given":"P L","non-dropping-particle":"","parse-names":false,"suffix":""},{"dropping-particle":"","family":"Schoenbaum","given":"G.","non-dropping-particle":"","parse-names":false,"suffix":""}],"container-title":"European Journal of Neuroscience","id":"ITEM-1","issue":"10","issued":{"date-parts":[["2009"]]},"language":"English","page":"1941-1946","title":"Orbitofrontal inactivation impairs reversal of Pavlovian learning by interfering with 'disinhibition' of responding for previously unrewarded cues","type":"article-journal","volume":"30"},"suppress-author":1,"uris":["http://www.mendeley.com/documents/?uuid=cb3144c1-d868-4917-b629-be1578bd0486"]}],"mendeley":{"formattedCitation":"(2009)","plainTextFormattedCitation":"(2009)","previouslyFormattedCitation":"(2009)"},"properties":{"noteIndex":0},"schema":"https://github.com/citation-style-language/schema/raw/master/csl-citation.json"}</w:instrText>
      </w:r>
      <w:r w:rsidRPr="00F0708B">
        <w:rPr>
          <w:sz w:val="24"/>
          <w:szCs w:val="24"/>
        </w:rPr>
        <w:fldChar w:fldCharType="separate"/>
      </w:r>
      <w:r w:rsidRPr="00F0708B">
        <w:rPr>
          <w:noProof/>
          <w:sz w:val="24"/>
          <w:szCs w:val="24"/>
        </w:rPr>
        <w:t>(2009)</w:t>
      </w:r>
      <w:r w:rsidRPr="00F0708B">
        <w:rPr>
          <w:sz w:val="24"/>
          <w:szCs w:val="24"/>
        </w:rPr>
        <w:fldChar w:fldCharType="end"/>
      </w:r>
      <w:r w:rsidRPr="00F0708B">
        <w:rPr>
          <w:sz w:val="24"/>
          <w:szCs w:val="24"/>
        </w:rPr>
        <w:t xml:space="preserve"> found that post-training OFC inactivation impaired acquisition to a Pavlovian CS in reversal task. Similarly, Takahashi et al </w:t>
      </w:r>
      <w:bookmarkStart w:id="0" w:name="_Hlk49865003"/>
      <w:r w:rsidRPr="00F0708B">
        <w:rPr>
          <w:sz w:val="24"/>
          <w:szCs w:val="24"/>
        </w:rPr>
        <w:fldChar w:fldCharType="begin" w:fldLock="1"/>
      </w:r>
      <w:r w:rsidR="00305542">
        <w:rPr>
          <w:sz w:val="24"/>
          <w:szCs w:val="24"/>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suppress-author":1,"uris":["http://www.mendeley.com/documents/?uuid=630ecaa0-8f06-4897-802f-f08a30b8c04d"]}],"mendeley":{"formattedCitation":"(2009)","plainTextFormattedCitation":"(2009)","previouslyFormattedCitation":"(2009)"},"properties":{"noteIndex":0},"schema":"https://github.com/citation-style-language/schema/raw/master/csl-citation.json"}</w:instrText>
      </w:r>
      <w:r w:rsidRPr="00F0708B">
        <w:rPr>
          <w:sz w:val="24"/>
          <w:szCs w:val="24"/>
        </w:rPr>
        <w:fldChar w:fldCharType="separate"/>
      </w:r>
      <w:r w:rsidRPr="00F0708B">
        <w:rPr>
          <w:noProof/>
          <w:sz w:val="24"/>
          <w:szCs w:val="24"/>
        </w:rPr>
        <w:t>(2009)</w:t>
      </w:r>
      <w:r w:rsidRPr="00F0708B">
        <w:rPr>
          <w:sz w:val="24"/>
          <w:szCs w:val="24"/>
        </w:rPr>
        <w:fldChar w:fldCharType="end"/>
      </w:r>
      <w:bookmarkEnd w:id="0"/>
      <w:r w:rsidRPr="00F0708B">
        <w:rPr>
          <w:sz w:val="24"/>
          <w:szCs w:val="24"/>
        </w:rPr>
        <w:t xml:space="preserve"> found that OFC inactivation during a Pavlovian over-expectation task disrupted new learning. Therefore, the robust effect of impaired acquisition following post-training OFC inactivation that we report is consistent with impaired subsequent acquisition in tasks with more complex manipulations.</w:t>
      </w:r>
    </w:p>
    <w:p w14:paraId="217DE6E4" w14:textId="77777777" w:rsidR="00CC02A5" w:rsidRPr="00F0708B" w:rsidRDefault="00CC02A5" w:rsidP="00F04D98">
      <w:pPr>
        <w:pStyle w:val="BodyText"/>
        <w:spacing w:line="480" w:lineRule="auto"/>
        <w:rPr>
          <w:b/>
          <w:bCs/>
        </w:rPr>
      </w:pPr>
      <w:r w:rsidRPr="00F0708B">
        <w:rPr>
          <w:b/>
          <w:bCs/>
        </w:rPr>
        <w:lastRenderedPageBreak/>
        <w:t>Lateral OFC is not necessary for learning the predictive CS-US relationship</w:t>
      </w:r>
    </w:p>
    <w:p w14:paraId="760F8D0B" w14:textId="2A82C299" w:rsidR="00CC02A5" w:rsidRPr="00F0708B" w:rsidRDefault="00CC02A5" w:rsidP="00F04D98">
      <w:pPr>
        <w:spacing w:line="480" w:lineRule="auto"/>
        <w:rPr>
          <w:sz w:val="24"/>
          <w:szCs w:val="24"/>
        </w:rPr>
      </w:pPr>
      <w:r w:rsidRPr="00F0708B">
        <w:rPr>
          <w:sz w:val="24"/>
          <w:szCs w:val="24"/>
        </w:rPr>
        <w:t xml:space="preserve">Post-training OFC inactivation significantly impaired acquisition behaviour (Experiment 2), and this disruption was more profound when inactivation occurred earlier in training and </w:t>
      </w:r>
      <w:r>
        <w:rPr>
          <w:sz w:val="24"/>
          <w:szCs w:val="24"/>
        </w:rPr>
        <w:t xml:space="preserve">more likely to persist </w:t>
      </w:r>
      <w:r w:rsidRPr="00F0708B">
        <w:rPr>
          <w:sz w:val="24"/>
          <w:szCs w:val="24"/>
        </w:rPr>
        <w:t>after OFC function returned (</w:t>
      </w:r>
      <w:r w:rsidR="009355EF">
        <w:rPr>
          <w:sz w:val="24"/>
          <w:szCs w:val="24"/>
        </w:rPr>
        <w:t>Supplementary Experiment 2</w:t>
      </w:r>
      <w:r w:rsidRPr="00F0708B">
        <w:rPr>
          <w:sz w:val="24"/>
          <w:szCs w:val="24"/>
        </w:rPr>
        <w:t xml:space="preserve">). This </w:t>
      </w:r>
      <w:r>
        <w:rPr>
          <w:sz w:val="24"/>
          <w:szCs w:val="24"/>
        </w:rPr>
        <w:t xml:space="preserve">seems to </w:t>
      </w:r>
      <w:r w:rsidRPr="00F0708B">
        <w:rPr>
          <w:sz w:val="24"/>
          <w:szCs w:val="24"/>
        </w:rPr>
        <w:t xml:space="preserve">suggest that learning about the CS-US relationship was disrupted. The idea that the OFC </w:t>
      </w:r>
      <w:r>
        <w:rPr>
          <w:sz w:val="24"/>
          <w:szCs w:val="24"/>
        </w:rPr>
        <w:t>could be</w:t>
      </w:r>
      <w:r w:rsidRPr="00F0708B">
        <w:rPr>
          <w:sz w:val="24"/>
          <w:szCs w:val="24"/>
        </w:rPr>
        <w:t xml:space="preserve"> involved in learning is also consistent with a role for the OFC in the representation of expected values </w:t>
      </w:r>
      <w:r>
        <w:rPr>
          <w:sz w:val="24"/>
          <w:szCs w:val="24"/>
        </w:rPr>
        <w:fldChar w:fldCharType="begin" w:fldLock="1"/>
      </w:r>
      <w:r w:rsidR="00234420">
        <w:rPr>
          <w:sz w:val="24"/>
          <w:szCs w:val="24"/>
        </w:rPr>
        <w:instrText>ADDIN CSL_CITATION {"citationItems":[{"id":"ITEM-1","itemData":{"DOI":"10.1016/J.NLM.2018.01.013","ISSN":"1074-7427","abstract":"Neurons in the orbitofrontal cortex (OFC) fire in anticipation of and during rewards. Such firing has been suggested to encode reward predictions and to account in some way for the role of this area in adaptive behavior and learning. However, it has also been reported that neural activity in OFC reflects reward prediction errors, which might drive learning directly. Here we tested this question by analyzing the firing of OFC neurons recorded in an odor discrimination task in which rats were trained to sample odor cues and respond left or right on each trial for reward. Neurons were recorded across blocks of trials in which we switched either the number or the flavor of the reward delivered in each well. Previously we have described how neurons in this dataset fired to the predictive cues (Stalnaker et al., 2014); here we focused on the firing in anticipation of and just after delivery of each drop of reward, looking specifically for differences in firing based on whether the reward number or flavor was unexpected or expected. Unlike dopamine neurons recorded in this setting, which exhibited phasic error-like responses after surprising changes in either reward number or reward flavor (Takahashi et al., 2017), OFC neurons showed no such error correlates and instead fired in a way that reflected reward predictions.","author":[{"dropping-particle":"","family":"Stalnaker","given":"Thomas A","non-dropping-particle":"","parse-names":false,"suffix":""},{"dropping-particle":"","family":"Liu","given":"Tzu-Lan","non-dropping-particle":"","parse-names":false,"suffix":""},{"dropping-particle":"","family":"Takahashi","given":"Yuji K.","non-dropping-particle":"","parse-names":false,"suffix":""},{"dropping-particle":"","family":"Schoenbaum","given":"G.","non-dropping-particle":"","parse-names":false,"suffix":""}],"container-title":"Neurobiology of Learning and Memory","id":"ITEM-1","issued":{"date-parts":[["2018","9","1"]]},"page":"137-143","publisher":"Academic Press","title":"Orbitofrontal neurons signal reward predictions, not reward prediction errors","type":"article-journal","volume":"153"},"uris":["http://www.mendeley.com/documents/?uuid=43fadacb-6130-3590-ae68-7a395212496f"]},{"id":"ITEM-2","itemData":{"DOI":"Doi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-2","issue":"7202","issued":{"date-parts":[["2008"]]},"language":"English","page":"340-U45","title":"The role of the orbitofrontal cortex in the pursuit of happiness and more specific rewards","type":"article-journal","volume":"454"},"uris":["http://www.mendeley.com/documents/?uuid=c3367cf0-c4f1-419c-80b8-0bb9c2afd479"]},{"id":"ITEM-3","itemData":{"DOI":"10.1111/j.1749-6632.2011.06210.x","ISBN":"1749-6632","author":[{"dropping-particle":"","family":"Schoenbaum","given":"G.","non-dropping-particle":"","parse-names":false,"suffix":""},{"dropping-particle":"","family":"Takahashi","given":"Yuji K.","non-dropping-particle":"","parse-names":false,"suffix":""},{"dropping-particle":"","family":"Liu","given":"T","non-dropping-particle":"","parse-names":false,"suffix":""},{"dropping-particle":"","family":"McDannald","given":"Michael A","non-dropping-particle":"","parse-names":false,"suffix":""}],"container-title":"Ann N Y Acad Sci","id":"ITEM-3","issue":"1","issued":{"date-parts":[["2011"]]},"page":"87-99","publisher":"Blackwell Publishing Inc","title":"Does the orbitofrontal cortex signal value?","type":"article-journal","volume":"1239"},"uris":["http://www.mendeley.com/documents/?uuid=3f415e73-ab30-4798-887c-7839b634b28e"]}],"mendeley":{"formattedCitation":"(Burke et al., 2008; Schoenbaum et al., 2011; Stalnaker et al., 2018)","plainTextFormattedCitation":"(Burke et al., 2008; Schoenbaum et al., 2011; Stalnaker et al., 2018)","previouslyFormattedCitation":"(Burke et al., 2008; Schoenbaum et al., 2011; Stalnaker et al., 2018)"},"properties":{"noteIndex":0},"schema":"https://github.com/citation-style-language/schema/raw/master/csl-citation.json"}</w:instrText>
      </w:r>
      <w:r>
        <w:rPr>
          <w:sz w:val="24"/>
          <w:szCs w:val="24"/>
        </w:rPr>
        <w:fldChar w:fldCharType="separate"/>
      </w:r>
      <w:r w:rsidR="00305542" w:rsidRPr="00305542">
        <w:rPr>
          <w:noProof/>
          <w:sz w:val="24"/>
          <w:szCs w:val="24"/>
        </w:rPr>
        <w:t>(Burke et al., 2008; Schoenbaum et al., 2011; Stalnaker et al., 2018)</w:t>
      </w:r>
      <w:r>
        <w:rPr>
          <w:sz w:val="24"/>
          <w:szCs w:val="24"/>
        </w:rPr>
        <w:fldChar w:fldCharType="end"/>
      </w:r>
      <w:r w:rsidRPr="00F0708B">
        <w:rPr>
          <w:sz w:val="24"/>
          <w:szCs w:val="24"/>
        </w:rPr>
        <w:t xml:space="preserve"> which influence mid-brain dopaminergic prediction errors </w:t>
      </w:r>
      <w:r>
        <w:rPr>
          <w:sz w:val="24"/>
          <w:szCs w:val="24"/>
        </w:rPr>
        <w:fldChar w:fldCharType="begin" w:fldLock="1"/>
      </w:r>
      <w:r w:rsidR="00305542">
        <w:rPr>
          <w:sz w:val="24"/>
          <w:szCs w:val="24"/>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 2011)","plainTextFormattedCitation":"(Takahashi et al., 2009, 2011)","previouslyFormattedCitation":"(Takahashi et al., 2009, 2011)"},"properties":{"noteIndex":0},"schema":"https://github.com/citation-style-language/schema/raw/master/csl-citation.json"}</w:instrText>
      </w:r>
      <w:r>
        <w:rPr>
          <w:sz w:val="24"/>
          <w:szCs w:val="24"/>
        </w:rPr>
        <w:fldChar w:fldCharType="separate"/>
      </w:r>
      <w:r w:rsidRPr="00452A1C">
        <w:rPr>
          <w:noProof/>
          <w:sz w:val="24"/>
          <w:szCs w:val="24"/>
        </w:rPr>
        <w:t>(Takahashi et al., 2009, 2011)</w:t>
      </w:r>
      <w:r>
        <w:rPr>
          <w:sz w:val="24"/>
          <w:szCs w:val="24"/>
        </w:rPr>
        <w:fldChar w:fldCharType="end"/>
      </w:r>
      <w:r w:rsidRPr="00F0708B">
        <w:rPr>
          <w:sz w:val="24"/>
          <w:szCs w:val="24"/>
        </w:rPr>
        <w:t xml:space="preserve">, known to be necessary for Pavlovian learning </w:t>
      </w:r>
      <w:r>
        <w:rPr>
          <w:sz w:val="24"/>
          <w:szCs w:val="24"/>
        </w:rPr>
        <w:fldChar w:fldCharType="begin" w:fldLock="1"/>
      </w:r>
      <w:r w:rsidR="00305542">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learning","type":"article-journal","volume":"16"},"uris":["http://www.mendeley.com/documents/?uuid=721f625d-09d6-42e2-82ad-124b5a1bfbdf"]},{"id":"ITEM-2","itemData":{"DOI":"10.1038/nn.4538","ISSN":"1097-6256","PMID":"28368385","abstract":"Associative learning is driven by prediction errors. Dopamine transients correlate with these errors, which current interpretations limit to endowing cues with a scalar quantity reflecting the value of future rewards. We tested whether dopamine might act more broadly to support learning of an associative model of the environment. Using sensory preconditioning, we show that prediction errors underlying stimulus-stimulus learning can be blocked behaviorally and reinstated by optogenetically activating dopamine neurons. We further show that suppressing the firing of these neurons across the transition prevents normal stimulus-stimulus learning. These results establish that the acquisition of model-based information about transitions between nonrewarding events is also driven by prediction errors and that, contrary to existing canon, dopamine transients are both sufficient and necessary to support this type of learning. Our findings open new possibilities for how these biological signals might support associative learning in the mammalian brain in these and other contexts.","author":[{"dropping-particle":"","family":"Sharpe","given":"Melissa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Neuroscience","id":"ITEM-2","issued":{"date-parts":[["2017","4","3"]]},"title":"Dopamine transients are sufficient and necessary for acquisition of model-based associations","type":"article-journal"},"uris":["http://www.mendeley.com/documents/?uuid=48d4bb6c-3028-3cca-b37b-e1e61b4d540a"]}],"mendeley":{"formattedCitation":"(Sharpe et al., 2017a; Steinberg et al., 2013)","plainTextFormattedCitation":"(Sharpe et al., 2017a; Steinberg et al., 2013)","previouslyFormattedCitation":"(Sharpe et al., 2017a; Steinberg et al., 2013)"},"properties":{"noteIndex":0},"schema":"https://github.com/citation-style-language/schema/raw/master/csl-citation.json"}</w:instrText>
      </w:r>
      <w:r>
        <w:rPr>
          <w:sz w:val="24"/>
          <w:szCs w:val="24"/>
        </w:rPr>
        <w:fldChar w:fldCharType="separate"/>
      </w:r>
      <w:r w:rsidRPr="005A4B5E">
        <w:rPr>
          <w:noProof/>
          <w:sz w:val="24"/>
          <w:szCs w:val="24"/>
        </w:rPr>
        <w:t>(Sharpe et al., 2017a; Steinberg et al., 2013)</w:t>
      </w:r>
      <w:r>
        <w:rPr>
          <w:sz w:val="24"/>
          <w:szCs w:val="24"/>
        </w:rPr>
        <w:fldChar w:fldCharType="end"/>
      </w:r>
      <w:r w:rsidRPr="00F0708B">
        <w:rPr>
          <w:sz w:val="24"/>
          <w:szCs w:val="24"/>
        </w:rPr>
        <w:t xml:space="preserve">. </w:t>
      </w:r>
    </w:p>
    <w:p w14:paraId="4DA2E57E" w14:textId="529502E1" w:rsidR="00CC02A5" w:rsidRPr="00F0708B" w:rsidRDefault="00CC02A5" w:rsidP="00F04D98">
      <w:pPr>
        <w:spacing w:line="480" w:lineRule="auto"/>
        <w:ind w:firstLine="720"/>
        <w:rPr>
          <w:sz w:val="24"/>
          <w:szCs w:val="24"/>
        </w:rPr>
      </w:pPr>
      <w:r w:rsidRPr="00F0708B">
        <w:rPr>
          <w:sz w:val="24"/>
          <w:szCs w:val="24"/>
        </w:rPr>
        <w:t xml:space="preserve">Unexpectedly, the </w:t>
      </w:r>
      <w:r>
        <w:rPr>
          <w:sz w:val="24"/>
          <w:szCs w:val="24"/>
        </w:rPr>
        <w:t>impaired</w:t>
      </w:r>
      <w:r w:rsidRPr="00F0708B">
        <w:rPr>
          <w:sz w:val="24"/>
          <w:szCs w:val="24"/>
        </w:rPr>
        <w:t xml:space="preserve"> acquisition we observed </w:t>
      </w:r>
      <w:r>
        <w:rPr>
          <w:sz w:val="24"/>
          <w:szCs w:val="24"/>
        </w:rPr>
        <w:t xml:space="preserve">following post-training OFC </w:t>
      </w:r>
      <w:r w:rsidR="00857720">
        <w:rPr>
          <w:sz w:val="24"/>
          <w:szCs w:val="24"/>
        </w:rPr>
        <w:t>disruption</w:t>
      </w:r>
      <w:r>
        <w:rPr>
          <w:sz w:val="24"/>
          <w:szCs w:val="24"/>
        </w:rPr>
        <w:t xml:space="preserve"> </w:t>
      </w:r>
      <w:r w:rsidRPr="00F0708B">
        <w:rPr>
          <w:sz w:val="24"/>
          <w:szCs w:val="24"/>
        </w:rPr>
        <w:t xml:space="preserve">did not disrupt the ability of the CS to block learning about a novel cue (Experiment </w:t>
      </w:r>
      <w:r w:rsidR="0032309D">
        <w:rPr>
          <w:sz w:val="24"/>
          <w:szCs w:val="24"/>
        </w:rPr>
        <w:t>3</w:t>
      </w:r>
      <w:r>
        <w:rPr>
          <w:sz w:val="24"/>
          <w:szCs w:val="24"/>
        </w:rPr>
        <w:t>, Figure 3</w:t>
      </w:r>
      <w:r w:rsidRPr="00F0708B">
        <w:rPr>
          <w:sz w:val="24"/>
          <w:szCs w:val="24"/>
        </w:rPr>
        <w:t xml:space="preserve">), </w:t>
      </w:r>
      <w:r>
        <w:rPr>
          <w:sz w:val="24"/>
          <w:szCs w:val="24"/>
        </w:rPr>
        <w:t>despite significantly impaired</w:t>
      </w:r>
      <w:r w:rsidRPr="00F0708B">
        <w:rPr>
          <w:sz w:val="24"/>
          <w:szCs w:val="24"/>
        </w:rPr>
        <w:t xml:space="preserve"> performance post-inactivation (</w:t>
      </w:r>
      <w:r>
        <w:rPr>
          <w:sz w:val="24"/>
          <w:szCs w:val="24"/>
        </w:rPr>
        <w:t xml:space="preserve">Figure 3-figure supplement </w:t>
      </w:r>
      <w:r w:rsidR="00DA224B">
        <w:rPr>
          <w:sz w:val="24"/>
          <w:szCs w:val="24"/>
        </w:rPr>
        <w:t>4</w:t>
      </w:r>
      <w:r>
        <w:rPr>
          <w:sz w:val="24"/>
          <w:szCs w:val="24"/>
        </w:rPr>
        <w:t>; Muscimol AB is as low as Saline CD which does not show evidence of blocking)</w:t>
      </w:r>
      <w:r w:rsidRPr="00F0708B">
        <w:rPr>
          <w:sz w:val="24"/>
          <w:szCs w:val="24"/>
        </w:rPr>
        <w:t xml:space="preserve">. </w:t>
      </w:r>
      <w:r>
        <w:rPr>
          <w:sz w:val="24"/>
          <w:szCs w:val="24"/>
        </w:rPr>
        <w:t>This is surprising given that i</w:t>
      </w:r>
      <w:r w:rsidRPr="00F0708B">
        <w:rPr>
          <w:sz w:val="24"/>
          <w:szCs w:val="24"/>
        </w:rPr>
        <w:t>n some Pavlovian learning contexts, levels of behavioural expression can dictate the extent to which learning occurs</w:t>
      </w:r>
      <w:r>
        <w:rPr>
          <w:sz w:val="24"/>
          <w:szCs w:val="24"/>
        </w:rPr>
        <w:t xml:space="preserve"> </w:t>
      </w:r>
      <w:r>
        <w:rPr>
          <w:sz w:val="24"/>
          <w:szCs w:val="24"/>
        </w:rPr>
        <w:fldChar w:fldCharType="begin" w:fldLock="1"/>
      </w:r>
      <w:r>
        <w:rPr>
          <w:sz w:val="24"/>
          <w:szCs w:val="24"/>
        </w:rPr>
        <w:instrText>ADDIN CSL_CITATION {"citationItems":[{"id":"ITEM-1","itemData":{"DOI":"Doi 10.1080/02724990344000097","ISBN":"0272-4995","author":[{"dropping-particle":"","family":"Delamater","given":"A R","non-dropping-particle":"","parse-names":false,"suffix":""}],"container-title":"Quarterly Journal of Experimental Psychology Section B-Comparative and Physiological Psychology","id":"ITEM-1","issue":"2","issued":{"date-parts":[["2004"]]},"language":"English","page":"97-132","title":"Experimental extinction in Pavlovian conditioning: Behavioural and neuroscience perspectives","type":"article-journal","volume":"57"},"uris":["http://www.mendeley.com/documents/?uuid=fae656f0-de69-47f7-b6cc-46862480c4de"]}],"mendeley":{"formattedCitation":"(Delamater, 2004)","plainTextFormattedCitation":"(Delamater, 2004)","previouslyFormattedCitation":"(Delamater, 2004)"},"properties":{"noteIndex":0},"schema":"https://github.com/citation-style-language/schema/raw/master/csl-citation.json"}</w:instrText>
      </w:r>
      <w:r>
        <w:rPr>
          <w:sz w:val="24"/>
          <w:szCs w:val="24"/>
        </w:rPr>
        <w:fldChar w:fldCharType="separate"/>
      </w:r>
      <w:r w:rsidRPr="00661D73">
        <w:rPr>
          <w:noProof/>
          <w:sz w:val="24"/>
          <w:szCs w:val="24"/>
        </w:rPr>
        <w:t>(Delamater, 2004)</w:t>
      </w:r>
      <w:r>
        <w:rPr>
          <w:sz w:val="24"/>
          <w:szCs w:val="24"/>
        </w:rPr>
        <w:fldChar w:fldCharType="end"/>
      </w:r>
      <w:r w:rsidRPr="00F0708B">
        <w:rPr>
          <w:sz w:val="24"/>
          <w:szCs w:val="24"/>
        </w:rPr>
        <w:t xml:space="preserve">. This finding highlights the importance of using multiple </w:t>
      </w:r>
      <w:r>
        <w:rPr>
          <w:sz w:val="24"/>
          <w:szCs w:val="24"/>
        </w:rPr>
        <w:t>tests</w:t>
      </w:r>
      <w:r w:rsidRPr="00F0708B">
        <w:rPr>
          <w:sz w:val="24"/>
          <w:szCs w:val="24"/>
        </w:rPr>
        <w:t xml:space="preserve"> of learning </w:t>
      </w:r>
      <w:r>
        <w:rPr>
          <w:sz w:val="24"/>
          <w:szCs w:val="24"/>
        </w:rPr>
        <w:fldChar w:fldCharType="begin" w:fldLock="1"/>
      </w:r>
      <w:r>
        <w:rPr>
          <w:sz w:val="24"/>
          <w:szCs w:val="24"/>
        </w:rPr>
        <w:instrText>ADDIN CSL_CITATION {"citationItems":[{"id":"ITEM-1","itemData":{"DOI":"10.1037/0097-7403.28.4.406","ISSN":"1939-2184","abstract":"Five experiments used a compound test procedure to compare the rate parameters for the associative changes resulting from reinforcement and nonreinforcement. Experiments I and 4, using a magazineapproach procedure in rats, found initial acquisition to proceed more rapidly but to generalize less broadly than extinction. Experiments 2 and 5 repeated these observations in an autoshaping preparation with pigeons. Experiment 3 found no evidence for differential disruption of acquisition and extinction in testing. These results were obtained in a test procedure that compares responding with stimulus compounds in order to remove the differences in overall performance, which have complicated inferences about associative changes in earlier experiments.","author":[{"dropping-particle":"","family":"Rescorla","given":"R A","non-dropping-particle":"","parse-names":false,"suffix":""}],"container-title":"Journal of Experimental Psychology: Animal Behavior Processes","id":"ITEM-1","issue":"4","issued":{"date-parts":[["2002"]]},"page":"406-415","title":"Comparison of the rates of associative change during acquisition and extinction.","type":"article-journal","volume":"28"},"uris":["http://www.mendeley.com/documents/?uuid=101b0730-0bf4-484f-9891-45f26101c150"]},{"id":"ITEM-2","itemData":{"DOI":"10.1037/0097-7403.28.4.369","ISBN":"0097-7403","ISSN":"1939-2184","abstract":"Three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procedures.","author":[{"dropping-particle":"","family":"Rescorla","given":"R A","non-dropping-particle":"","parse-names":false,"suffix":""}],"container-title":"Journal of Experimental Psychology: Animal Behavior Processes","id":"ITEM-2","issue":"4","issued":{"date-parts":[["2002"]]},"note":"(editor)\nThree experiments used a Pavlovian magazine-approach procedure in rats to explore, in 3 theoretically interesting cases, the inferences made from savings tests. In each experiment, a compound test procedure allowed the separation of differences in rate of acquiring new associative learning from differences in initial level of associative strength. Experiment 1 found that the slower acquisition after prior nonreinforced exposure (latent inhibition) reflected differences in learning rate, not initial level. By contrast, Experiments 2 and 3 found that the higher performance observed to a previously trained and extinguished stimulus, and lower performance observed to a conditioned inhibitor, both arose primarily because of differences in initial associative value. These experiments illustrate the usefulness of a novel testing procedure in sharpening the conclusions from savings procedures.","page":"369-377","title":"Savings tests: Separating differences in rate of learning from differences in initial levels.","type":"article-journal","volume":"28"},"uris":["http://www.mendeley.com/documents/?uuid=4885467f-f2d0-4c54-bef4-8d81d0470fbf"]}],"mendeley":{"formattedCitation":"(Rescorla, 2002a, 2002b)","plainTextFormattedCitation":"(Rescorla, 2002a, 2002b)","previouslyFormattedCitation":"(Rescorla, 2002a, 2002b)"},"properties":{"noteIndex":0},"schema":"https://github.com/citation-style-language/schema/raw/master/csl-citation.json"}</w:instrText>
      </w:r>
      <w:r>
        <w:rPr>
          <w:sz w:val="24"/>
          <w:szCs w:val="24"/>
        </w:rPr>
        <w:fldChar w:fldCharType="separate"/>
      </w:r>
      <w:r w:rsidRPr="006159CE">
        <w:rPr>
          <w:noProof/>
          <w:sz w:val="24"/>
          <w:szCs w:val="24"/>
        </w:rPr>
        <w:t>(Rescorla, 2002a, 2002b)</w:t>
      </w:r>
      <w:r>
        <w:rPr>
          <w:sz w:val="24"/>
          <w:szCs w:val="24"/>
        </w:rPr>
        <w:fldChar w:fldCharType="end"/>
      </w:r>
      <w:r>
        <w:rPr>
          <w:sz w:val="24"/>
          <w:szCs w:val="24"/>
        </w:rPr>
        <w:t xml:space="preserve"> </w:t>
      </w:r>
      <w:r w:rsidRPr="00F0708B">
        <w:rPr>
          <w:sz w:val="24"/>
          <w:szCs w:val="24"/>
        </w:rPr>
        <w:t xml:space="preserve">to assess disrupted acquisition effects. </w:t>
      </w:r>
    </w:p>
    <w:p w14:paraId="7D4AEE68" w14:textId="6EF0E7A2" w:rsidR="00CC02A5" w:rsidRPr="00F0708B" w:rsidRDefault="00CC02A5" w:rsidP="00F04D98">
      <w:pPr>
        <w:spacing w:line="480" w:lineRule="auto"/>
        <w:ind w:firstLine="720"/>
        <w:rPr>
          <w:sz w:val="24"/>
          <w:szCs w:val="24"/>
        </w:rPr>
      </w:pPr>
      <w:r w:rsidRPr="00F0708B">
        <w:rPr>
          <w:sz w:val="24"/>
          <w:szCs w:val="24"/>
        </w:rPr>
        <w:t xml:space="preserve">Intact blocking despite impaired acquisition behaviour suggests that OFC inactivation did not disrupt the underlying learning about the associative strength of the CS-US relationship. Associative blocking is often used to assess the role of prediction-error based learning </w:t>
      </w:r>
      <w:r>
        <w:rPr>
          <w:sz w:val="24"/>
          <w:szCs w:val="24"/>
        </w:rPr>
        <w:fldChar w:fldCharType="begin" w:fldLock="1"/>
      </w:r>
      <w:r w:rsidR="00305542">
        <w:rPr>
          <w:sz w:val="24"/>
          <w:szCs w:val="24"/>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learning","type":"article-journal","volume":"16"},"prefix":"e.g. ","uris":["http://www.mendeley.com/documents/?uuid=721f625d-09d6-42e2-82ad-124b5a1bfbdf"]},{"id":"ITEM-2","itemData":{"DOI":"10.1038/nn.4538","ISSN":"1097-6256","abstract":"Learning to predict reward is thought to be driven by dopaminergic prediction errors, which reflect discrepancies between actual and expected value. Here the authors show that learning to predict neutral events is also driven by prediction errors and that such value-neutral associative learning is also likely mediated by dopaminergic error signals.","author":[{"dropping-particle":"","family":"Sharpe","given":"Melissa J","non-dropping-particle":"","parse-names":false,"suffix":""},{"dropping-particle":"","family":"Chang","given":"Chun Yun","non-dropping-particle":"","parse-names":false,"suffix":""},{"dropping-particle":"","family":"Liu","given":"Melissa A","non-dropping-particle":"","parse-names":false,"suffix":""},{"dropping-particle":"","family":"Batchelor","given":"Hannah M","non-dropping-particle":"","parse-names":false,"suffix":""},{"dropping-particle":"","family":"Mueller","given":"Lauren E","non-dropping-particle":"","parse-names":false,"suffix":""},{"dropping-particle":"","family":"Jones","given":"Joshua L","non-dropping-particle":"","parse-names":false,"suffix":""},{"dropping-particle":"","family":"Niv","given":"Yael","non-dropping-particle":"","parse-names":false,"suffix":""},{"dropping-particle":"","family":"Schoenbaum","given":"G.","non-dropping-particle":"","parse-names":false,"suffix":""}],"container-title":"Nature Neuroscience","id":"ITEM-2","issue":"5","issued":{"date-parts":[["2017","5","3"]]},"page":"735-742","publisher":"Nature Publishing Group","title":"Dopamine transients are sufficient and necessary for acquisition of model-based associations","type":"article-journal","volume":"20"},"uris":["http://www.mendeley.com/documents/?uuid=be4d2404-05fa-3eac-a370-7b4239be95b7"]}],"mendeley":{"formattedCitation":"(Sharpe et al., 2017b; e.g. Steinberg et al., 2013)","plainTextFormattedCitation":"(Sharpe et al., 2017b; e.g. Steinberg et al., 2013)","previouslyFormattedCitation":"(Sharpe et al., 2017b; e.g. Steinberg et al., 2013)"},"properties":{"noteIndex":0},"schema":"https://github.com/citation-style-language/schema/raw/master/csl-citation.json"}</w:instrText>
      </w:r>
      <w:r>
        <w:rPr>
          <w:sz w:val="24"/>
          <w:szCs w:val="24"/>
        </w:rPr>
        <w:fldChar w:fldCharType="separate"/>
      </w:r>
      <w:r w:rsidRPr="005A4B5E">
        <w:rPr>
          <w:noProof/>
          <w:sz w:val="24"/>
          <w:szCs w:val="24"/>
        </w:rPr>
        <w:t>(Sharpe et al., 2017b; e.g. Steinberg et al., 2013)</w:t>
      </w:r>
      <w:r>
        <w:rPr>
          <w:sz w:val="24"/>
          <w:szCs w:val="24"/>
        </w:rPr>
        <w:fldChar w:fldCharType="end"/>
      </w:r>
      <w:r w:rsidRPr="00F0708B">
        <w:rPr>
          <w:sz w:val="24"/>
          <w:szCs w:val="24"/>
        </w:rPr>
        <w:t xml:space="preserve">, suggesting that the OFC is not necessary for this </w:t>
      </w:r>
      <w:r w:rsidRPr="00F0708B">
        <w:rPr>
          <w:sz w:val="24"/>
          <w:szCs w:val="24"/>
        </w:rPr>
        <w:lastRenderedPageBreak/>
        <w:t>aspect of Pavlovian learning. This distinction suggests that the learned value of a Pavlovian CS-US association might be independent of the current expected or subjective value of expected reward. Informally, learning whether an outcome will be delivered might reasonably be separate from learning the subjective value or identity of that outcome</w:t>
      </w:r>
      <w:r>
        <w:rPr>
          <w:sz w:val="24"/>
          <w:szCs w:val="24"/>
        </w:rPr>
        <w:t xml:space="preserve"> </w:t>
      </w:r>
      <w:r>
        <w:rPr>
          <w:sz w:val="24"/>
          <w:szCs w:val="24"/>
        </w:rPr>
        <w:fldChar w:fldCharType="begin" w:fldLock="1"/>
      </w:r>
      <w:r w:rsidR="00305542">
        <w:rPr>
          <w:sz w:val="24"/>
          <w:szCs w:val="24"/>
        </w:rPr>
        <w:instrText>ADDIN CSL_CITATION {"citationItems":[{"id":"ITEM-1","itemData":{"author":[{"dropping-particle":"","family":"McDannald","given":"Michael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Neuroscience","id":"ITEM-1","issued":{"date-parts":[["2011"]]},"page":"2700-2705","title":"Ventral striatum and orbitofrontal cortex are both required for model-based, but not model-free, reinforcement learning","type":"article-journal","volume":"31"},"uris":["http://www.mendeley.com/documents/?uuid=fd72c0c0-95bc-4b3c-b673-02f000ff2455"]},{"id":"ITEM-2","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J","non-dropping-particle":"","parse-names":false,"suffix":""}],"id":"ITEM-2","issued":{"date-parts":[["2007"]]},"language":"English","page":"152-173","publisher":"Blackwell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conditioning","type":"chapter","volume":"1121"},"uris":["http://www.mendeley.com/documents/?uuid=fe58f3e9-0bae-4cf9-be89-0a503f752db3"]},{"id":"ITEM-3","itemData":{"DOI":"10.1196/annals.1390.008","ISBN":"1573316741","ISSN":"17496632","PMID":"17344542","abstract":"The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Sciences","id":"ITEM-3","issued":{"date-parts":[["2007"]]},"title":"Learning about multiple attributes of reward in Pavlovian conditioning","type":"paper-conference"},"uris":["http://www.mendeley.com/documents/?uuid=b91bf935-14e6-4f3e-b3dc-fc114305e595"]},{"id":"ITEM-4","itemData":{"DOI":"10.1016/j.cub.2019.01.048","ISSN":"09609822","PMID":"30827919","abstract":"The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Task","type":"article-journal"},"uris":["http://www.mendeley.com/documents/?uuid=4f36717f-8ad1-4452-97a6-431a17300717"]}],"mendeley":{"formattedCitation":"(Delamater, 2007; Delamater &amp; Oakeshott, 2007; McDannald et al., 2011; Zhou et al., 2019)","plainTextFormattedCitation":"(Delamater, 2007; Delamater &amp; Oakeshott, 2007; McDannald et al., 2011; Zhou et al., 2019)","previouslyFormattedCitation":"(Delamater, 2007; Delamater &amp; Oakeshott, 2007; McDannald et al., 2011; Zhou et al., 2019)"},"properties":{"noteIndex":0},"schema":"https://github.com/citation-style-language/schema/raw/master/csl-citation.json"}</w:instrText>
      </w:r>
      <w:r>
        <w:rPr>
          <w:sz w:val="24"/>
          <w:szCs w:val="24"/>
        </w:rPr>
        <w:fldChar w:fldCharType="separate"/>
      </w:r>
      <w:r w:rsidRPr="00661D73">
        <w:rPr>
          <w:noProof/>
          <w:sz w:val="24"/>
          <w:szCs w:val="24"/>
        </w:rPr>
        <w:t>(Delamater, 2007; Delamater &amp; Oakeshott, 2007; McDannald et al., 2011; Zhou et al., 2019)</w:t>
      </w:r>
      <w:r>
        <w:rPr>
          <w:sz w:val="24"/>
          <w:szCs w:val="24"/>
        </w:rPr>
        <w:fldChar w:fldCharType="end"/>
      </w:r>
      <w:r w:rsidRPr="00F0708B">
        <w:rPr>
          <w:sz w:val="24"/>
          <w:szCs w:val="24"/>
        </w:rPr>
        <w:t xml:space="preserve">. </w:t>
      </w:r>
    </w:p>
    <w:p w14:paraId="16E85850" w14:textId="77777777" w:rsidR="00686D47" w:rsidRPr="00F0708B" w:rsidRDefault="00686D47" w:rsidP="00F04D98">
      <w:pPr>
        <w:pStyle w:val="BodyText"/>
        <w:spacing w:line="480" w:lineRule="auto"/>
        <w:rPr>
          <w:b/>
          <w:bCs/>
        </w:rPr>
      </w:pPr>
      <w:r w:rsidRPr="00F0708B">
        <w:rPr>
          <w:b/>
          <w:bCs/>
        </w:rPr>
        <w:t>Pre- vs post-training effects</w:t>
      </w:r>
    </w:p>
    <w:p w14:paraId="6A90BD4B" w14:textId="77777777" w:rsidR="00686D47" w:rsidRPr="00F0708B" w:rsidRDefault="00686D47" w:rsidP="00F04D98">
      <w:pPr>
        <w:pStyle w:val="BodyText"/>
        <w:spacing w:line="480" w:lineRule="auto"/>
      </w:pPr>
      <w:r w:rsidRPr="00F0708B">
        <w:t>The dissociable and opposite effects of pre- and post-training OFC lesions/inactivation on acquisition were surprising and rule out a simple account of OFC dysfunction in terms of prediction-error based learning impairments</w:t>
      </w:r>
      <w:r>
        <w:t xml:space="preserve"> (</w:t>
      </w:r>
      <w:r w:rsidRPr="00680001">
        <w:rPr>
          <w:highlight w:val="yellow"/>
        </w:rPr>
        <w:t>Figure 2-figure supplement 1</w:t>
      </w:r>
      <w:r>
        <w:t>)</w:t>
      </w:r>
      <w:r w:rsidRPr="00F0708B">
        <w:t>. One possibility is that pretraining lesions result in compensatory function such that learning</w:t>
      </w:r>
      <w:r>
        <w:t xml:space="preserve"> is</w:t>
      </w:r>
      <w:r w:rsidRPr="00F0708B">
        <w:t xml:space="preserve"> supported by other neural systems. In contrast, post-training lesions and inactivation disrupts learning/behaviour that has been acquired in an OFC dependent manner. This argument has been proposed when only pre-training OFC lesions </w:t>
      </w:r>
      <w:r>
        <w:fldChar w:fldCharType="begin" w:fldLock="1"/>
      </w:r>
      <w:r>
        <w:instrText>ADDIN CSL_CITATION {"citationItems":[{"id":"ITEM-1","itemData":{"DOI":"10.1016/j.bbr.2008.10.005","ISBN":"0166-4328","author":[{"dropping-particle":"","family":"Boulougouris","given":"V","non-dropping-particle":"","parse-names":false,"suffix":""},{"dropping-particle":"","family":"Robbins","given":"T W","non-dropping-particle":"","parse-names":false,"suffix":""}],"container-title":"Behavioural Brain Research","id":"ITEM-1","issue":"2","issued":{"date-parts":[["2009"]]},"language":"English","page":"469-475","title":"Pre-surgical training ameliorates orbitofrontal-mediated impairments in spatial reversal learning","type":"article-journal","volume":"197"},"uris":["http://www.mendeley.com/documents/?uuid=ae4c5282-d1e4-4152-955d-ab00c8365769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rat","type":"article-journal","volume":"179"},"uris":["http://www.mendeley.com/documents/?uuid=1bf26a95-c216-4d3b-80b2-0a60d1077775"]}],"mendeley":{"formattedCitation":"(Boulougouris et al., 2007; Boulougouris &amp; Robbins, 2009)","plainTextFormattedCitation":"(Boulougouris et al., 2007; Boulougouris &amp; Robbins, 2009)","previouslyFormattedCitation":"(Boulougouris et al., 2007; Boulougouris &amp; Robbins, 2009)"},"properties":{"noteIndex":0},"schema":"https://github.com/citation-style-language/schema/raw/master/csl-citation.json"}</w:instrText>
      </w:r>
      <w:r>
        <w:fldChar w:fldCharType="separate"/>
      </w:r>
      <w:r w:rsidRPr="00B62AE8">
        <w:rPr>
          <w:noProof/>
        </w:rPr>
        <w:t>(Boulougouris et al., 2007; Boulougouris &amp; Robbins, 2009)</w:t>
      </w:r>
      <w:r>
        <w:fldChar w:fldCharType="end"/>
      </w:r>
      <w:r w:rsidRPr="00F0708B">
        <w:t>, or only post-training OFC lesions disrupt behaviour</w:t>
      </w:r>
      <w:r>
        <w:t xml:space="preserve"> </w:t>
      </w:r>
      <w:r>
        <w:fldChar w:fldCharType="begin" w:fldLock="1"/>
      </w:r>
      <w:r>
        <w: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Ostlund &amp; Balleine, 2007)","plainTextFormattedCitation":"(Balleine et al., 2011; Ostlund &amp; Balleine, 2007)","previouslyFormattedCitation":"(Balleine et al., 2011; Ostlund &amp; Balleine, 2007)"},"properties":{"noteIndex":0},"schema":"https://github.com/citation-style-language/schema/raw/master/csl-citation.json"}</w:instrText>
      </w:r>
      <w:r>
        <w:fldChar w:fldCharType="separate"/>
      </w:r>
      <w:r w:rsidRPr="00B62AE8">
        <w:rPr>
          <w:noProof/>
        </w:rPr>
        <w:t>(Balleine et al., 2011; Ostlund &amp; Balleine, 2007)</w:t>
      </w:r>
      <w:r>
        <w:fldChar w:fldCharType="end"/>
      </w:r>
      <w:r w:rsidRPr="00F0708B">
        <w:t xml:space="preserve">. We will </w:t>
      </w:r>
      <w:r>
        <w:t xml:space="preserve">also </w:t>
      </w:r>
      <w:r w:rsidRPr="00F0708B">
        <w:t xml:space="preserve">consider two alternative accounts of pre- vs post-training OFC lesion differences based on theoretical accounts of OFC function, sensory-specific outcome expectancy and latent state theories. Note that these theories do not predict an effect of OFC lesions on simple Pavlovian acquisition </w:t>
      </w:r>
      <w:r w:rsidRPr="00F0708B">
        <w:rPr>
          <w:i/>
          <w:iCs/>
        </w:rPr>
        <w:t>a priori</w:t>
      </w:r>
      <w:r w:rsidRPr="00F0708B">
        <w:t>, and therefore require additional assumptions to account for the present data.</w:t>
      </w:r>
    </w:p>
    <w:p w14:paraId="4DBAC3FB" w14:textId="743E90F1" w:rsidR="00686D47" w:rsidRPr="00F0708B" w:rsidRDefault="00686D47" w:rsidP="00F04D98">
      <w:pPr>
        <w:pStyle w:val="BodyText"/>
        <w:spacing w:line="480" w:lineRule="auto"/>
        <w:ind w:firstLine="720"/>
      </w:pPr>
      <w:r w:rsidRPr="00F0708B">
        <w:t xml:space="preserve">From an associative learning framework, even putatively “simple” single cue-outcome Pavlovian learning can involve a number of different psychological/behavioural processes </w:t>
      </w:r>
      <w:r>
        <w:lastRenderedPageBreak/>
        <w:fldChar w:fldCharType="begin" w:fldLock="1"/>
      </w:r>
      <w: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PMID":"3117072","author":[{"dropping-particle":"","family":"Konorski","given":"J","non-dropping-particle":"","parse-names":false,"suffix":""}],"id":"ITEM-2","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-3","itemData":{"author":[{"dropping-particle":"","family":"Hall","given":"G","non-dropping-particle":"","parse-names":false,"suffix":""}],"container-title":"Steven's handbook of experimental psychology","editor":[{"dropping-particle":"","family":"Gallistel","given":"C R","non-dropping-particle":"","parse-names":false,"suffix":""}],"id":"ITEM-3","issued":{"date-parts":[["2002"]]},"page":"1-45","publisher":"John Wiley &amp; Sons","publisher-place":"New York","title":"Associative structures in Pavlovian and instrumental conditioning","type":"chapter","volume":"3"},"uris":["http://www.mendeley.com/documents/?uuid=ca292a99-07a5-47d2-a55c-bc49463b4ea3"]},{"id":"ITEM-4","itemData":{"DOI":"Doi 10.1037/0003-066x.43.3.151","ISBN":"0003-066X","author":[{"dropping-particle":"","family":"Rescorla","given":"R A","non-dropping-particle":"","parse-names":false,"suffix":""}],"container-title":"American Psychologist","id":"ITEM-4","issue":"3","issued":{"date-parts":[["1988"]]},"language":"English","note":"From Duplicate 2 (Pavlovian Conditioning - Its Not What You Think It Is - Rescorla, R A)\n\nM6634\nTimes Cited:529\nCited References Count:30","page":"151-160","title":"Pavlovian Conditioning - Its Not What You Think It Is","type":"article-journal","volume":"43"},"uris":["http://www.mendeley.com/documents/?uuid=ef1fdb73-1fa1-408b-8e8d-9efd5c1c12d6"]},{"id":"ITEM-5","itemData":{"ISBN":"978-0521299626","author":[{"dropping-particle":"","family":"Dickinson","given":"A","non-dropping-particle":"","parse-names":false,"suffix":""}],"container-title":"Problems in the behavioural sciences","editor":[{"dropping-particle":"","family":"Gray","given":"J","non-dropping-particle":"","parse-names":false,"suffix":""}],"id":"ITEM-5","issued":{"date-parts":[["1980"]]},"number-of-pages":"177","publisher":"Cambridge University Press","publisher-place":"Cambridge, UK","title":"Contemporary animal learning theory","type":"book"},"uris":["http://www.mendeley.com/documents/?uuid=de524ee5-1480-4ae1-bc42-ce5078e806f3"]},{"id":"ITEM-6","itemData":{"ISBN":"0097-7403 (Print)\r0097-7403 (Linking)","PMID":"845545","abstract":"The role of the conditioned stimulus (CS) as a determinant of the form of the Pavlovian conditioned response (CR) was investigated in five experiments. Both stabilimeter measures of general activity and detailed observations of the behavior of the rat subjects in the presence of CSs anticipatory to a food unconditioned stimulus (US) were obtained. In Experiment 1, substantially different behaviors to light and tone CSs were observed; further, these differences were found to be dependent on specific learning experience rather than on the mere presence of different stimulation at the time of response evocation. Experiments 2 and 3 investigated the possibility that there was considerable communality of learning to light and tone CSs despite their evoking different CRs. In Experiment 2, prior conditioning of either the tone or light CS was found to block the acquisition of various behaviors to the added element when a light-tone compound stimulus was reinforced, even though the pretrained stimulus did not itself evoke those behaviors. In Experiment 3, the nature of second-order conditioned responding was found to be similar regardless of which first-order CS was used as the reinforcer. Additionally, the reinforcing powers of the light and tone CSs were found to summate. Experiments 4 and 5 examined behaviors to a variety of visual and auditory stimuli paired with food. Stimulus modality and the localizability and vertical location of visual stimuli were found to influence conditioned responding. These results suggested that in this conditioning situation, similar learning of a CS-US relation may be displayed in different overt CRs, depending on the nature of the CS.","author":[{"dropping-particle":"","family":"Holland","given":"P C","non-dropping-particle":"","parse-names":false,"suffix":""}],"container-title":"J Exp Psychol Anim Behav Process","id":"ITEM-6","issue":"1","issued":{"date-parts":[["1977"]]},"note":"Holland, P C\neng\nResearch Support, U.S. Gov't, Non-P.H.S.\n1977/01/01\nJ Exp Psychol Anim Behav Process. 1977 Jan;3(1):77-104.","page":"77-104","title":"Conditioned stimulus as a determinant of the form of the Pavlovian conditioned response","type":"article-journal","volume":"3"},"uris":["http://www.mendeley.com/documents/?uuid=cb449c22-1fc2-4892-8a17-51c506e67528"]}],"mendeley":{"formattedCitation":"(Dickinson, 1980; Hall, 2002; Holland, 1977; Konorski, 1967; Mackintosh, 1974; Rescorla, 1988)","plainTextFormattedCitation":"(Dickinson, 1980; Hall, 2002; Holland, 1977; Konorski, 1967; Mackintosh, 1974; Rescorla, 1988)","previouslyFormattedCitation":"(Dickinson, 1980; Hall, 2002; Holland, 1977; Konorski, 1967; Mackintosh, 1974; Rescorla, 1988)"},"properties":{"noteIndex":0},"schema":"https://github.com/citation-style-language/schema/raw/master/csl-citation.json"}</w:instrText>
      </w:r>
      <w:r>
        <w:fldChar w:fldCharType="separate"/>
      </w:r>
      <w:r w:rsidRPr="006159CE">
        <w:rPr>
          <w:noProof/>
        </w:rPr>
        <w:t>(Dickinson, 1980; Hall, 2002; Holland, 1977; Konorski, 1967; Mackintosh, 1974; Rescorla, 1988)</w:t>
      </w:r>
      <w:r>
        <w:fldChar w:fldCharType="end"/>
      </w:r>
      <w:r w:rsidRPr="00F0708B">
        <w:t xml:space="preserve">. Take for example a 10s light cue that reliably predicts the delivery of a pellet reward. A rat can learn that the cue predicts the sensory-specific properties of the outcome (e.g. taste, texture, sweetness, </w:t>
      </w:r>
      <w:proofErr w:type="spellStart"/>
      <w:r w:rsidRPr="00F0708B">
        <w:t>colour</w:t>
      </w:r>
      <w:proofErr w:type="spellEnd"/>
      <w:r w:rsidRPr="00F0708B">
        <w:t xml:space="preserve">, size, location etc...), or the general motivational value of that reward, or simply develop a stimulus-response habit to approach the reward location when the cue is presented. Indeed, there is experimental evidence for these multiple aspects of learning occurring during Pavlovian conditioning </w:t>
      </w:r>
      <w:r>
        <w:fldChar w:fldCharType="begin" w:fldLock="1"/>
      </w:r>
      <w:r>
        <w:instrText>ADDIN CSL_CITATION {"citationItems":[{"id":"ITEM-1","itemData":{"DOI":"10.1196/annals.1390.008","ISBN":"1573316741","ISSN":"17496632","PMID":"17344542","abstract":"The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Sciences","id":"ITEM-1","issued":{"date-parts":[["2007"]]},"title":"Learning about multiple attributes of reward in Pavlovian conditioning","type":"paper-conference"},"prefix":"for review see ","uris":["http://www.mendeley.com/documents/?uuid=b91bf935-14e6-4f3e-b3dc-fc114305e595"]}],"mendeley":{"formattedCitation":"(for review see Delamater &amp; Oakeshott, 2007)","plainTextFormattedCitation":"(for review see Delamater &amp; Oakeshott, 2007)","previouslyFormattedCitation":"(for review see Delamater &amp; Oakeshott, 2007)"},"properties":{"noteIndex":0},"schema":"https://github.com/citation-style-language/schema/raw/master/csl-citation.json"}</w:instrText>
      </w:r>
      <w:r>
        <w:fldChar w:fldCharType="separate"/>
      </w:r>
      <w:r w:rsidRPr="00BE3FFE">
        <w:rPr>
          <w:noProof/>
        </w:rPr>
        <w:t>(for review see Delamater &amp; Oakeshott, 2007)</w:t>
      </w:r>
      <w:r>
        <w:fldChar w:fldCharType="end"/>
      </w:r>
      <w:r w:rsidRPr="00F0708B">
        <w:t>. It is possible that pretraining OFC lesions disrupt the balance of these different aspects of Pavlovian learning and behavior</w:t>
      </w:r>
      <w:r>
        <w:t xml:space="preserve"> </w:t>
      </w:r>
      <w:r>
        <w:fldChar w:fldCharType="begin" w:fldLock="1"/>
      </w:r>
      <w:r w:rsidR="00305542">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conditioning","type":"chapter","volume":"1121"},"uris":["http://www.mendeley.com/documents/?uuid=fe58f3e9-0bae-4cf9-be89-0a503f752db3"]},{"id":"ITEM-2","itemData":{"DOI":"10.3389/neuro.07.002.2007","ISSN":"1662-5145","abstract":"Conditioned reinforcers are Pavlovian cues that support the acquisition and maintenance of new instrumental responses. Responding on the basis of conditioned rather than primary reinforcers is a pervasive part of modern life, yet we have a remarkably limited understanding of what underlying associative information is triggered by these cues to guide responding. Specifically, it is not certain whether conditioned reinforcers are effective because they evoke representations of specific outcomes or because they trigger general affective states that are independent of any specific outcome. This question has important implications for how different brain circuits might be involved in conditioned reinforcement. Here, we use specialized Pavlovian training procedures, reinforcer devaluation and transreinforcer blocking, to create cues that were biased to preferentially evoke either devaluation-insensitive, general affect representations or, devaluationsensitive, outcome-specific representations. Subsequently, these cues, along with normally conditioned control cues, were presented contingent on lever pressing.We found that intact rats learned to lever press for either the outcome or the affect cues to the same extent as for a normally conditioned cue. These results demonstrate that conditioned reinforcers can guide responding through either type of associative information. Interestingly, conditioned reinforcement was abolished in rats with basolateral amygdala lesions. Consistent with the extant literature, this result suggests a general role for basolateral amygdala in conditioned reinforcement. The implications of these data, combined with recent reports from our laboratory of a more specialized role of orbitofrontal cortex in conditioned reinforcement, will be discussed.","author":[{"dropping-particle":"","family":"Burke","given":"K A","non-dropping-particle":"","parse-names":false,"suffix":""},{"dropping-particle":"","family":"Franz","given":"Theresa M","non-dropping-particle":"","parse-names":false,"suffix":""},{"dropping-particle":"","family":"Miller","given":"Danielle N","non-dropping-particle":"","parse-names":false,"suffix":""},{"dropping-particle":"","family":"Schoenbaum","given":"G.","non-dropping-particle":"","parse-names":false,"suffix":""}],"container-title":"Frontiers in Integrative Neuroscience","id":"ITEM-2","issued":{"date-parts":[["2007","11","2"]]},"page":"2","publisher":"Frontiers","title":"Conditioned reinforcement can be mediated by either outcome-specific or general affective representations","type":"article-journal","volume":"1"},"uris":["http://www.mendeley.com/documents/?uuid=b0ed2f4f-3d22-3f54-b441-4ac313a229f8"]}],"mendeley":{"formattedCitation":"(Burke et al., 2007; Delamater, 2007)","plainTextFormattedCitation":"(Burke et al., 2007; Delamater, 2007)","previouslyFormattedCitation":"(Burke et al., 2007; Delamater, 2007)"},"properties":{"noteIndex":0},"schema":"https://github.com/citation-style-language/schema/raw/master/csl-citation.json"}</w:instrText>
      </w:r>
      <w:r>
        <w:fldChar w:fldCharType="separate"/>
      </w:r>
      <w:r w:rsidRPr="00CA2485">
        <w:rPr>
          <w:noProof/>
        </w:rPr>
        <w:t>(Burke et al., 2007; Delamater, 2007)</w:t>
      </w:r>
      <w:r>
        <w:fldChar w:fldCharType="end"/>
      </w:r>
      <w:r w:rsidRPr="00F0708B">
        <w:t xml:space="preserve">. </w:t>
      </w:r>
    </w:p>
    <w:p w14:paraId="10FD56F1" w14:textId="36F5439B" w:rsidR="00686D47" w:rsidRPr="00F0708B" w:rsidRDefault="00686D47" w:rsidP="00F04D98">
      <w:pPr>
        <w:pStyle w:val="BodyText"/>
        <w:spacing w:line="480" w:lineRule="auto"/>
        <w:ind w:firstLine="720"/>
      </w:pPr>
      <w:r w:rsidRPr="00F0708B">
        <w:t xml:space="preserve">If the OFC is necessary for the representation of the sensory specific properties of expected outcomes, then OFC lesions might allow a stimulus-response habit system to dominate behavioural control. </w:t>
      </w:r>
      <w:r>
        <w:t>Following pre-training lesions, t</w:t>
      </w:r>
      <w:r w:rsidRPr="00F0708B">
        <w:t>his may lead to an unconstrained habit learning system</w:t>
      </w:r>
      <w:r>
        <w:t xml:space="preserve"> </w:t>
      </w:r>
      <w:r>
        <w:fldChar w:fldCharType="begin" w:fldLock="1"/>
      </w:r>
      <w:r>
        <w:instrText>ADDIN CSL_CITATION {"citationItems":[{"id":"ITEM-1","itemData":{"DOI":"10.1016/j.neuron.2013.09.007","ISSN":"08966273","PMID":"24139036","abstract":"An enduring and richly elaborated dichotomy in cognitive neuroscience is that of reflective versus reflexive decision making and choice. Other literatures refer to the two ends of what is likely to be a spectrum with terms such as goal-directed versus habitual, model-based versus model-free or prospective versus retrospective. One of the most rigorous traditions of experimental work in the field started with studies in rodents and graduated via human versions and enrichments of those experiments to a current state in which new paradigms are probing and challenging the very heart of the distinction. We review four generations of work in this tradition and provide pointers to the forefront of the field@s fifth generation.","author":[{"dropping-particle":"","family":"Dolan","given":"Ray J.","non-dropping-particle":"","parse-names":false,"suffix":""},{"dropping-particle":"","family":"Dayan","given":"Peter","non-dropping-particle":"","parse-names":false,"suffix":""}],"container-title":"Neuron","id":"ITEM-1","issue":"2","issued":{"date-parts":[["2013"]]},"page":"312-325","publisher":"The Authors","title":"Goals and habits in the brain","type":"article-journal","volume":"80"},"uris":["http://www.mendeley.com/documents/?uuid=dc8320b6-8a42-4b12-985e-a4d407158482"]},{"id":"ITEM-2","itemData":{"abstract":"The study of animal behaviour has been dominated by two general models. According to the mechanistic stimulus-response model, a particular behaviour is either an innate or an acquired habit which is simply triggered by the appropriate stimulus. By contrast, the teleological model argues that, at least, some activities are purposive actions controlled by the current value of their goals through knowledge about the instrumental relations between the actions and their consequences. The type of control over any particular behaviour can be determined by a goal revaluation procedure. If the animal's performance changes appropriately following an alteration in the value of the goal or reward without further experience of the instrumental relationship, the behaviour should be regarded as a purposive action. On the other hand, the stimulus-response model is more appropriate for an activity whose performance is autonomous of the current value of the goal. By using this assay, we have found that a simple food-rewarded activity is sensitive to reward devaluation in rats following limited but not extended training. The development of this behavioural autonomy with extended training appears to depend not upon the amount of training per se, but rather upon the fact that the animal no longer experiences the correlation between variations in performance and variations in the associated consequences during overtraining. In agreement with this idea, limited exposure to an instrumental relationship that arranges a low correlation between performance and reward rates also favours the development of behavioural autonomy. Thus, the same activity can be either an action or a habit depending upon the type of training it has received.","author":[{"dropping-particle":"","family":"Dickinson","given":"A","non-dropping-particle":"","parse-names":false,"suffix":""}],"container-title":"Philosophical Transactions of the Royal Society of London. Series B, Biological Sciences","id":"ITEM-2","issue":"1135","issued":{"date-parts":[["1985"]]},"page":"67-78","title":"Actions and Habits : The Development of Behavioural Autonomy","type":"article-journal","volume":"308"},"uris":["http://www.mendeley.com/documents/?uuid=fa50556e-1ac5-4403-9da8-cba482564a2d"]},{"id":"ITEM-3","itemData":{"ISBN":"0166-4328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Research","edition":"2003/12/04","id":"ITEM-3","issue":"1-2","issued":{"date-parts":[["2003"]]},"language":"eng","note":"Coutureau,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rats","type":"article-journal","volume":"146"},"uris":["http://www.mendeley.com/documents/?uuid=ad782cef-18f3-41be-9cc3-260179e185fe"]},{"id":"ITEM-4","itemData":{"ISBN":"1047-3211","author":[{"dropping-particle":"","family":"Killcross","given":"A S","non-dropping-particle":"","parse-names":false,"suffix":""},{"dropping-particle":"","family":"Coutureau","given":"E","non-dropping-particle":"","parse-names":false,"suffix":""}],"container-title":"Cerebral Cortex","id":"ITEM-4","issue":"4","issued":{"date-parts":[["2003"]]},"language":"English","page":"400-408","title":"Coordination of actions and habits in the medial prefrontal cortex of rats","type":"article-journal","volume":"13"},"uris":["http://www.mendeley.com/documents/?uuid=c471a2a6-a5ed-4f19-ad4c-c712120c218e"]}],"mendeley":{"formattedCitation":"(Coutureau &amp; Killcross, 2003; Dickinson, 1985; Dolan &amp; Dayan, 2013; Killcross &amp; Coutureau, 2003)","plainTextFormattedCitation":"(Coutureau &amp; Killcross, 2003; Dickinson, 1985; Dolan &amp; Dayan, 2013; Killcross &amp; Coutureau, 2003)","previouslyFormattedCitation":"(Coutureau &amp; Killcross, 2003; Dickinson, 1985; Dolan &amp; Dayan, 2013; Killcross &amp; Coutureau, 2003)"},"properties":{"noteIndex":0},"schema":"https://github.com/citation-style-language/schema/raw/master/csl-citation.json"}</w:instrText>
      </w:r>
      <w:r>
        <w:fldChar w:fldCharType="separate"/>
      </w:r>
      <w:r w:rsidRPr="001210CF">
        <w:rPr>
          <w:noProof/>
        </w:rPr>
        <w:t>(Coutureau &amp; Killcross, 2003; Dickinson, 1985; Dolan &amp; Dayan, 2013; Killcross &amp; Coutureau, 2003)</w:t>
      </w:r>
      <w:r>
        <w:fldChar w:fldCharType="end"/>
      </w:r>
      <w:r w:rsidRPr="00F0708B">
        <w:t xml:space="preserve"> that is not</w:t>
      </w:r>
      <w:r>
        <w:t xml:space="preserve"> necessarily</w:t>
      </w:r>
      <w:r w:rsidRPr="00F0708B">
        <w:t xml:space="preserve"> bounded by the </w:t>
      </w:r>
      <w:r>
        <w:t>current</w:t>
      </w:r>
      <w:r w:rsidRPr="00F0708B">
        <w:t xml:space="preserve"> value of the outcome</w:t>
      </w:r>
      <w:r>
        <w:t xml:space="preserve">, </w:t>
      </w:r>
      <w:r w:rsidRPr="00F0708B">
        <w:t>and overly sensitive to current general motivation</w:t>
      </w:r>
      <w:r>
        <w:t>al states</w:t>
      </w:r>
      <w:r w:rsidRPr="00F0708B">
        <w:t xml:space="preserve"> (e.g. overall hunger levels; </w:t>
      </w:r>
      <w:r w:rsidRPr="00F0708B">
        <w:rPr>
          <w:highlight w:val="yellow"/>
        </w:rPr>
        <w:t>Figure 1B</w:t>
      </w:r>
      <w:r w:rsidRPr="00F0708B">
        <w:t xml:space="preserve">) of the organism. However, once initial learning occurs with an intact OFC, the encoding of the identity of the expected outcome is likely to have occurred </w:t>
      </w:r>
      <w:r>
        <w:fldChar w:fldCharType="begin" w:fldLock="1"/>
      </w:r>
      <w:r>
        <w:instrText>ADDIN CSL_CITATION {"citationItems":[{"id":"ITEM-1","itemData":{"DOI":"Doi 10.1037/0097-7403.34.2.202","ISBN":"0097-7403","abstract":"Four experiments examined the effects of varying the conditioned stimulus-unconditioned stimulus (CS-US) interval (and US density) on learning in an appetitive magazine approach task with rats. Learning was assessed with conditioned response (CR) measures, as well as measures of sensory-specific stimulus-outcome associations (Pavlovian-instrumental transfer, potentiated feeding, and US devaluation). The results from these studies indicate that there exists an inverse relation between CS-US interval and magazine approach CRs, but that sensory-specific stimulus-outcome associations are established over a wide range of relatively long, but not short, CS-US intervals. These data suggest that simple CR measures provide different information about what is learned than measures of the specific stimulus-outcome association, and that time is a more critical variable for the former than latter component of learning.","author":[{"dropping-particle":"","family":"Delamater","given":"A R","non-dropping-particle":"","parse-names":false,"suffix":""},{"dropping-particle":"","family":"Holland","given":"P C","non-dropping-particle":"","parse-names":false,"suffix":""}],"container-title":"Journal of Experimental Psychology-Animal Behavior Processes","id":"ITEM-1","issue":"2","issued":{"date-parts":[["2008"]]},"language":"English","note":"290PO\nTimes Cited:32\nCited References Count:37","page":"202-222","title":"The influence of CS-US interval on several different indices of learning in appetitive conditioning","type":"article-journal","volume":"34"},"prefix":"e.g. ","uris":["http://www.mendeley.com/documents/?uuid=7088ad8e-c930-4168-92e2-83d0e11d06b9"]}],"mendeley":{"formattedCitation":"(e.g. Delamater &amp; Holland, 2008)","plainTextFormattedCitation":"(e.g. Delamater &amp; Holland, 2008)","previouslyFormattedCitation":"(e.g. Delamater &amp; Holland, 2008)"},"properties":{"noteIndex":0},"schema":"https://github.com/citation-style-language/schema/raw/master/csl-citation.json"}</w:instrText>
      </w:r>
      <w:r>
        <w:fldChar w:fldCharType="separate"/>
      </w:r>
      <w:r w:rsidRPr="00C26564">
        <w:rPr>
          <w:noProof/>
        </w:rPr>
        <w:t>(e.g. Delamater &amp; Holland, 2008)</w:t>
      </w:r>
      <w:r>
        <w:fldChar w:fldCharType="end"/>
      </w:r>
      <w:r w:rsidRPr="00F0708B">
        <w:t xml:space="preserve">. </w:t>
      </w:r>
      <w:r>
        <w:t>Subsequently</w:t>
      </w:r>
      <w:r w:rsidRPr="00F0708B">
        <w:t xml:space="preserve">, a post-training lesion or inactivation of the OFC is likely to affect the </w:t>
      </w:r>
      <w:r>
        <w:t>subsequent</w:t>
      </w:r>
      <w:r w:rsidRPr="00F0708B">
        <w:t xml:space="preserve"> updating of this information. </w:t>
      </w:r>
      <w:r>
        <w:t>Therefore, one possible account</w:t>
      </w:r>
      <w:r w:rsidR="00D161F9">
        <w:t xml:space="preserve"> is that</w:t>
      </w:r>
      <w:r w:rsidRPr="00F0708B">
        <w:t xml:space="preserve"> the impaired acquisition behaviour we observed following post-training inactivation reflects an inability to update the current motivational value of the specific outcome that is expected.</w:t>
      </w:r>
    </w:p>
    <w:p w14:paraId="61FD1E76" w14:textId="0095505E" w:rsidR="00686D47" w:rsidRPr="00F0708B" w:rsidRDefault="00686D47" w:rsidP="00F04D98">
      <w:pPr>
        <w:pStyle w:val="BodyText"/>
        <w:spacing w:line="480" w:lineRule="auto"/>
        <w:ind w:firstLine="720"/>
      </w:pPr>
      <w:r w:rsidRPr="00F0708B">
        <w:lastRenderedPageBreak/>
        <w:t xml:space="preserve">The latent state representation account of the OFC might also be able to account for the differences observed dissociation between pre- and post-training OFC lesions on acquisition. Computational models </w:t>
      </w:r>
      <w:r>
        <w:fldChar w:fldCharType="begin" w:fldLock="1"/>
      </w:r>
      <w:r w:rsidR="00305542">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fldChar w:fldCharType="separate"/>
      </w:r>
      <w:r w:rsidRPr="00F125AC">
        <w:rPr>
          <w:noProof/>
        </w:rPr>
        <w:t>(e.g. Wilson et al., 2014)</w:t>
      </w:r>
      <w:r>
        <w:fldChar w:fldCharType="end"/>
      </w:r>
      <w:r w:rsidRPr="00F0708B">
        <w:t xml:space="preserve"> often assume, for simplicity, that in a simple single cue-outcome procedure, the cue state (e.g. “light on”) is stable throughout acquisition. Given that the same cue is presented, and it always leads to the pellet outcome, this stable representation is a reasonable assumption. However, it is also likely that </w:t>
      </w:r>
      <w:r>
        <w:t>early in</w:t>
      </w:r>
      <w:r w:rsidRPr="00F0708B">
        <w:t xml:space="preserve"> acquisition this state representation is not </w:t>
      </w:r>
      <w:r>
        <w:t xml:space="preserve">yet </w:t>
      </w:r>
      <w:r w:rsidRPr="00F0708B">
        <w:t>stable in healthy control animals</w:t>
      </w:r>
      <w:r>
        <w:t xml:space="preserve"> </w:t>
      </w:r>
      <w:r>
        <w:fldChar w:fldCharType="begin" w:fldLock="1"/>
      </w:r>
      <w: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representations","type":"article-journal","volume":"22"},"uris":["http://www.mendeley.com/documents/?uuid=5ccfcbfa-f7a0-3a47-9b7a-1c10a0912157"]}],"mendeley":{"formattedCitation":"(Niv, 2019)","plainTextFormattedCitation":"(Niv, 2019)","previouslyFormattedCitation":"(Niv, 2019)"},"properties":{"noteIndex":0},"schema":"https://github.com/citation-style-language/schema/raw/master/csl-citation.json"}</w:instrText>
      </w:r>
      <w:r>
        <w:fldChar w:fldCharType="separate"/>
      </w:r>
      <w:r w:rsidRPr="00503F84">
        <w:rPr>
          <w:noProof/>
        </w:rPr>
        <w:t>(Niv, 2019)</w:t>
      </w:r>
      <w:r>
        <w:fldChar w:fldCharType="end"/>
      </w:r>
      <w:r w:rsidRPr="00F0708B">
        <w:t xml:space="preserve">. How can the animal be certain that the light cue, the testing chamber context, or the reward pellet that they see on each trial is identical to the trials they have already experienced within the session, and from previous days? The subjective experience of these states </w:t>
      </w:r>
      <w:r>
        <w:t xml:space="preserve">and their physical features </w:t>
      </w:r>
      <w:r w:rsidRPr="00F0708B">
        <w:t>is very likely to be different within</w:t>
      </w:r>
      <w:r>
        <w:t>-</w:t>
      </w:r>
      <w:r w:rsidRPr="00F0708B">
        <w:t xml:space="preserve"> and between</w:t>
      </w:r>
      <w:r>
        <w:t>-</w:t>
      </w:r>
      <w:r w:rsidRPr="00F0708B">
        <w:t xml:space="preserve">sessions </w:t>
      </w:r>
      <w:r>
        <w:t>e.g.</w:t>
      </w:r>
      <w:r w:rsidRPr="00F0708B">
        <w:t xml:space="preserve"> the ambient noises, </w:t>
      </w:r>
      <w:proofErr w:type="spellStart"/>
      <w:r w:rsidRPr="00F0708B">
        <w:t>odours</w:t>
      </w:r>
      <w:proofErr w:type="spellEnd"/>
      <w:r w:rsidRPr="00F0708B">
        <w:t xml:space="preserve">, temperature of the context, the location and intensity of the light cue based on where the rat happens to be located when it turns on, and the gradual onset of sensory specific satiety to the pellet etc... Informally, how does the rat know that this light is the same light that they saw at the start of the session, or the day before? The perception and recognition of these states is therefore subject to differences in </w:t>
      </w:r>
      <w:r>
        <w:t xml:space="preserve">variables </w:t>
      </w:r>
      <w:r w:rsidRPr="00F0708B">
        <w:t>such as generalization, confidence, and certainty.</w:t>
      </w:r>
    </w:p>
    <w:p w14:paraId="46867693" w14:textId="511BDB96" w:rsidR="00686D47" w:rsidRPr="00F0708B" w:rsidRDefault="00686D47" w:rsidP="00F04D98">
      <w:pPr>
        <w:pStyle w:val="BodyText"/>
        <w:spacing w:line="480" w:lineRule="auto"/>
        <w:ind w:firstLine="720"/>
      </w:pPr>
      <w:r w:rsidRPr="00F0708B">
        <w:t>Paradoxically, in a simple and stable cue-outcome training procedure</w:t>
      </w:r>
      <w:r>
        <w:t>,</w:t>
      </w:r>
      <w:r w:rsidRPr="00F0708B">
        <w:t xml:space="preserve"> pre-training OFC lesions may result in </w:t>
      </w:r>
      <w:r>
        <w:t>an accurate, but inflexible, representation of these simple task states quite rapidly</w:t>
      </w:r>
      <w:r w:rsidRPr="00F0708B">
        <w:t xml:space="preserve">. In this stable and simple training context this </w:t>
      </w:r>
      <w:r>
        <w:t>could</w:t>
      </w:r>
      <w:r w:rsidRPr="00F0708B">
        <w:t xml:space="preserve"> lead to enhanced Pavlovian acquisition. However, in a task with multiple or uncertain cue-outcome contingencies pretraining OFC lesions might impair acquisition</w:t>
      </w:r>
      <w:r>
        <w:t xml:space="preserve"> </w:t>
      </w:r>
      <w:r>
        <w:fldChar w:fldCharType="begin" w:fldLock="1"/>
      </w:r>
      <w: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learning","type":"article-journal","volume":"65"},"uris":["http://www.mendeley.com/documents/?uuid=ecfd4cc3-38d7-4ee3-9aed-35d344ad669c"]},{"id":"ITEM-2","itemData":{"DOI":"10.7554/eLife.27483","ISSN":"2050-084X","abstract":"&lt;p&gt;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licia","non-dropping-particle":"","parse-names":false,"suffix":""}],"container-title":"eLife","id":"ITEM-2","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uncertainty","type":"article-journal","volume":"6"},"uris":["http://www.mendeley.com/documents/?uuid=65c69c49-816e-3cec-a42e-b7f48a27fe97"]}],"mendeley":{"formattedCitation":"(Stolyarova &amp; Izquierdo, 2017; Walton et al., 2010)","plainTextFormattedCitation":"(Stolyarova &amp; Izquierdo, 2017; Walton et al., 2010)","previouslyFormattedCitation":"(Stolyarova &amp; Izquierdo, 2017; Walton et al., 2010)"},"properties":{"noteIndex":0},"schema":"https://github.com/citation-style-language/schema/raw/master/csl-citation.json"}</w:instrText>
      </w:r>
      <w:r>
        <w:fldChar w:fldCharType="separate"/>
      </w:r>
      <w:r w:rsidRPr="00676101">
        <w:rPr>
          <w:noProof/>
        </w:rPr>
        <w:t>(Stolyarova &amp; Izquierdo, 2017; Walton et al., 2010)</w:t>
      </w:r>
      <w:r>
        <w:fldChar w:fldCharType="end"/>
      </w:r>
      <w:r w:rsidRPr="00F0708B">
        <w:t xml:space="preserve">. However, post-training inactivation of the OFC would disrupt the ability to update </w:t>
      </w:r>
      <w:r>
        <w:lastRenderedPageBreak/>
        <w:t>already established</w:t>
      </w:r>
      <w:r w:rsidRPr="00F0708B">
        <w:t xml:space="preserve"> state representation</w:t>
      </w:r>
      <w:r>
        <w:t>s</w:t>
      </w:r>
      <w:r w:rsidRPr="00F0708B">
        <w:t xml:space="preserve"> at whatever stage of certainty/stability that </w:t>
      </w:r>
      <w:r>
        <w:t>they have</w:t>
      </w:r>
      <w:r w:rsidRPr="00F0708B">
        <w:t xml:space="preserve"> currently achieved. In the stable single cue-outcome learning situation employed in the present studies, this would result in disruption of further acquisition. Again, in a task with interference from multiple cue-outcome relationships, post-training lesions might improve performance.</w:t>
      </w:r>
    </w:p>
    <w:p w14:paraId="3171B8C7" w14:textId="77777777" w:rsidR="008D77D0" w:rsidRPr="00F0708B" w:rsidRDefault="008D77D0" w:rsidP="00F04D98">
      <w:pPr>
        <w:pStyle w:val="BodyText"/>
        <w:spacing w:line="480" w:lineRule="auto"/>
        <w:rPr>
          <w:b/>
          <w:bCs/>
        </w:rPr>
      </w:pPr>
      <w:r w:rsidRPr="00F0708B">
        <w:rPr>
          <w:b/>
          <w:bCs/>
        </w:rPr>
        <w:t>Conclusion</w:t>
      </w:r>
    </w:p>
    <w:p w14:paraId="63E60A08" w14:textId="30758A44" w:rsidR="003A29DA" w:rsidRDefault="008D77D0" w:rsidP="00F04D98">
      <w:pPr>
        <w:spacing w:line="480" w:lineRule="auto"/>
        <w:ind w:firstLine="720"/>
        <w:rPr>
          <w:sz w:val="24"/>
          <w:szCs w:val="24"/>
        </w:rPr>
      </w:pPr>
      <w:r>
        <w:rPr>
          <w:sz w:val="24"/>
          <w:szCs w:val="24"/>
        </w:rPr>
        <w:t xml:space="preserve">Here we show that the rodent lateral OFC is involved in Pavlovian acquisition learning process in an experience dependent manner. Once initial learning has taken place, the lateral OFC appears to be necessary for updating the current value of Pavlovian behaviours driven by expected outcome value. </w:t>
      </w:r>
      <w:r w:rsidR="003A29DA">
        <w:rPr>
          <w:sz w:val="24"/>
          <w:szCs w:val="24"/>
        </w:rPr>
        <w:t>These findings raise</w:t>
      </w:r>
      <w:r w:rsidR="006A24BC">
        <w:rPr>
          <w:sz w:val="24"/>
          <w:szCs w:val="24"/>
        </w:rPr>
        <w:t xml:space="preserve"> two</w:t>
      </w:r>
      <w:r w:rsidR="003A29DA">
        <w:rPr>
          <w:sz w:val="24"/>
          <w:szCs w:val="24"/>
        </w:rPr>
        <w:t xml:space="preserve"> </w:t>
      </w:r>
      <w:r w:rsidR="00086177">
        <w:rPr>
          <w:sz w:val="24"/>
          <w:szCs w:val="24"/>
        </w:rPr>
        <w:t xml:space="preserve">important </w:t>
      </w:r>
      <w:r w:rsidR="00E1318C">
        <w:rPr>
          <w:sz w:val="24"/>
          <w:szCs w:val="24"/>
        </w:rPr>
        <w:t>issues</w:t>
      </w:r>
      <w:r w:rsidR="000F511E">
        <w:rPr>
          <w:sz w:val="24"/>
          <w:szCs w:val="24"/>
        </w:rPr>
        <w:t xml:space="preserve">. First, </w:t>
      </w:r>
      <w:r w:rsidR="00E7081A">
        <w:rPr>
          <w:sz w:val="24"/>
          <w:szCs w:val="24"/>
        </w:rPr>
        <w:t>they</w:t>
      </w:r>
      <w:r w:rsidR="008A12A1">
        <w:rPr>
          <w:sz w:val="24"/>
          <w:szCs w:val="24"/>
        </w:rPr>
        <w:t xml:space="preserve"> demonstrate the importan</w:t>
      </w:r>
      <w:r w:rsidR="00F70381">
        <w:rPr>
          <w:sz w:val="24"/>
          <w:szCs w:val="24"/>
        </w:rPr>
        <w:t>ce of not</w:t>
      </w:r>
      <w:r w:rsidR="008A12A1">
        <w:rPr>
          <w:sz w:val="24"/>
          <w:szCs w:val="24"/>
        </w:rPr>
        <w:t xml:space="preserve"> interpreting a </w:t>
      </w:r>
      <w:r w:rsidR="007B3FF1">
        <w:rPr>
          <w:sz w:val="24"/>
          <w:szCs w:val="24"/>
        </w:rPr>
        <w:t xml:space="preserve">null effect of </w:t>
      </w:r>
      <w:r w:rsidR="007A5618">
        <w:rPr>
          <w:sz w:val="24"/>
          <w:szCs w:val="24"/>
        </w:rPr>
        <w:t>l</w:t>
      </w:r>
      <w:r w:rsidR="007B3FF1">
        <w:rPr>
          <w:sz w:val="24"/>
          <w:szCs w:val="24"/>
        </w:rPr>
        <w:t>esions on acquisition behaviour as evidence that the OFC is not involved in acquisition learning</w:t>
      </w:r>
      <w:r w:rsidR="007F2F62">
        <w:rPr>
          <w:sz w:val="24"/>
          <w:szCs w:val="24"/>
        </w:rPr>
        <w:t>.</w:t>
      </w:r>
      <w:r w:rsidR="007F3739">
        <w:rPr>
          <w:sz w:val="24"/>
          <w:szCs w:val="24"/>
        </w:rPr>
        <w:t xml:space="preserve"> </w:t>
      </w:r>
      <w:r w:rsidR="007F2F62">
        <w:rPr>
          <w:sz w:val="24"/>
          <w:szCs w:val="24"/>
        </w:rPr>
        <w:t xml:space="preserve">Instead, </w:t>
      </w:r>
      <w:r w:rsidR="00014210">
        <w:rPr>
          <w:sz w:val="24"/>
          <w:szCs w:val="24"/>
        </w:rPr>
        <w:t xml:space="preserve">the </w:t>
      </w:r>
      <w:r w:rsidR="007D5B9B">
        <w:rPr>
          <w:sz w:val="24"/>
          <w:szCs w:val="24"/>
        </w:rPr>
        <w:t xml:space="preserve">underlying </w:t>
      </w:r>
      <w:r w:rsidR="006F5719">
        <w:rPr>
          <w:sz w:val="24"/>
          <w:szCs w:val="24"/>
        </w:rPr>
        <w:t xml:space="preserve">deficit in acquisition is not </w:t>
      </w:r>
      <w:r w:rsidR="007D5B9B">
        <w:rPr>
          <w:sz w:val="24"/>
          <w:szCs w:val="24"/>
        </w:rPr>
        <w:t xml:space="preserve">being </w:t>
      </w:r>
      <w:r w:rsidR="00C43B0F">
        <w:rPr>
          <w:sz w:val="24"/>
          <w:szCs w:val="24"/>
        </w:rPr>
        <w:t>expressed or</w:t>
      </w:r>
      <w:r w:rsidR="007D5B9B">
        <w:rPr>
          <w:sz w:val="24"/>
          <w:szCs w:val="24"/>
        </w:rPr>
        <w:t xml:space="preserve"> is not relevant to behavioural performance in the task yet</w:t>
      </w:r>
      <w:r w:rsidR="006F7DC9">
        <w:rPr>
          <w:sz w:val="24"/>
          <w:szCs w:val="24"/>
        </w:rPr>
        <w:t xml:space="preserve">. Second, </w:t>
      </w:r>
      <w:r w:rsidR="00E7081A">
        <w:rPr>
          <w:sz w:val="24"/>
          <w:szCs w:val="24"/>
        </w:rPr>
        <w:t xml:space="preserve">these findings demonstrate that </w:t>
      </w:r>
      <w:r w:rsidR="001B52E5">
        <w:rPr>
          <w:sz w:val="24"/>
          <w:szCs w:val="24"/>
        </w:rPr>
        <w:t xml:space="preserve">even within a putatively “simple” behavioural task, there are </w:t>
      </w:r>
      <w:r w:rsidR="006F5719">
        <w:rPr>
          <w:sz w:val="24"/>
          <w:szCs w:val="24"/>
        </w:rPr>
        <w:t xml:space="preserve">many potential </w:t>
      </w:r>
      <w:r w:rsidR="006B24E7">
        <w:rPr>
          <w:sz w:val="24"/>
          <w:szCs w:val="24"/>
        </w:rPr>
        <w:t xml:space="preserve">underlying </w:t>
      </w:r>
      <w:r w:rsidR="0093008D">
        <w:rPr>
          <w:sz w:val="24"/>
          <w:szCs w:val="24"/>
        </w:rPr>
        <w:t xml:space="preserve">psychological processes that </w:t>
      </w:r>
      <w:r w:rsidR="00B13D6A">
        <w:rPr>
          <w:sz w:val="24"/>
          <w:szCs w:val="24"/>
        </w:rPr>
        <w:t xml:space="preserve">can </w:t>
      </w:r>
      <w:r w:rsidR="002D1186">
        <w:rPr>
          <w:sz w:val="24"/>
          <w:szCs w:val="24"/>
        </w:rPr>
        <w:t xml:space="preserve">contribute to performance and change </w:t>
      </w:r>
      <w:r w:rsidR="00B13D6A">
        <w:rPr>
          <w:sz w:val="24"/>
          <w:szCs w:val="24"/>
        </w:rPr>
        <w:t>over time.</w:t>
      </w:r>
      <w:r w:rsidR="002D602B">
        <w:rPr>
          <w:sz w:val="24"/>
          <w:szCs w:val="24"/>
        </w:rPr>
        <w:t xml:space="preserve"> </w:t>
      </w:r>
      <w:r w:rsidR="007E4CE1">
        <w:rPr>
          <w:sz w:val="24"/>
          <w:szCs w:val="24"/>
        </w:rPr>
        <w:t xml:space="preserve">This is consistent with growing </w:t>
      </w:r>
      <w:r w:rsidR="00515AD3">
        <w:rPr>
          <w:sz w:val="24"/>
          <w:szCs w:val="24"/>
        </w:rPr>
        <w:t>suggestions that the</w:t>
      </w:r>
      <w:r w:rsidR="00883551">
        <w:rPr>
          <w:sz w:val="24"/>
          <w:szCs w:val="24"/>
        </w:rPr>
        <w:t xml:space="preserve"> </w:t>
      </w:r>
      <w:r w:rsidR="00BD54A1">
        <w:rPr>
          <w:sz w:val="24"/>
          <w:szCs w:val="24"/>
        </w:rPr>
        <w:t>competition</w:t>
      </w:r>
      <w:r w:rsidR="00883551">
        <w:rPr>
          <w:sz w:val="24"/>
          <w:szCs w:val="24"/>
        </w:rPr>
        <w:t xml:space="preserve"> and</w:t>
      </w:r>
      <w:r w:rsidR="00515AD3">
        <w:rPr>
          <w:sz w:val="24"/>
          <w:szCs w:val="24"/>
        </w:rPr>
        <w:t xml:space="preserve"> interaction between </w:t>
      </w:r>
      <w:r w:rsidR="00883551">
        <w:rPr>
          <w:sz w:val="24"/>
          <w:szCs w:val="24"/>
        </w:rPr>
        <w:t xml:space="preserve">underlying </w:t>
      </w:r>
      <w:r w:rsidR="00515AD3">
        <w:rPr>
          <w:sz w:val="24"/>
          <w:szCs w:val="24"/>
        </w:rPr>
        <w:t>learning systems</w:t>
      </w:r>
      <w:r w:rsidR="00234420">
        <w:rPr>
          <w:sz w:val="24"/>
          <w:szCs w:val="24"/>
        </w:rPr>
        <w:t xml:space="preserve"> </w:t>
      </w:r>
      <w:r w:rsidR="00BD54A1">
        <w:rPr>
          <w:sz w:val="24"/>
          <w:szCs w:val="24"/>
        </w:rPr>
        <w:fldChar w:fldCharType="begin" w:fldLock="1"/>
      </w:r>
      <w:r w:rsidR="00BD54A1">
        <w:rPr>
          <w:sz w:val="24"/>
          <w:szCs w:val="24"/>
        </w:rPr>
        <w:instrText>ADDIN CSL_CITATION {"citationItems":[{"id":"ITEM-1","itemData":{"DOI":"10.1016/B978-0-12-812098-9.00007-3","ISBN":"9780128120989","abstract":"Most psychological research on reinforcement learning has depicted two systems locked in battle for control of behavior: a flexible but computationally expensive “model-based” system and an inflexible but cheap “model-free” system. However, the complete picture is more complex, with the two systems cooperating in myriad ways. We focus on two issues at the frontier of this research program. First, how is the conflict between these systems adjudicated? Second, how the systems can be combined to harness the relative strengths of each? This chapter reviews recent work on competition and cooperation between the two systems, highlighting the computational principles that govern different forms of interaction.","author":[{"dropping-particle":"","family":"Kool","given":"Wouter","non-dropping-particle":"","parse-names":false,"suffix":""},{"dropping-particle":"","family":"Cushman","given":"Fiery A.","non-dropping-particle":"","parse-names":false,"suffix":""},{"dropping-particle":"","family":"Gershman","given":"Samuel J.","non-dropping-particle":"","parse-names":false,"suffix":""}],"container-title":"Goal-Directed Decision Making: Computations and Neural Circuits","id":"ITEM-1","issued":{"date-parts":[["2018"]]},"number-of-pages":"153-178","publisher":"Elsevier Inc.","title":"Competition and cooperation between multiple reinforcement learning systems","type":"book"},"prefix":"e.g. ","uris":["http://www.mendeley.com/documents/?uuid=c1b33c74-ba5f-4ab9-b6ed-9a7de9e622d5"]}],"mendeley":{"formattedCitation":"(e.g. Kool et al., 2018)","plainTextFormattedCitation":"(e.g. Kool et al., 2018)","previouslyFormattedCitation":"(Kool et al., 2018)"},"properties":{"noteIndex":0},"schema":"https://github.com/citation-style-language/schema/raw/master/csl-citation.json"}</w:instrText>
      </w:r>
      <w:r w:rsidR="00BD54A1">
        <w:rPr>
          <w:sz w:val="24"/>
          <w:szCs w:val="24"/>
        </w:rPr>
        <w:fldChar w:fldCharType="separate"/>
      </w:r>
      <w:r w:rsidR="00BD54A1" w:rsidRPr="00BD54A1">
        <w:rPr>
          <w:noProof/>
          <w:sz w:val="24"/>
          <w:szCs w:val="24"/>
        </w:rPr>
        <w:t>(e.g. Kool et al., 2018)</w:t>
      </w:r>
      <w:r w:rsidR="00BD54A1">
        <w:rPr>
          <w:sz w:val="24"/>
          <w:szCs w:val="24"/>
        </w:rPr>
        <w:fldChar w:fldCharType="end"/>
      </w:r>
      <w:r w:rsidR="00515AD3">
        <w:rPr>
          <w:sz w:val="24"/>
          <w:szCs w:val="24"/>
        </w:rPr>
        <w:t xml:space="preserve"> </w:t>
      </w:r>
      <w:r w:rsidR="00234420">
        <w:rPr>
          <w:sz w:val="24"/>
          <w:szCs w:val="24"/>
        </w:rPr>
        <w:t xml:space="preserve">is important and needs further study </w:t>
      </w:r>
      <w:r w:rsidR="00234420">
        <w:rPr>
          <w:sz w:val="24"/>
          <w:szCs w:val="24"/>
        </w:rPr>
        <w:fldChar w:fldCharType="begin" w:fldLock="1"/>
      </w:r>
      <w:r w:rsidR="00BD54A1">
        <w:rPr>
          <w:sz w:val="24"/>
          <w:szCs w:val="24"/>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234420">
        <w:rPr>
          <w:sz w:val="24"/>
          <w:szCs w:val="24"/>
        </w:rPr>
        <w:fldChar w:fldCharType="separate"/>
      </w:r>
      <w:r w:rsidR="00234420" w:rsidRPr="00234420">
        <w:rPr>
          <w:noProof/>
          <w:sz w:val="24"/>
          <w:szCs w:val="24"/>
        </w:rPr>
        <w:t>(Collins &amp; Cockburn, 2020)</w:t>
      </w:r>
      <w:r w:rsidR="00234420">
        <w:rPr>
          <w:sz w:val="24"/>
          <w:szCs w:val="24"/>
        </w:rPr>
        <w:fldChar w:fldCharType="end"/>
      </w:r>
      <w:r w:rsidR="00234420">
        <w:rPr>
          <w:sz w:val="24"/>
          <w:szCs w:val="24"/>
        </w:rPr>
        <w:t>.</w:t>
      </w:r>
    </w:p>
    <w:p w14:paraId="45769FB7" w14:textId="732F5AA8" w:rsidR="00070894" w:rsidRDefault="008D77D0" w:rsidP="00F04D98">
      <w:pPr>
        <w:spacing w:line="480" w:lineRule="auto"/>
        <w:ind w:firstLine="720"/>
        <w:rPr>
          <w:sz w:val="24"/>
          <w:szCs w:val="24"/>
        </w:rPr>
      </w:pPr>
      <w:r>
        <w:rPr>
          <w:sz w:val="24"/>
          <w:szCs w:val="24"/>
        </w:rPr>
        <w:t>While the OFC has often been found not to be necessary for initial acquisition learning, r</w:t>
      </w:r>
      <w:r w:rsidRPr="00F0708B">
        <w:rPr>
          <w:sz w:val="24"/>
          <w:szCs w:val="24"/>
        </w:rPr>
        <w:t xml:space="preserve">ecently there have been reports that simple Pavlovian acquisition is significantly impaired rather than enhanced following optogenetic inhibition of OFC function in head fixed mice </w:t>
      </w:r>
      <w:r w:rsidRPr="00F0708B">
        <w:rPr>
          <w:sz w:val="24"/>
          <w:szCs w:val="24"/>
        </w:rPr>
        <w:fldChar w:fldCharType="begin" w:fldLock="1"/>
      </w:r>
      <w:r w:rsidR="00AF2A51">
        <w:rPr>
          <w:sz w:val="24"/>
          <w:szCs w:val="24"/>
        </w:rPr>
        <w:instrText>ADDIN CSL_CITATION {"citationItems":[{"id":"ITEM-1","itemData":{"DOI":"10.1038/s41593-019-0408-1","ISSN":"1097-6256","abstract":"Learning to predict rewards based on environmental cues is essential for survival. The orbitofrontal cortex (OFC) contributes to such learning by conveying reward-related information to brain areas such as the ventral tegmental area (VTA). Despite this, how cue–reward memory representations form in individual OFC neurons and are modified based on new information is unknown. To address this, using in vivo two-photon calcium imaging in mice, we tracked the response evolution of thousands of OFC output neurons, including those projecting to VTA, through multiple days and stages of cue–reward learning. Collectively, we show that OFC contains several functional clusters of neurons distinctly encoding cue–reward memory representations, with only select responses routed downstream to VTA. Unexpectedly, these representations were stably maintained by the same neurons even after extinction of the cue–reward pairing, and supported behavioral learning and memory. Thus, OFC neuronal activity represents a long-term cue–reward associative memory to support behavioral adaptation.","author":[{"dropping-particle":"","family":"Namboodiri","given":"Vijay Mohan K.","non-dropping-particle":"","parse-names":false,"suffix":""},{"dropping-particle":"","family":"Otis","given":"James M.","non-dropping-particle":"","parse-names":false,"suffix":""},{"dropping-particle":"","family":"Heeswijk","given":"Kay","non-dropping-particle":"van","parse-names":false,"suffix":""},{"dropping-particle":"","family":"Voets","given":"Elisa S.","non-dropping-particle":"","parse-names":false,"suffix":""},{"dropping-particle":"","family":"Alghorazi","given":"Rizk A.","non-dropping-particle":"","parse-names":false,"suffix":""},{"dropping-particle":"","family":"Rodriguez-Romaguera","given":"Jose","non-dropping-particle":"","parse-names":false,"suffix":""},{"dropping-particle":"","family":"Mihalas","given":"Stefan","non-dropping-particle":"","parse-names":false,"suffix":""},{"dropping-particle":"","family":"Stuber","given":"Garret D.","non-dropping-particle":"","parse-names":false,"suffix":""}],"container-title":"Nature Neuroscience","id":"ITEM-1","issued":{"date-parts":[["2019","6","3"]]},"page":"1","publisher":"Nature Publishing Group","title":"Single-cell activity tracking reveals that orbitofrontal neurons acquire and maintain a long-term memory to guide behavioral adaptation","type":"article-journal"},"uris":["http://www.mendeley.com/documents/?uuid=dcb9fef0-ce3b-3cf9-91de-65a614ffe758"]},{"id":"ITEM-2","itemData":{"DOI":"10.1016/j.neuron.2020.07.033","ISSN":"10974199","PMID":"32827456","abstract":"The representation of odor in olfactory cortex (piriform) is distributive and unstructured and can only be afforded behavioral significance upon learning. We performed 2-photon imaging to examine the representation of odors in piriform and in two downstream areas, the orbitofrontal cortex (OFC) and the medial prefrontal cortex (mPFC), as mice learned olfactory associations. In piriform, we observed that odor responses were largely unchanged during learning. In OFC, 30% of the neurons acquired robust responses to conditioned stimuli (CS+) after learning, and these responses were gated by internal state and task context. Moreover, direct projections from piriform to OFC can be entrained to elicit learned olfactory behavior. CS+ responses in OFC diminished with continued training, whereas persistent representations of both CS+ and CS− odors emerged in mPFC. Optogenetic silencing indicates that these two brain structures function sequentially to consolidate the learning of appetitive associations.","author":[{"dropping-particle":"","family":"Wang","given":"Peter Y","non-dropping-particle":"","parse-names":false,"suffix":""},{"dropping-particle":"","family":"Boboila","given":"Cristian","non-dropping-particle":"","parse-names":false,"suffix":""},{"dropping-particle":"","family":"Chin","given":"Matthew","non-dropping-particle":"","parse-names":false,"suffix":""},{"dropping-particle":"","family":"Higashi-Howard","given":"Alexandra","non-dropping-particle":"","parse-names":false,"suffix":""},{"dropping-particle":"","family":"Shamash","given":"Philip","non-dropping-particle":"","parse-names":false,"suffix":""},{"dropping-particle":"","family":"Wu","given":"Zheng","non-dropping-particle":"","parse-names":false,"suffix":""},{"dropping-particle":"","family":"Stein","given":"Nicole P","non-dropping-particle":"","parse-names":false,"suffix":""},{"dropping-particle":"","family":"Abbott","given":"L F","non-dropping-particle":"","parse-names":false,"suffix":""},{"dropping-particle":"","family":"Axel","given":"Richard","non-dropping-particle":"","parse-names":false,"suffix":""}],"container-title":"Neuron","id":"ITEM-2","issued":{"date-parts":[["2020"]]},"page":"1-16","title":"Transient and Persistent Representations of Odor Value in Prefrontal Cortex","type":"article-journal"},"uris":["http://www.mendeley.com/documents/?uuid=fc092ee6-f5b0-4a2f-9136-55c50d2cf130"]}],"mendeley":{"formattedCitation":"(Namboodiri et al., 2019; Wang et al., 2020)","plainTextFormattedCitation":"(Namboodiri et al., 2019; Wang et al., 2020)","previouslyFormattedCitation":"(Namboodiri et al., 2019; Wang et al., 2020)"},"properties":{"noteIndex":0},"schema":"https://github.com/citation-style-language/schema/raw/master/csl-citation.json"}</w:instrText>
      </w:r>
      <w:r w:rsidRPr="00F0708B">
        <w:rPr>
          <w:sz w:val="24"/>
          <w:szCs w:val="24"/>
        </w:rPr>
        <w:fldChar w:fldCharType="separate"/>
      </w:r>
      <w:r w:rsidRPr="00F0708B">
        <w:rPr>
          <w:noProof/>
          <w:sz w:val="24"/>
          <w:szCs w:val="24"/>
        </w:rPr>
        <w:t>(Namboodiri et al., 2019; Wang et al., 2020)</w:t>
      </w:r>
      <w:r w:rsidRPr="00F0708B">
        <w:rPr>
          <w:sz w:val="24"/>
          <w:szCs w:val="24"/>
        </w:rPr>
        <w:fldChar w:fldCharType="end"/>
      </w:r>
      <w:r w:rsidRPr="00F0708B">
        <w:rPr>
          <w:sz w:val="24"/>
          <w:szCs w:val="24"/>
        </w:rPr>
        <w:t xml:space="preserve">, in a manner that does not depend on VTA </w:t>
      </w:r>
      <w:r w:rsidRPr="00F0708B">
        <w:rPr>
          <w:sz w:val="24"/>
          <w:szCs w:val="24"/>
        </w:rPr>
        <w:lastRenderedPageBreak/>
        <w:t xml:space="preserve">prediction error signaling. </w:t>
      </w:r>
      <w:r>
        <w:rPr>
          <w:sz w:val="24"/>
          <w:szCs w:val="24"/>
        </w:rPr>
        <w:t>In contrast to our results</w:t>
      </w:r>
      <w:r w:rsidRPr="00F0708B">
        <w:rPr>
          <w:sz w:val="24"/>
          <w:szCs w:val="24"/>
        </w:rPr>
        <w:t xml:space="preserve">, these studies target more ventral and medial OFC, which is likely to be an important anatomical distinction given the emerging evidence of functional heterogeneity within the OFC </w:t>
      </w:r>
      <w:r>
        <w:rPr>
          <w:sz w:val="24"/>
          <w:szCs w:val="24"/>
        </w:rPr>
        <w:fldChar w:fldCharType="begin" w:fldLock="1"/>
      </w:r>
      <w:r w:rsidR="00305542">
        <w:rPr>
          <w:sz w:val="24"/>
          <w:szCs w:val="24"/>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space","type":"article-journal","volume":"108"},"uris":["http://www.mendeley.com/documents/?uuid=a59de6ec-ebdc-3e8e-8c97-77b502c159bb"]},{"id":"ITEM-4","itemData":{"DOI":"10.1016/j.neuron.2015.12.004","ISSN":"1097-4199","PMID":"26687216","abstract":"State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Neuron","id":"ITEM-4","issue":"6","issued":{"date-parts":[["2015","12","16"]]},"page":"1075-7","title":"The State of the Orbitofrontal Cortex.","type":"article-journal","volume":"88"},"uris":["http://www.mendeley.com/documents/?uuid=877c685e-e70f-4387-bc32-a44ddd22c0be"]}],"mendeley":{"formattedCitation":"(Barreiros et al., 2020, 2021; Bradfield &amp; Hart, 2020; Sharpe et al., 2015)","plainTextFormattedCitation":"(Barreiros et al., 2020, 2021; Bradfield &amp; Hart, 2020; Sharpe et al., 2015)","previouslyFormattedCitation":"(Barreiros et al., 2020, 2021; Bradfield &amp; Hart, 2020; Sharpe et al., 2015)"},"properties":{"noteIndex":0},"schema":"https://github.com/citation-style-language/schema/raw/master/csl-citation.json"}</w:instrText>
      </w:r>
      <w:r>
        <w:rPr>
          <w:sz w:val="24"/>
          <w:szCs w:val="24"/>
        </w:rPr>
        <w:fldChar w:fldCharType="separate"/>
      </w:r>
      <w:r w:rsidRPr="00AE608D">
        <w:rPr>
          <w:noProof/>
          <w:sz w:val="24"/>
          <w:szCs w:val="24"/>
        </w:rPr>
        <w:t>(Barreiros et al., 2020, 2021; Bradfield &amp; Hart, 2020; Sharpe et al., 2015)</w:t>
      </w:r>
      <w:r>
        <w:rPr>
          <w:sz w:val="24"/>
          <w:szCs w:val="24"/>
        </w:rPr>
        <w:fldChar w:fldCharType="end"/>
      </w:r>
      <w:r w:rsidRPr="00F0708B">
        <w:rPr>
          <w:sz w:val="24"/>
          <w:szCs w:val="24"/>
        </w:rPr>
        <w:t>. Indeed, there appears to be dissociable but complementary roles of the medial and lateral</w:t>
      </w:r>
      <w:r>
        <w:rPr>
          <w:sz w:val="24"/>
          <w:szCs w:val="24"/>
        </w:rPr>
        <w:t xml:space="preserve"> OFC</w:t>
      </w:r>
      <w:r w:rsidRPr="00F0708B">
        <w:rPr>
          <w:sz w:val="24"/>
          <w:szCs w:val="24"/>
        </w:rPr>
        <w:t xml:space="preserve"> such that lateral OFC lesions disrupt Pavlovian whereas medial OFC lesions disrupt instrumental behavioural control </w:t>
      </w:r>
      <w:r w:rsidRPr="00F0708B">
        <w:rPr>
          <w:sz w:val="24"/>
          <w:szCs w:val="24"/>
        </w:rPr>
        <w:fldChar w:fldCharType="begin" w:fldLock="1"/>
      </w:r>
      <w:r w:rsidR="00305542">
        <w:rPr>
          <w:sz w:val="24"/>
          <w:szCs w:val="24"/>
        </w:rPr>
        <w:instrText>ADDIN CSL_CITATION {"citationItems":[{"id":"ITEM-1","itemData":{"DOI":"10.1016/j.neuron.2015.10.044","ISSN":"10974199","PMID":"26627312","abstract":"Choice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W.","non-dropping-particle":"","parse-names":false,"suffix":""}],"container-title":"Neuron","id":"ITEM-1","issue":"6","issued":{"date-parts":[["2015"]]},"page":"1268-1280","title":"Medial Orbitofrontal Cortex Mediates Outcome Retrieval in Partially Observable Task Situations","type":"article-journal","volume":"88"},"uris":["http://www.mendeley.com/documents/?uuid=3b0fa5ce-486e-4587-9f5a-e5c4aa806013"]},{"id":"ITEM-2","itemData":{"DOI":"10.1016/j.nlm.2018.09.008","ISSN":"10959564","PMID":"30243849","abstract":"Although studies examining orbitofrontal cortex (OFC) often treat it as though it were functionally homogeneous, recent evidence has questioned this assumption. Not only are the various subregions of OFC (lateral, ventral, and medial) hetereogeneous, but there is further evidence of heterogeneity within those subregions. For example, several studies in both humans and monkeys have revealed a functional subdivision along the anterior-posterior gradient of the medial OFC (mOFC). Given our previous findings suggesting that, in rats, the mOFC is responsible for inferring the likelihood of unobservable action outcomes (Bradfield, Dezfouli, van Holstein, Chieng, &amp; Balleine, 2015), and given the anterior nature of the placements of our prior manipulations, we decided to assess whether the rat mOFC also differs in connection and function along its anteroposterior axis. We first used retrograde tracing to compare the density of efferents from mOFC to several structures known to contribute to goal-directed action: the mediodorsal thalamus, basolateral amygdala, posterior dorsomedial striatum, nucleus accumbens core and ventral tegmental area. We then compared the functional effects of anterior versus posterior mOFC excitotoxic lesions on tests of Pavlovian-instrumental transfer, instrumental outcome devaluation and outcome-specific reinstatement. We found evidence that the anterior mOFC had greater connectivity with the accumbens core and greater functional involvement in goal-directed action than the posterior mOFC. Consistent with previous findings across species, therefore, these results suggest that the anterior and posterior mOFC of the rat are indeed functionally distinct, and that it is the anterior mOFC that is particularly critical for inferring unobservable action outcomes.","author":[{"dropping-particle":"","family":"Bradfield","given":"Laura A.","non-dropping-particle":"","parse-names":false,"suffix":""},{"dropping-particle":"","family":"Hart","given":"Genevra","non-dropping-particle":"","parse-names":false,"suffix":""},{"dropping-particle":"","family":"Balleine","given":"Bernard W.","non-dropping-particle":"","parse-names":false,"suffix":""}],"container-title":"Neurobiology of Learning and Memory","id":"ITEM-2","issue":"May","issued":{"date-parts":[["2018"]]},"page":"463-473","title":"Inferring action-dependent outcome representations depends on anterior but not posterior medial orbitofrontal cortex","type":"article-journal","volume":"155"},"uris":["http://www.mendeley.com/documents/?uuid=f8641a2a-0106-48b7-8df6-9b7182b5a890"]},{"id":"ITEM-3","itemData":{"DOI":"10.7554/eLife.37357.001","ISSN":"2050084X","abstract":"The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Neuroscience","id":"ITEM-5","issued":{"date-parts":[["2011"]]},"page":"2700-2705","title":"Ventral striatum and orbitofrontal cortex are both required for model-based, but not model-free, reinforcement learning","type":"article-journal","volume":"31"},"uris":["http://www.mendeley.com/documents/?uuid=fd72c0c0-95bc-4b3c-b673-02f000ff2455"]},{"id":"ITEM-6","itemData":{"DOI":"10.1016/j.neuron.2017.10.026","ISSN":"08966273","abstract":"&lt;h2&gt;Summary&lt;/h2&gt;&lt;p&gt;How do we choose between goods that have different subjective values, like apples and oranges? Neuroeconomics proposes that this is done by reducing complex goods to a single unitary value to allow comparison. This value is computed \"on the fly\" from the underlying model of the goods space, allowing decisions to meet current needs. This is termed \"model-based\" behavior to distinguish it from pre-determined, habitual, or \"model-free\" behavior. The lateral orbitofrontal cortex (OFC) supports model-based behavior in rats and primates, but whether the OFC is necessary for economic choice is less clear. Here we tested this question by optogenetically inactivating the lateral OFC in rats in a classic model-based task and during economic choice. Contrary to predictions, inactivation disrupted model-based behavior without affecting economic choice.&lt;/p&gt;","author":[{"dropping-particle":"","family":"Gardner","given":"Matthew P.H.","non-dropping-particle":"","parse-names":false,"suffix":""},{"dropping-particle":"","family":"Conroy","given":"Jessica S.","non-dropping-particle":"","parse-names":false,"suffix":""},{"dropping-particle":"","family":"Shaham","given":"Michael H.","non-dropping-particle":"","parse-names":false,"suffix":""},{"dropping-particle":"V.","family":"Styer","given":"Clay","non-dropping-particle":"","parse-names":false,"suffix":""},{"dropping-particle":"","family":"Schoenbaum","given":"G.","non-dropping-particle":"","parse-names":false,"suffix":""}],"container-title":"Neuron","id":"ITEM-6","issue":"0","issued":{"date-parts":[["2017","11"]]},"publisher":"Elsevier","title":"Lateral Orbitofrontal Inactivation Dissociates Devaluation-Sensitive Behavior and Economic Choice","type":"article-journal","volume":"0"},"uris":["http://www.mendeley.com/documents/?uuid=709a0352-dd2d-395d-9ecb-dacfa17a6d20"]},{"id":"ITEM-7","itemData":{"DOI":"10.7554/eLife.38963","ISSN":"2050-084X","abstract":"How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-7","issued":{"date-parts":[["2018","10","3"]]},"title":"Medial orbitofrontal inactivation does not affect economic choice","type":"article-journal","volume":"7"},"uris":["http://www.mendeley.com/documents/?uuid=166ffc6c-f02b-33af-8b85-e5daac026408"]}],"mendeley":{"formattedCitation":"(Bradfield et al., 2015, 2018; Gardner et al., 2017, 2018; McDannald et al., 2011; Ostlund &amp; Balleine, 2007; Panayi &amp; Killcross, 2018)","plainTextFormattedCitation":"(Bradfield et al., 2015, 2018; Gardner et al., 2017, 2018; McDannald et al., 2011; Ostlund &amp; Balleine, 2007; Panayi &amp; Killcross, 2018)","previouslyFormattedCitation":"(Bradfield et al., 2015, 2018; Gardner et al., 2017, 2018; McDannald et al., 2011; Ostlund &amp; Balleine, 2007; Panayi &amp; Killcross, 2018)"},"properties":{"noteIndex":0},"schema":"https://github.com/citation-style-language/schema/raw/master/csl-citation.json"}</w:instrText>
      </w:r>
      <w:r w:rsidRPr="00F0708B">
        <w:rPr>
          <w:sz w:val="24"/>
          <w:szCs w:val="24"/>
        </w:rPr>
        <w:fldChar w:fldCharType="separate"/>
      </w:r>
      <w:r w:rsidRPr="0077411D">
        <w:rPr>
          <w:noProof/>
          <w:sz w:val="24"/>
          <w:szCs w:val="24"/>
        </w:rPr>
        <w:t>(Bradfield et al., 2015, 2018; Gardner et al., 2017, 2018; McDannald et al., 2011; Ostlund &amp; Balleine, 2007; Panayi &amp; Killcross, 2018)</w:t>
      </w:r>
      <w:r w:rsidRPr="00F0708B">
        <w:rPr>
          <w:sz w:val="24"/>
          <w:szCs w:val="24"/>
        </w:rPr>
        <w:fldChar w:fldCharType="end"/>
      </w:r>
      <w:r w:rsidRPr="00F0708B">
        <w:rPr>
          <w:sz w:val="24"/>
          <w:szCs w:val="24"/>
        </w:rPr>
        <w:t>.</w:t>
      </w:r>
      <w:r>
        <w:rPr>
          <w:sz w:val="24"/>
          <w:szCs w:val="24"/>
        </w:rPr>
        <w:t xml:space="preserve"> This suggests that the OFC</w:t>
      </w:r>
      <w:proofErr w:type="gramStart"/>
      <w:r w:rsidR="007D70F5">
        <w:rPr>
          <w:sz w:val="24"/>
          <w:szCs w:val="24"/>
        </w:rPr>
        <w:t>,</w:t>
      </w:r>
      <w:r>
        <w:rPr>
          <w:sz w:val="24"/>
          <w:szCs w:val="24"/>
        </w:rPr>
        <w:t xml:space="preserve"> as a whole</w:t>
      </w:r>
      <w:r w:rsidR="007D70F5">
        <w:rPr>
          <w:sz w:val="24"/>
          <w:szCs w:val="24"/>
        </w:rPr>
        <w:t xml:space="preserve">, </w:t>
      </w:r>
      <w:r>
        <w:rPr>
          <w:sz w:val="24"/>
          <w:szCs w:val="24"/>
        </w:rPr>
        <w:t>is</w:t>
      </w:r>
      <w:proofErr w:type="gramEnd"/>
      <w:r>
        <w:rPr>
          <w:sz w:val="24"/>
          <w:szCs w:val="24"/>
        </w:rPr>
        <w:t xml:space="preserve"> engaged in the learning and flexible updating of value based behaviours, but within the orbital subregions this process appears to be remarkably specialized for distinct types of behaviour and learning.</w:t>
      </w:r>
      <w:r w:rsidR="00070894">
        <w:br w:type="page"/>
      </w:r>
    </w:p>
    <w:p w14:paraId="441DA769" w14:textId="506CF170" w:rsidR="003F1B21" w:rsidRDefault="003F1B21" w:rsidP="00F04D98">
      <w:pPr>
        <w:spacing w:line="480" w:lineRule="auto"/>
        <w:jc w:val="center"/>
        <w:rPr>
          <w:rFonts w:ascii="Times New Roman" w:hAnsi="Times New Roman" w:cs="Times New Roman"/>
          <w:b/>
          <w:bCs/>
          <w:sz w:val="24"/>
          <w:szCs w:val="24"/>
          <w:lang w:val="en-GB"/>
        </w:rPr>
      </w:pPr>
      <w:r w:rsidRPr="008D0CD6">
        <w:rPr>
          <w:rFonts w:ascii="Times New Roman" w:hAnsi="Times New Roman" w:cs="Times New Roman"/>
          <w:b/>
          <w:bCs/>
          <w:sz w:val="24"/>
          <w:szCs w:val="24"/>
          <w:lang w:val="en-GB"/>
        </w:rPr>
        <w:lastRenderedPageBreak/>
        <w:t>References</w:t>
      </w:r>
    </w:p>
    <w:p w14:paraId="3646C568" w14:textId="71FC462D" w:rsidR="00BD54A1" w:rsidRPr="00BD54A1" w:rsidRDefault="0075381C"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bCs/>
          <w:sz w:val="24"/>
          <w:szCs w:val="24"/>
          <w:lang w:val="en-GB"/>
        </w:rPr>
        <w:fldChar w:fldCharType="begin" w:fldLock="1"/>
      </w:r>
      <w:r>
        <w:rPr>
          <w:rFonts w:ascii="Times New Roman" w:hAnsi="Times New Roman" w:cs="Times New Roman"/>
          <w:b/>
          <w:bCs/>
          <w:sz w:val="24"/>
          <w:szCs w:val="24"/>
          <w:lang w:val="en-GB"/>
        </w:rPr>
        <w:instrText xml:space="preserve">ADDIN Mendeley Bibliography CSL_BIBLIOGRAPHY </w:instrText>
      </w:r>
      <w:r>
        <w:rPr>
          <w:rFonts w:ascii="Times New Roman" w:hAnsi="Times New Roman" w:cs="Times New Roman"/>
          <w:b/>
          <w:bCs/>
          <w:sz w:val="24"/>
          <w:szCs w:val="24"/>
          <w:lang w:val="en-GB"/>
        </w:rPr>
        <w:fldChar w:fldCharType="separate"/>
      </w:r>
      <w:r w:rsidR="00BD54A1" w:rsidRPr="00BD54A1">
        <w:rPr>
          <w:rFonts w:ascii="Times New Roman" w:hAnsi="Times New Roman" w:cs="Times New Roman"/>
          <w:noProof/>
          <w:sz w:val="24"/>
          <w:szCs w:val="24"/>
        </w:rPr>
        <w:t xml:space="preserve">Balleine, B. W., Leung, B. K., &amp; Ostlund, S. B. (2011). The orbitofrontal cortex, predicted value, and choice. </w:t>
      </w:r>
      <w:r w:rsidR="00BD54A1" w:rsidRPr="00BD54A1">
        <w:rPr>
          <w:rFonts w:ascii="Times New Roman" w:hAnsi="Times New Roman" w:cs="Times New Roman"/>
          <w:i/>
          <w:iCs/>
          <w:noProof/>
          <w:sz w:val="24"/>
          <w:szCs w:val="24"/>
        </w:rPr>
        <w:t>Ann N Y Acad Sci</w:t>
      </w:r>
      <w:r w:rsidR="00BD54A1" w:rsidRPr="00BD54A1">
        <w:rPr>
          <w:rFonts w:ascii="Times New Roman" w:hAnsi="Times New Roman" w:cs="Times New Roman"/>
          <w:noProof/>
          <w:sz w:val="24"/>
          <w:szCs w:val="24"/>
        </w:rPr>
        <w:t xml:space="preserve">, </w:t>
      </w:r>
      <w:r w:rsidR="00BD54A1" w:rsidRPr="00BD54A1">
        <w:rPr>
          <w:rFonts w:ascii="Times New Roman" w:hAnsi="Times New Roman" w:cs="Times New Roman"/>
          <w:i/>
          <w:iCs/>
          <w:noProof/>
          <w:sz w:val="24"/>
          <w:szCs w:val="24"/>
        </w:rPr>
        <w:t>1239</w:t>
      </w:r>
      <w:r w:rsidR="00BD54A1" w:rsidRPr="00BD54A1">
        <w:rPr>
          <w:rFonts w:ascii="Times New Roman" w:hAnsi="Times New Roman" w:cs="Times New Roman"/>
          <w:noProof/>
          <w:sz w:val="24"/>
          <w:szCs w:val="24"/>
        </w:rPr>
        <w:t>, 43–50. https://doi.org/10.1111/j.1749-6632.2011.06270.x</w:t>
      </w:r>
    </w:p>
    <w:p w14:paraId="54100783"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Barreiros, I. V, Ishii, H., Walton, M. E., &amp; Panayi, M. C. (2021). Defining an orbitofrontal compass: functional and anatomical heterogeneity across anterior-posterior and medial-lateral axes. </w:t>
      </w:r>
      <w:r w:rsidRPr="00BD54A1">
        <w:rPr>
          <w:rFonts w:ascii="Times New Roman" w:hAnsi="Times New Roman" w:cs="Times New Roman"/>
          <w:i/>
          <w:iCs/>
          <w:noProof/>
          <w:sz w:val="24"/>
          <w:szCs w:val="24"/>
        </w:rPr>
        <w:t>Behavioral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under review</w:t>
      </w:r>
      <w:r w:rsidRPr="00BD54A1">
        <w:rPr>
          <w:rFonts w:ascii="Times New Roman" w:hAnsi="Times New Roman" w:cs="Times New Roman"/>
          <w:noProof/>
          <w:sz w:val="24"/>
          <w:szCs w:val="24"/>
        </w:rPr>
        <w:t>.</w:t>
      </w:r>
    </w:p>
    <w:p w14:paraId="05FD198A"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Barreiros, I. V, Panayi, M. C., &amp; Walton, M. E. (2020). Organisation of afferents along the anterior-posterior and medial-lateral axes of the rat OFC. </w:t>
      </w:r>
      <w:r w:rsidRPr="00BD54A1">
        <w:rPr>
          <w:rFonts w:ascii="Times New Roman" w:hAnsi="Times New Roman" w:cs="Times New Roman"/>
          <w:i/>
          <w:iCs/>
          <w:noProof/>
          <w:sz w:val="24"/>
          <w:szCs w:val="24"/>
        </w:rPr>
        <w:t>BioRxiv</w:t>
      </w:r>
      <w:r w:rsidRPr="00BD54A1">
        <w:rPr>
          <w:rFonts w:ascii="Times New Roman" w:hAnsi="Times New Roman" w:cs="Times New Roman"/>
          <w:noProof/>
          <w:sz w:val="24"/>
          <w:szCs w:val="24"/>
        </w:rPr>
        <w:t>, 1–44. https://doi.org/https://doi.org/10.1101/2020.08.28.272591</w:t>
      </w:r>
    </w:p>
    <w:p w14:paraId="59C97AA7"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Baxter, M. G., Parker, A., Lindner, C. C., Izquierdo, A. D., &amp; Murray, E. A. (2000). Control of response selection by reinforcer value requires interaction of amygdala and orbital prefrontal cortex.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20</w:t>
      </w:r>
      <w:r w:rsidRPr="00BD54A1">
        <w:rPr>
          <w:rFonts w:ascii="Times New Roman" w:hAnsi="Times New Roman" w:cs="Times New Roman"/>
          <w:noProof/>
          <w:sz w:val="24"/>
          <w:szCs w:val="24"/>
        </w:rPr>
        <w:t>(11), 4311–4319. http://www.jneurosci.org/content/20/11/4311.full.pdf</w:t>
      </w:r>
    </w:p>
    <w:p w14:paraId="2173495D"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Boulougouris, V., Dalley, J. W., &amp; Robbins, T. W. (2007). Effects of orbitofrontal, infralimbic and prelimbic cortical lesions on serial spatial reversal learning in the rat. </w:t>
      </w:r>
      <w:r w:rsidRPr="00BD54A1">
        <w:rPr>
          <w:rFonts w:ascii="Times New Roman" w:hAnsi="Times New Roman" w:cs="Times New Roman"/>
          <w:i/>
          <w:iCs/>
          <w:noProof/>
          <w:sz w:val="24"/>
          <w:szCs w:val="24"/>
        </w:rPr>
        <w:t>Behavioural Brain Research</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179</w:t>
      </w:r>
      <w:r w:rsidRPr="00BD54A1">
        <w:rPr>
          <w:rFonts w:ascii="Times New Roman" w:hAnsi="Times New Roman" w:cs="Times New Roman"/>
          <w:noProof/>
          <w:sz w:val="24"/>
          <w:szCs w:val="24"/>
        </w:rPr>
        <w:t>(2), 219–228. https://doi.org/10.1016/j.bbr.2007.02.005</w:t>
      </w:r>
    </w:p>
    <w:p w14:paraId="5ED22F74"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Boulougouris, V., &amp; Robbins, T. W. (2009). Pre-surgical training ameliorates orbitofrontal-mediated impairments in spatial reversal learning. </w:t>
      </w:r>
      <w:r w:rsidRPr="00BD54A1">
        <w:rPr>
          <w:rFonts w:ascii="Times New Roman" w:hAnsi="Times New Roman" w:cs="Times New Roman"/>
          <w:i/>
          <w:iCs/>
          <w:noProof/>
          <w:sz w:val="24"/>
          <w:szCs w:val="24"/>
        </w:rPr>
        <w:t>Behavioural Brain Research</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197</w:t>
      </w:r>
      <w:r w:rsidRPr="00BD54A1">
        <w:rPr>
          <w:rFonts w:ascii="Times New Roman" w:hAnsi="Times New Roman" w:cs="Times New Roman"/>
          <w:noProof/>
          <w:sz w:val="24"/>
          <w:szCs w:val="24"/>
        </w:rPr>
        <w:t>(2), 469–475. https://doi.org/10.1016/j.bbr.2008.10.005</w:t>
      </w:r>
    </w:p>
    <w:p w14:paraId="40735799"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Bradfield, L. A., Dezfouli, A., Van Holstein, M., Chieng, B., &amp; Balleine, B. W. (2015). Medial </w:t>
      </w:r>
      <w:r w:rsidRPr="00BD54A1">
        <w:rPr>
          <w:rFonts w:ascii="Times New Roman" w:hAnsi="Times New Roman" w:cs="Times New Roman"/>
          <w:noProof/>
          <w:sz w:val="24"/>
          <w:szCs w:val="24"/>
        </w:rPr>
        <w:lastRenderedPageBreak/>
        <w:t xml:space="preserve">Orbitofrontal Cortex Mediates Outcome Retrieval in Partially Observable Task Situations.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88</w:t>
      </w:r>
      <w:r w:rsidRPr="00BD54A1">
        <w:rPr>
          <w:rFonts w:ascii="Times New Roman" w:hAnsi="Times New Roman" w:cs="Times New Roman"/>
          <w:noProof/>
          <w:sz w:val="24"/>
          <w:szCs w:val="24"/>
        </w:rPr>
        <w:t>(6), 1268–1280. https://doi.org/10.1016/j.neuron.2015.10.044</w:t>
      </w:r>
    </w:p>
    <w:p w14:paraId="23F455FC"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Bradfield, L. A., &amp; Hart, G. (2020). Rodent medial and lateral orbitofrontal cortices represent unique components of cognitive maps of task space. </w:t>
      </w:r>
      <w:r w:rsidRPr="00BD54A1">
        <w:rPr>
          <w:rFonts w:ascii="Times New Roman" w:hAnsi="Times New Roman" w:cs="Times New Roman"/>
          <w:i/>
          <w:iCs/>
          <w:noProof/>
          <w:sz w:val="24"/>
          <w:szCs w:val="24"/>
        </w:rPr>
        <w:t>Neuroscience &amp; Biobehavioral Reviews</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108</w:t>
      </w:r>
      <w:r w:rsidRPr="00BD54A1">
        <w:rPr>
          <w:rFonts w:ascii="Times New Roman" w:hAnsi="Times New Roman" w:cs="Times New Roman"/>
          <w:noProof/>
          <w:sz w:val="24"/>
          <w:szCs w:val="24"/>
        </w:rPr>
        <w:t>, 287–294. https://doi.org/10.1016/J.NEUBIOREV.2019.11.009</w:t>
      </w:r>
    </w:p>
    <w:p w14:paraId="6F93705F"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Bradfield, L. A., Hart, G., &amp; Balleine, B. W. (2018). Inferring action-dependent outcome representations depends on anterior but not posterior medial orbitofrontal cortex. </w:t>
      </w:r>
      <w:r w:rsidRPr="00BD54A1">
        <w:rPr>
          <w:rFonts w:ascii="Times New Roman" w:hAnsi="Times New Roman" w:cs="Times New Roman"/>
          <w:i/>
          <w:iCs/>
          <w:noProof/>
          <w:sz w:val="24"/>
          <w:szCs w:val="24"/>
        </w:rPr>
        <w:t>Neurobiology of Learning and Memory</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155</w:t>
      </w:r>
      <w:r w:rsidRPr="00BD54A1">
        <w:rPr>
          <w:rFonts w:ascii="Times New Roman" w:hAnsi="Times New Roman" w:cs="Times New Roman"/>
          <w:noProof/>
          <w:sz w:val="24"/>
          <w:szCs w:val="24"/>
        </w:rPr>
        <w:t>(May), 463–473. https://doi.org/10.1016/j.nlm.2018.09.008</w:t>
      </w:r>
    </w:p>
    <w:p w14:paraId="064AE5D3"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Burke, K. A., Franz, T. M., Miller, D. N., &amp; Schoenbaum, G. (2007). Conditioned reinforcement can be mediated by either outcome-specific or general affective representations. </w:t>
      </w:r>
      <w:r w:rsidRPr="00BD54A1">
        <w:rPr>
          <w:rFonts w:ascii="Times New Roman" w:hAnsi="Times New Roman" w:cs="Times New Roman"/>
          <w:i/>
          <w:iCs/>
          <w:noProof/>
          <w:sz w:val="24"/>
          <w:szCs w:val="24"/>
        </w:rPr>
        <w:t>Frontiers in Integrative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w:t>
      </w:r>
      <w:r w:rsidRPr="00BD54A1">
        <w:rPr>
          <w:rFonts w:ascii="Times New Roman" w:hAnsi="Times New Roman" w:cs="Times New Roman"/>
          <w:noProof/>
          <w:sz w:val="24"/>
          <w:szCs w:val="24"/>
        </w:rPr>
        <w:t>, 2. https://doi.org/10.3389/neuro.07.002.2007</w:t>
      </w:r>
    </w:p>
    <w:p w14:paraId="025F862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Burke, K. A., Franz, T. M., Miller, D. N., &amp; Schoenbaum, G. (2008). The role of the orbitofrontal cortex in the pursuit of happiness and more specific rewards. </w:t>
      </w:r>
      <w:r w:rsidRPr="00BD54A1">
        <w:rPr>
          <w:rFonts w:ascii="Times New Roman" w:hAnsi="Times New Roman" w:cs="Times New Roman"/>
          <w:i/>
          <w:iCs/>
          <w:noProof/>
          <w:sz w:val="24"/>
          <w:szCs w:val="24"/>
        </w:rPr>
        <w:t>Nature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454</w:t>
      </w:r>
      <w:r w:rsidRPr="00BD54A1">
        <w:rPr>
          <w:rFonts w:ascii="Times New Roman" w:hAnsi="Times New Roman" w:cs="Times New Roman"/>
          <w:noProof/>
          <w:sz w:val="24"/>
          <w:szCs w:val="24"/>
        </w:rPr>
        <w:t>(7202), 340-U45. https://doi.org/Doi 10.1038/Nature06993</w:t>
      </w:r>
    </w:p>
    <w:p w14:paraId="25A9557D"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Burke, K. A., Takahashi, Y. K., Correll, J., Brown, P. L., &amp; Schoenbaum, G. (2009). Orbitofrontal inactivation impairs reversal of Pavlovian learning by interfering with “disinhibition” of responding for previously unrewarded cues. </w:t>
      </w:r>
      <w:r w:rsidRPr="00BD54A1">
        <w:rPr>
          <w:rFonts w:ascii="Times New Roman" w:hAnsi="Times New Roman" w:cs="Times New Roman"/>
          <w:i/>
          <w:iCs/>
          <w:noProof/>
          <w:sz w:val="24"/>
          <w:szCs w:val="24"/>
        </w:rPr>
        <w:t>European 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30</w:t>
      </w:r>
      <w:r w:rsidRPr="00BD54A1">
        <w:rPr>
          <w:rFonts w:ascii="Times New Roman" w:hAnsi="Times New Roman" w:cs="Times New Roman"/>
          <w:noProof/>
          <w:sz w:val="24"/>
          <w:szCs w:val="24"/>
        </w:rPr>
        <w:t>(10), 1941–1946. https://doi.org/DOI 10.1111/j.1460-9568.2009.06992.x</w:t>
      </w:r>
    </w:p>
    <w:p w14:paraId="6C416A69"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Butter, C. M. (1969). Perseveration in extinction and in discrimination reversal tasks following selective frontal ablations in Macaca mulatta. </w:t>
      </w:r>
      <w:r w:rsidRPr="00BD54A1">
        <w:rPr>
          <w:rFonts w:ascii="Times New Roman" w:hAnsi="Times New Roman" w:cs="Times New Roman"/>
          <w:i/>
          <w:iCs/>
          <w:noProof/>
          <w:sz w:val="24"/>
          <w:szCs w:val="24"/>
        </w:rPr>
        <w:t>Physiol. Behav</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4</w:t>
      </w:r>
      <w:r w:rsidRPr="00BD54A1">
        <w:rPr>
          <w:rFonts w:ascii="Times New Roman" w:hAnsi="Times New Roman" w:cs="Times New Roman"/>
          <w:noProof/>
          <w:sz w:val="24"/>
          <w:szCs w:val="24"/>
        </w:rPr>
        <w:t>, 163–171.</w:t>
      </w:r>
    </w:p>
    <w:p w14:paraId="249C325C"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lastRenderedPageBreak/>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23</w:t>
      </w:r>
      <w:r w:rsidRPr="00BD54A1">
        <w:rPr>
          <w:rFonts w:ascii="Times New Roman" w:hAnsi="Times New Roman" w:cs="Times New Roman"/>
          <w:noProof/>
          <w:sz w:val="24"/>
          <w:szCs w:val="24"/>
        </w:rPr>
        <w:t>(25), 8771–8780. https://doi.org/23/25/8771 [pii]</w:t>
      </w:r>
    </w:p>
    <w:p w14:paraId="1744C2C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Collins, A. G. E., &amp; Cockburn, J. (2020). Beyond dichotomies in reinforcement learning. </w:t>
      </w:r>
      <w:r w:rsidRPr="00BD54A1">
        <w:rPr>
          <w:rFonts w:ascii="Times New Roman" w:hAnsi="Times New Roman" w:cs="Times New Roman"/>
          <w:i/>
          <w:iCs/>
          <w:noProof/>
          <w:sz w:val="24"/>
          <w:szCs w:val="24"/>
        </w:rPr>
        <w:t>Nature Reviews Neuroscience</w:t>
      </w:r>
      <w:r w:rsidRPr="00BD54A1">
        <w:rPr>
          <w:rFonts w:ascii="Times New Roman" w:hAnsi="Times New Roman" w:cs="Times New Roman"/>
          <w:noProof/>
          <w:sz w:val="24"/>
          <w:szCs w:val="24"/>
        </w:rPr>
        <w:t>. https://doi.org/10.1038/s41583-020-0355-6</w:t>
      </w:r>
    </w:p>
    <w:p w14:paraId="43F0E71E"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Coutureau, E., &amp; Killcross, A. S. (2003). Inactivation of the infralimbic prefrontal cortex reinstates goal-directed responding in overtrained rats. </w:t>
      </w:r>
      <w:r w:rsidRPr="00BD54A1">
        <w:rPr>
          <w:rFonts w:ascii="Times New Roman" w:hAnsi="Times New Roman" w:cs="Times New Roman"/>
          <w:i/>
          <w:iCs/>
          <w:noProof/>
          <w:sz w:val="24"/>
          <w:szCs w:val="24"/>
        </w:rPr>
        <w:t>Behavioural Brain Research</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146</w:t>
      </w:r>
      <w:r w:rsidRPr="00BD54A1">
        <w:rPr>
          <w:rFonts w:ascii="Times New Roman" w:hAnsi="Times New Roman" w:cs="Times New Roman"/>
          <w:noProof/>
          <w:sz w:val="24"/>
          <w:szCs w:val="24"/>
        </w:rPr>
        <w:t>(1–2), 167–174. http://www.sciencedirect.com/science/article/pii/S0166432803003498</w:t>
      </w:r>
    </w:p>
    <w:p w14:paraId="0BDF44CA"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Delamater, A. R. (2004). Experimental extinction in Pavlovian conditioning: Behavioural and neuroscience perspectives. </w:t>
      </w:r>
      <w:r w:rsidRPr="00BD54A1">
        <w:rPr>
          <w:rFonts w:ascii="Times New Roman" w:hAnsi="Times New Roman" w:cs="Times New Roman"/>
          <w:i/>
          <w:iCs/>
          <w:noProof/>
          <w:sz w:val="24"/>
          <w:szCs w:val="24"/>
        </w:rPr>
        <w:t>Quarterly Journal of Experimental Psychology Section B-Comparative and Physiological Psychology</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57</w:t>
      </w:r>
      <w:r w:rsidRPr="00BD54A1">
        <w:rPr>
          <w:rFonts w:ascii="Times New Roman" w:hAnsi="Times New Roman" w:cs="Times New Roman"/>
          <w:noProof/>
          <w:sz w:val="24"/>
          <w:szCs w:val="24"/>
        </w:rPr>
        <w:t>(2), 97–132. https://doi.org/Doi 10.1080/02724990344000097</w:t>
      </w:r>
    </w:p>
    <w:p w14:paraId="0F5EB98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Delamater, A. R. (2007). The role of the orbitofrontal cortex in sensory-specific encoding of associations in Pavlovian and instrumental conditioning. In G. Schoenbaum, J. A. Gottfried, E. A. Murray, &amp; S. J. Ramus (Eds.), </w:t>
      </w:r>
      <w:r w:rsidRPr="00BD54A1">
        <w:rPr>
          <w:rFonts w:ascii="Times New Roman" w:hAnsi="Times New Roman" w:cs="Times New Roman"/>
          <w:i/>
          <w:iCs/>
          <w:noProof/>
          <w:sz w:val="24"/>
          <w:szCs w:val="24"/>
        </w:rPr>
        <w:t>Linking Affect to Action: Critical Contributions of the Orbitofrontal Cortex</w:t>
      </w:r>
      <w:r w:rsidRPr="00BD54A1">
        <w:rPr>
          <w:rFonts w:ascii="Times New Roman" w:hAnsi="Times New Roman" w:cs="Times New Roman"/>
          <w:noProof/>
          <w:sz w:val="24"/>
          <w:szCs w:val="24"/>
        </w:rPr>
        <w:t xml:space="preserve"> (Vol. 1121, pp. 152–173). Blackwell Publishing. https://doi.org/10.1196/annals.1401.030</w:t>
      </w:r>
    </w:p>
    <w:p w14:paraId="40000FBD"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Delamater, A. R., &amp; Holland, P. C. (2008). The influence of CS-US interval on several different indices of learning in appetitive conditioning. </w:t>
      </w:r>
      <w:r w:rsidRPr="00BD54A1">
        <w:rPr>
          <w:rFonts w:ascii="Times New Roman" w:hAnsi="Times New Roman" w:cs="Times New Roman"/>
          <w:i/>
          <w:iCs/>
          <w:noProof/>
          <w:sz w:val="24"/>
          <w:szCs w:val="24"/>
        </w:rPr>
        <w:t>Journal of Experimental Psychology-Animal Behavior Processes</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34</w:t>
      </w:r>
      <w:r w:rsidRPr="00BD54A1">
        <w:rPr>
          <w:rFonts w:ascii="Times New Roman" w:hAnsi="Times New Roman" w:cs="Times New Roman"/>
          <w:noProof/>
          <w:sz w:val="24"/>
          <w:szCs w:val="24"/>
        </w:rPr>
        <w:t>(2), 202–222. https://doi.org/Doi 10.1037/0097-7403.34.2.202</w:t>
      </w:r>
    </w:p>
    <w:p w14:paraId="5D68992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Delamater, A. R., &amp; Oakeshott, S. (2007). Learning about multiple attributes of reward in </w:t>
      </w:r>
      <w:r w:rsidRPr="00BD54A1">
        <w:rPr>
          <w:rFonts w:ascii="Times New Roman" w:hAnsi="Times New Roman" w:cs="Times New Roman"/>
          <w:noProof/>
          <w:sz w:val="24"/>
          <w:szCs w:val="24"/>
        </w:rPr>
        <w:lastRenderedPageBreak/>
        <w:t xml:space="preserve">Pavlovian conditioning. </w:t>
      </w:r>
      <w:r w:rsidRPr="00BD54A1">
        <w:rPr>
          <w:rFonts w:ascii="Times New Roman" w:hAnsi="Times New Roman" w:cs="Times New Roman"/>
          <w:i/>
          <w:iCs/>
          <w:noProof/>
          <w:sz w:val="24"/>
          <w:szCs w:val="24"/>
        </w:rPr>
        <w:t>Annals of the New York Academy of Sciences</w:t>
      </w:r>
      <w:r w:rsidRPr="00BD54A1">
        <w:rPr>
          <w:rFonts w:ascii="Times New Roman" w:hAnsi="Times New Roman" w:cs="Times New Roman"/>
          <w:noProof/>
          <w:sz w:val="24"/>
          <w:szCs w:val="24"/>
        </w:rPr>
        <w:t>. https://doi.org/10.1196/annals.1390.008</w:t>
      </w:r>
    </w:p>
    <w:p w14:paraId="10C76E2B"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Dias, R., Robbins, T. W., &amp; Roberts, A. C. (1996). Dissociation in prefrontal cortex of affective and attentional shifts. </w:t>
      </w:r>
      <w:r w:rsidRPr="00BD54A1">
        <w:rPr>
          <w:rFonts w:ascii="Times New Roman" w:hAnsi="Times New Roman" w:cs="Times New Roman"/>
          <w:i/>
          <w:iCs/>
          <w:noProof/>
          <w:sz w:val="24"/>
          <w:szCs w:val="24"/>
        </w:rPr>
        <w:t>Nature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380</w:t>
      </w:r>
      <w:r w:rsidRPr="00BD54A1">
        <w:rPr>
          <w:rFonts w:ascii="Times New Roman" w:hAnsi="Times New Roman" w:cs="Times New Roman"/>
          <w:noProof/>
          <w:sz w:val="24"/>
          <w:szCs w:val="24"/>
        </w:rPr>
        <w:t>(6569), 69–72. https://doi.org/10.1038/380069a0</w:t>
      </w:r>
    </w:p>
    <w:p w14:paraId="4DDA1FAB"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Dickinson, A. (1980). Contemporary animal learning theory. In J. Gray (Ed.), </w:t>
      </w:r>
      <w:r w:rsidRPr="00BD54A1">
        <w:rPr>
          <w:rFonts w:ascii="Times New Roman" w:hAnsi="Times New Roman" w:cs="Times New Roman"/>
          <w:i/>
          <w:iCs/>
          <w:noProof/>
          <w:sz w:val="24"/>
          <w:szCs w:val="24"/>
        </w:rPr>
        <w:t>Problems in the behavioural sciences</w:t>
      </w:r>
      <w:r w:rsidRPr="00BD54A1">
        <w:rPr>
          <w:rFonts w:ascii="Times New Roman" w:hAnsi="Times New Roman" w:cs="Times New Roman"/>
          <w:noProof/>
          <w:sz w:val="24"/>
          <w:szCs w:val="24"/>
        </w:rPr>
        <w:t>. Cambridge University Press.</w:t>
      </w:r>
    </w:p>
    <w:p w14:paraId="43FDB7DD"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Dickinson, A. (1985). Actions and Habits : The Development of Behavioural Autonomy. </w:t>
      </w:r>
      <w:r w:rsidRPr="00BD54A1">
        <w:rPr>
          <w:rFonts w:ascii="Times New Roman" w:hAnsi="Times New Roman" w:cs="Times New Roman"/>
          <w:i/>
          <w:iCs/>
          <w:noProof/>
          <w:sz w:val="24"/>
          <w:szCs w:val="24"/>
        </w:rPr>
        <w:t>Philosophical Transactions of the Royal Society of London. Series B, Biological Sciences</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308</w:t>
      </w:r>
      <w:r w:rsidRPr="00BD54A1">
        <w:rPr>
          <w:rFonts w:ascii="Times New Roman" w:hAnsi="Times New Roman" w:cs="Times New Roman"/>
          <w:noProof/>
          <w:sz w:val="24"/>
          <w:szCs w:val="24"/>
        </w:rPr>
        <w:t>(1135), 67–78. http://www.jstor.org/stable/2396284</w:t>
      </w:r>
    </w:p>
    <w:p w14:paraId="778383D5"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Dickinson, A., &amp; Balleine, B. W. (2002). The Role of Learning in the Operation of Motivational Systems. In </w:t>
      </w:r>
      <w:r w:rsidRPr="00BD54A1">
        <w:rPr>
          <w:rFonts w:ascii="Times New Roman" w:hAnsi="Times New Roman" w:cs="Times New Roman"/>
          <w:i/>
          <w:iCs/>
          <w:noProof/>
          <w:sz w:val="24"/>
          <w:szCs w:val="24"/>
        </w:rPr>
        <w:t>Stevens’ Handbook of Experimental Psychology</w:t>
      </w:r>
      <w:r w:rsidRPr="00BD54A1">
        <w:rPr>
          <w:rFonts w:ascii="Times New Roman" w:hAnsi="Times New Roman" w:cs="Times New Roman"/>
          <w:noProof/>
          <w:sz w:val="24"/>
          <w:szCs w:val="24"/>
        </w:rPr>
        <w:t>. John Wiley &amp; Sons, Inc. https://doi.org/10.1002/0471214426.pas0312</w:t>
      </w:r>
    </w:p>
    <w:p w14:paraId="0B65677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Dolan, R. J., &amp; Dayan, P. (2013). Goals and habits in the brain.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80</w:t>
      </w:r>
      <w:r w:rsidRPr="00BD54A1">
        <w:rPr>
          <w:rFonts w:ascii="Times New Roman" w:hAnsi="Times New Roman" w:cs="Times New Roman"/>
          <w:noProof/>
          <w:sz w:val="24"/>
          <w:szCs w:val="24"/>
        </w:rPr>
        <w:t>(2), 312–325. https://doi.org/10.1016/j.neuron.2013.09.007</w:t>
      </w:r>
    </w:p>
    <w:p w14:paraId="4C3ECEB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Esber, G. R., &amp; Haselgrove, M. (2011). Reconciling the influence of predictiveness and uncertainty on stimulus salience: a model of attention in associative learning. </w:t>
      </w:r>
      <w:r w:rsidRPr="00BD54A1">
        <w:rPr>
          <w:rFonts w:ascii="Times New Roman" w:hAnsi="Times New Roman" w:cs="Times New Roman"/>
          <w:i/>
          <w:iCs/>
          <w:noProof/>
          <w:sz w:val="24"/>
          <w:szCs w:val="24"/>
        </w:rPr>
        <w:t>Proceedings of the Royal Society B-Biological Sciences</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278</w:t>
      </w:r>
      <w:r w:rsidRPr="00BD54A1">
        <w:rPr>
          <w:rFonts w:ascii="Times New Roman" w:hAnsi="Times New Roman" w:cs="Times New Roman"/>
          <w:noProof/>
          <w:sz w:val="24"/>
          <w:szCs w:val="24"/>
        </w:rPr>
        <w:t>(1718), 2553–2561. https://doi.org/DOI 10.1098/rspb.2011.0836</w:t>
      </w:r>
    </w:p>
    <w:p w14:paraId="208C385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Gallagher, M., McMahan, R. W., &amp; Schoenbaum, G. (1999). Orbitofrontal cortex and representation of incentive value in associative learning.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19</w:t>
      </w:r>
      <w:r w:rsidRPr="00BD54A1">
        <w:rPr>
          <w:rFonts w:ascii="Times New Roman" w:hAnsi="Times New Roman" w:cs="Times New Roman"/>
          <w:noProof/>
          <w:sz w:val="24"/>
          <w:szCs w:val="24"/>
        </w:rPr>
        <w:t>(15), 6610–6614. http://www.jneurosci.org/cgi/reprint/19/15/6610.pdf</w:t>
      </w:r>
    </w:p>
    <w:p w14:paraId="3E593100"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lastRenderedPageBreak/>
        <w:t xml:space="preserve">Gardner, M. P. H., Conroy, J. C., Sanchez, D. C., Zhou, J., &amp; Schoenbaum, G. (2019). Real-Time Value Integration during Economic Choice Is Regulated by Orbitofrontal Cortex. </w:t>
      </w:r>
      <w:r w:rsidRPr="00BD54A1">
        <w:rPr>
          <w:rFonts w:ascii="Times New Roman" w:hAnsi="Times New Roman" w:cs="Times New Roman"/>
          <w:i/>
          <w:iCs/>
          <w:noProof/>
          <w:sz w:val="24"/>
          <w:szCs w:val="24"/>
        </w:rPr>
        <w:t>Current Biology</w:t>
      </w:r>
      <w:r w:rsidRPr="00BD54A1">
        <w:rPr>
          <w:rFonts w:ascii="Times New Roman" w:hAnsi="Times New Roman" w:cs="Times New Roman"/>
          <w:noProof/>
          <w:sz w:val="24"/>
          <w:szCs w:val="24"/>
        </w:rPr>
        <w:t>. https://doi.org/10.1016/j.cub.2019.10.058</w:t>
      </w:r>
    </w:p>
    <w:p w14:paraId="7EB9A1F7"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Gardner, M. P. H., Conroy, J. C., Styer, C. V, Huynh, T., Whitaker, L. R., &amp; Schoenbaum, G. (2018). Medial orbitofrontal inactivation does not affect economic choice. </w:t>
      </w:r>
      <w:r w:rsidRPr="00BD54A1">
        <w:rPr>
          <w:rFonts w:ascii="Times New Roman" w:hAnsi="Times New Roman" w:cs="Times New Roman"/>
          <w:i/>
          <w:iCs/>
          <w:noProof/>
          <w:sz w:val="24"/>
          <w:szCs w:val="24"/>
        </w:rPr>
        <w:t>ELife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7</w:t>
      </w:r>
      <w:r w:rsidRPr="00BD54A1">
        <w:rPr>
          <w:rFonts w:ascii="Times New Roman" w:hAnsi="Times New Roman" w:cs="Times New Roman"/>
          <w:noProof/>
          <w:sz w:val="24"/>
          <w:szCs w:val="24"/>
        </w:rPr>
        <w:t>. https://doi.org/10.7554/eLife.38963</w:t>
      </w:r>
    </w:p>
    <w:p w14:paraId="3287802F"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Gardner, M. P. H., Conroy, J. S., Shaham, M. H., Styer, C. V., &amp; Schoenbaum, G. (2017). Lateral Orbitofrontal Inactivation Dissociates Devaluation-Sensitive Behavior and Economic Choice.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0</w:t>
      </w:r>
      <w:r w:rsidRPr="00BD54A1">
        <w:rPr>
          <w:rFonts w:ascii="Times New Roman" w:hAnsi="Times New Roman" w:cs="Times New Roman"/>
          <w:noProof/>
          <w:sz w:val="24"/>
          <w:szCs w:val="24"/>
        </w:rPr>
        <w:t>(0). https://doi.org/10.1016/j.neuron.2017.10.026</w:t>
      </w:r>
    </w:p>
    <w:p w14:paraId="134D63DE"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Hall, G. (2002). Associative structures in Pavlovian and instrumental conditioning. In C. R. Gallistel (Ed.), </w:t>
      </w:r>
      <w:r w:rsidRPr="00BD54A1">
        <w:rPr>
          <w:rFonts w:ascii="Times New Roman" w:hAnsi="Times New Roman" w:cs="Times New Roman"/>
          <w:i/>
          <w:iCs/>
          <w:noProof/>
          <w:sz w:val="24"/>
          <w:szCs w:val="24"/>
        </w:rPr>
        <w:t>Steven’s handbook of experimental psychology</w:t>
      </w:r>
      <w:r w:rsidRPr="00BD54A1">
        <w:rPr>
          <w:rFonts w:ascii="Times New Roman" w:hAnsi="Times New Roman" w:cs="Times New Roman"/>
          <w:noProof/>
          <w:sz w:val="24"/>
          <w:szCs w:val="24"/>
        </w:rPr>
        <w:t xml:space="preserve"> (Vol. 3, pp. 1–45). John Wiley &amp; Sons.</w:t>
      </w:r>
    </w:p>
    <w:p w14:paraId="1AFCF87E"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Holland, P. C. (1977). Conditioned stimulus as a determinant of the form of the Pavlovian conditioned response. </w:t>
      </w:r>
      <w:r w:rsidRPr="00BD54A1">
        <w:rPr>
          <w:rFonts w:ascii="Times New Roman" w:hAnsi="Times New Roman" w:cs="Times New Roman"/>
          <w:i/>
          <w:iCs/>
          <w:noProof/>
          <w:sz w:val="24"/>
          <w:szCs w:val="24"/>
        </w:rPr>
        <w:t>J Exp Psychol Anim Behav Process</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w:t>
      </w:r>
      <w:r w:rsidRPr="00BD54A1">
        <w:rPr>
          <w:rFonts w:ascii="Times New Roman" w:hAnsi="Times New Roman" w:cs="Times New Roman"/>
          <w:noProof/>
          <w:sz w:val="24"/>
          <w:szCs w:val="24"/>
        </w:rPr>
        <w:t>(1), 77–104. http://www.ncbi.nlm.nih.gov/pubmed/845545</w:t>
      </w:r>
    </w:p>
    <w:p w14:paraId="75D5C02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Iversen, S. D., &amp; Mishkin, M. (1970). Perseverative interference in monkeys following selective lesions of the inferior prefrontal convexity. </w:t>
      </w:r>
      <w:r w:rsidRPr="00BD54A1">
        <w:rPr>
          <w:rFonts w:ascii="Times New Roman" w:hAnsi="Times New Roman" w:cs="Times New Roman"/>
          <w:i/>
          <w:iCs/>
          <w:noProof/>
          <w:sz w:val="24"/>
          <w:szCs w:val="24"/>
        </w:rPr>
        <w:t>Experimental Brain Research</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11</w:t>
      </w:r>
      <w:r w:rsidRPr="00BD54A1">
        <w:rPr>
          <w:rFonts w:ascii="Times New Roman" w:hAnsi="Times New Roman" w:cs="Times New Roman"/>
          <w:noProof/>
          <w:sz w:val="24"/>
          <w:szCs w:val="24"/>
        </w:rPr>
        <w:t>(4), 376–386. http://www.ncbi.nlm.nih.gov/pubmed/4993199</w:t>
      </w:r>
    </w:p>
    <w:p w14:paraId="2438A155"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Izquierdo, A. (2017). Functional Heterogeneity within Rat Orbitofrontal Cortex in Reward Learning and Decision Making. </w:t>
      </w:r>
      <w:r w:rsidRPr="00BD54A1">
        <w:rPr>
          <w:rFonts w:ascii="Times New Roman" w:hAnsi="Times New Roman" w:cs="Times New Roman"/>
          <w:i/>
          <w:iCs/>
          <w:noProof/>
          <w:sz w:val="24"/>
          <w:szCs w:val="24"/>
        </w:rPr>
        <w:t>The Journal of Neuroscience : The Official Journal of the Society for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37</w:t>
      </w:r>
      <w:r w:rsidRPr="00BD54A1">
        <w:rPr>
          <w:rFonts w:ascii="Times New Roman" w:hAnsi="Times New Roman" w:cs="Times New Roman"/>
          <w:noProof/>
          <w:sz w:val="24"/>
          <w:szCs w:val="24"/>
        </w:rPr>
        <w:t>(44), 10529–10540. https://doi.org/10.1523/JNEUROSCI.1678-17.2017</w:t>
      </w:r>
    </w:p>
    <w:p w14:paraId="2B9210B9"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lastRenderedPageBreak/>
        <w:t xml:space="preserve">Kamin, L. J. (1969). Predictability, surprise, attention and conditioning. In B. A. Campbell &amp; R. M. Church (Eds.), </w:t>
      </w:r>
      <w:r w:rsidRPr="00BD54A1">
        <w:rPr>
          <w:rFonts w:ascii="Times New Roman" w:hAnsi="Times New Roman" w:cs="Times New Roman"/>
          <w:i/>
          <w:iCs/>
          <w:noProof/>
          <w:sz w:val="24"/>
          <w:szCs w:val="24"/>
        </w:rPr>
        <w:t>Punishment and aversive behavior</w:t>
      </w:r>
      <w:r w:rsidRPr="00BD54A1">
        <w:rPr>
          <w:rFonts w:ascii="Times New Roman" w:hAnsi="Times New Roman" w:cs="Times New Roman"/>
          <w:noProof/>
          <w:sz w:val="24"/>
          <w:szCs w:val="24"/>
        </w:rPr>
        <w:t xml:space="preserve"> (pp. 279–96). Appleton-Century-Crofts.</w:t>
      </w:r>
    </w:p>
    <w:p w14:paraId="1D9850B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Killcross, A. S., &amp; Coutureau, E. (2003). Coordination of actions and habits in the medial prefrontal cortex of rats. </w:t>
      </w:r>
      <w:r w:rsidRPr="00BD54A1">
        <w:rPr>
          <w:rFonts w:ascii="Times New Roman" w:hAnsi="Times New Roman" w:cs="Times New Roman"/>
          <w:i/>
          <w:iCs/>
          <w:noProof/>
          <w:sz w:val="24"/>
          <w:szCs w:val="24"/>
        </w:rPr>
        <w:t>Cerebral Cortex</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13</w:t>
      </w:r>
      <w:r w:rsidRPr="00BD54A1">
        <w:rPr>
          <w:rFonts w:ascii="Times New Roman" w:hAnsi="Times New Roman" w:cs="Times New Roman"/>
          <w:noProof/>
          <w:sz w:val="24"/>
          <w:szCs w:val="24"/>
        </w:rPr>
        <w:t>(4), 400–408. http://cercor.oxfordjournals.org/cgi/reprint/13/4/400.pdf</w:t>
      </w:r>
    </w:p>
    <w:p w14:paraId="775C54B7"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Klein-Flugge, M. C., Barron, H. C., Brodersen, K. H., Dolan, R. J., &amp; Behrens, T. E. (2013). Segregated encoding of reward-identity and stimulus-reward associations in human orbitofrontal cortex.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33</w:t>
      </w:r>
      <w:r w:rsidRPr="00BD54A1">
        <w:rPr>
          <w:rFonts w:ascii="Times New Roman" w:hAnsi="Times New Roman" w:cs="Times New Roman"/>
          <w:noProof/>
          <w:sz w:val="24"/>
          <w:szCs w:val="24"/>
        </w:rPr>
        <w:t>, 3202–3211. http://www.jneurosci.org/content/33/7/3202.full.pdf</w:t>
      </w:r>
    </w:p>
    <w:p w14:paraId="2C2AD61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Konorski, J. (1967). </w:t>
      </w:r>
      <w:r w:rsidRPr="00BD54A1">
        <w:rPr>
          <w:rFonts w:ascii="Times New Roman" w:hAnsi="Times New Roman" w:cs="Times New Roman"/>
          <w:i/>
          <w:iCs/>
          <w:noProof/>
          <w:sz w:val="24"/>
          <w:szCs w:val="24"/>
        </w:rPr>
        <w:t>Integrative activity of the brain; an interdisciplinary approach</w:t>
      </w:r>
      <w:r w:rsidRPr="00BD54A1">
        <w:rPr>
          <w:rFonts w:ascii="Times New Roman" w:hAnsi="Times New Roman" w:cs="Times New Roman"/>
          <w:noProof/>
          <w:sz w:val="24"/>
          <w:szCs w:val="24"/>
        </w:rPr>
        <w:t>. University of Chicago Press.</w:t>
      </w:r>
    </w:p>
    <w:p w14:paraId="0263C929"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Kool, W., Cushman, F. A., &amp; Gershman, S. J. (2018). Competition and cooperation between multiple reinforcement learning systems. In </w:t>
      </w:r>
      <w:r w:rsidRPr="00BD54A1">
        <w:rPr>
          <w:rFonts w:ascii="Times New Roman" w:hAnsi="Times New Roman" w:cs="Times New Roman"/>
          <w:i/>
          <w:iCs/>
          <w:noProof/>
          <w:sz w:val="24"/>
          <w:szCs w:val="24"/>
        </w:rPr>
        <w:t>Goal-Directed Decision Making: Computations and Neural Circuits</w:t>
      </w:r>
      <w:r w:rsidRPr="00BD54A1">
        <w:rPr>
          <w:rFonts w:ascii="Times New Roman" w:hAnsi="Times New Roman" w:cs="Times New Roman"/>
          <w:noProof/>
          <w:sz w:val="24"/>
          <w:szCs w:val="24"/>
        </w:rPr>
        <w:t>. Elsevier Inc. https://doi.org/10.1016/B978-0-12-812098-9.00007-3</w:t>
      </w:r>
    </w:p>
    <w:p w14:paraId="4928E217"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Kringelbach, M. L. (2005). The human orbitofrontal cortex: Linking reward to hedonic experience. </w:t>
      </w:r>
      <w:r w:rsidRPr="00BD54A1">
        <w:rPr>
          <w:rFonts w:ascii="Times New Roman" w:hAnsi="Times New Roman" w:cs="Times New Roman"/>
          <w:i/>
          <w:iCs/>
          <w:noProof/>
          <w:sz w:val="24"/>
          <w:szCs w:val="24"/>
        </w:rPr>
        <w:t>Nature Reviews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6</w:t>
      </w:r>
      <w:r w:rsidRPr="00BD54A1">
        <w:rPr>
          <w:rFonts w:ascii="Times New Roman" w:hAnsi="Times New Roman" w:cs="Times New Roman"/>
          <w:noProof/>
          <w:sz w:val="24"/>
          <w:szCs w:val="24"/>
        </w:rPr>
        <w:t>(9), 691–702. https://doi.org/Doi 10.1038/Nrn1747</w:t>
      </w:r>
    </w:p>
    <w:p w14:paraId="40766F0A"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Lasseter, H. C., Ramirez, D. R., Xie, X., &amp; Fuchs, R. A. (2009). Involvement of the lateral orbitofrontal cortex in drug context-induced reinstatement of cocaine-seeking behavior in rats. </w:t>
      </w:r>
      <w:r w:rsidRPr="00BD54A1">
        <w:rPr>
          <w:rFonts w:ascii="Times New Roman" w:hAnsi="Times New Roman" w:cs="Times New Roman"/>
          <w:i/>
          <w:iCs/>
          <w:noProof/>
          <w:sz w:val="24"/>
          <w:szCs w:val="24"/>
        </w:rPr>
        <w:t>European 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30</w:t>
      </w:r>
      <w:r w:rsidRPr="00BD54A1">
        <w:rPr>
          <w:rFonts w:ascii="Times New Roman" w:hAnsi="Times New Roman" w:cs="Times New Roman"/>
          <w:noProof/>
          <w:sz w:val="24"/>
          <w:szCs w:val="24"/>
        </w:rPr>
        <w:t>(7), 1370–1381. https://doi.org/10.1111/j.1460-9568.2009.06906.x</w:t>
      </w:r>
    </w:p>
    <w:p w14:paraId="1A8EA595"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lastRenderedPageBreak/>
        <w:t xml:space="preserve">Lenth, R., Singmann, H., Love, J., Buerkner, P., &amp; Herve, M. (2020). emmeans: estimated marginal means. R package version 1.4. 4. In </w:t>
      </w:r>
      <w:r w:rsidRPr="00BD54A1">
        <w:rPr>
          <w:rFonts w:ascii="Times New Roman" w:hAnsi="Times New Roman" w:cs="Times New Roman"/>
          <w:i/>
          <w:iCs/>
          <w:noProof/>
          <w:sz w:val="24"/>
          <w:szCs w:val="24"/>
        </w:rPr>
        <w:t>The American Statistician</w:t>
      </w:r>
      <w:r w:rsidRPr="00BD54A1">
        <w:rPr>
          <w:rFonts w:ascii="Times New Roman" w:hAnsi="Times New Roman" w:cs="Times New Roman"/>
          <w:noProof/>
          <w:sz w:val="24"/>
          <w:szCs w:val="24"/>
        </w:rPr>
        <w:t>. https://doi.org/10.1080/00031305.1980.10483031</w:t>
      </w:r>
    </w:p>
    <w:p w14:paraId="6D72FB8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LePelley, M. E. (2004). The role of associative history in models of associative learning: A selective review and a hybrid model. </w:t>
      </w:r>
      <w:r w:rsidRPr="00BD54A1">
        <w:rPr>
          <w:rFonts w:ascii="Times New Roman" w:hAnsi="Times New Roman" w:cs="Times New Roman"/>
          <w:i/>
          <w:iCs/>
          <w:noProof/>
          <w:sz w:val="24"/>
          <w:szCs w:val="24"/>
        </w:rPr>
        <w:t>Quarterly Journal of Experimental Psychology</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57B</w:t>
      </w:r>
      <w:r w:rsidRPr="00BD54A1">
        <w:rPr>
          <w:rFonts w:ascii="Times New Roman" w:hAnsi="Times New Roman" w:cs="Times New Roman"/>
          <w:noProof/>
          <w:sz w:val="24"/>
          <w:szCs w:val="24"/>
        </w:rPr>
        <w:t>, 192–243.</w:t>
      </w:r>
    </w:p>
    <w:p w14:paraId="6F283EEF"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Mackintosh, N. J. (1974). </w:t>
      </w:r>
      <w:r w:rsidRPr="00BD54A1">
        <w:rPr>
          <w:rFonts w:ascii="Times New Roman" w:hAnsi="Times New Roman" w:cs="Times New Roman"/>
          <w:i/>
          <w:iCs/>
          <w:noProof/>
          <w:sz w:val="24"/>
          <w:szCs w:val="24"/>
        </w:rPr>
        <w:t>The psychology of animal learning</w:t>
      </w:r>
      <w:r w:rsidRPr="00BD54A1">
        <w:rPr>
          <w:rFonts w:ascii="Times New Roman" w:hAnsi="Times New Roman" w:cs="Times New Roman"/>
          <w:noProof/>
          <w:sz w:val="24"/>
          <w:szCs w:val="24"/>
        </w:rPr>
        <w:t>. Academic Press.</w:t>
      </w:r>
    </w:p>
    <w:p w14:paraId="76034F62"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Mackintosh, N. J. (1975). A theory of attention: Variations in the associability of stimuli with reinforcement. </w:t>
      </w:r>
      <w:r w:rsidRPr="00BD54A1">
        <w:rPr>
          <w:rFonts w:ascii="Times New Roman" w:hAnsi="Times New Roman" w:cs="Times New Roman"/>
          <w:i/>
          <w:iCs/>
          <w:noProof/>
          <w:sz w:val="24"/>
          <w:szCs w:val="24"/>
        </w:rPr>
        <w:t>Psychol Rev</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82</w:t>
      </w:r>
      <w:r w:rsidRPr="00BD54A1">
        <w:rPr>
          <w:rFonts w:ascii="Times New Roman" w:hAnsi="Times New Roman" w:cs="Times New Roman"/>
          <w:noProof/>
          <w:sz w:val="24"/>
          <w:szCs w:val="24"/>
        </w:rPr>
        <w:t>(4), 279–298. https://doi.org/10.1037/h0076778</w:t>
      </w:r>
    </w:p>
    <w:p w14:paraId="7809467A"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McDannald, M. A., Lucantonio, F., Burke, K. A., Niv, Y., &amp; Schoenbaum, G. (2011). Ventral striatum and orbitofrontal cortex are both required for model-based, but not model-free, reinforcement learning.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31</w:t>
      </w:r>
      <w:r w:rsidRPr="00BD54A1">
        <w:rPr>
          <w:rFonts w:ascii="Times New Roman" w:hAnsi="Times New Roman" w:cs="Times New Roman"/>
          <w:noProof/>
          <w:sz w:val="24"/>
          <w:szCs w:val="24"/>
        </w:rPr>
        <w:t>, 2700–2705. http://www.jneurosci.org/content/31/7/2700.full.pdf</w:t>
      </w:r>
    </w:p>
    <w:p w14:paraId="16E1BB79"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McDannald, M. A., Saddoris, M. P., Gallagher, M., &amp; Holland, P. C. (2005). Lesions of orbitofrontal cortex impair rats’ differential outcome expectancy learning but not conditioned stimulus-potentiated feeding.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25</w:t>
      </w:r>
      <w:r w:rsidRPr="00BD54A1">
        <w:rPr>
          <w:rFonts w:ascii="Times New Roman" w:hAnsi="Times New Roman" w:cs="Times New Roman"/>
          <w:noProof/>
          <w:sz w:val="24"/>
          <w:szCs w:val="24"/>
        </w:rPr>
        <w:t>(18), 4626–4632. https://doi.org/25/18/4626 [pii] 10.1523/JNEUROSCI.5301-04.2005</w:t>
      </w:r>
    </w:p>
    <w:p w14:paraId="6CE1BBE3"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Murray, E. A., O’Doherty, J. P., &amp; Schoenbaum, G. (2007). What we know and do not know about the functions of the orbitofrontal cortex after 20 years of cross-species studies.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27</w:t>
      </w:r>
      <w:r w:rsidRPr="00BD54A1">
        <w:rPr>
          <w:rFonts w:ascii="Times New Roman" w:hAnsi="Times New Roman" w:cs="Times New Roman"/>
          <w:noProof/>
          <w:sz w:val="24"/>
          <w:szCs w:val="24"/>
        </w:rPr>
        <w:t>(31), 8166–8169. https://doi.org/10.1523/JNEUROSCI.1556-07.2007</w:t>
      </w:r>
    </w:p>
    <w:p w14:paraId="2AF1F6BE"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lastRenderedPageBreak/>
        <w:t xml:space="preserve">Murray, E. A., &amp; Rudebeck, P. H. (2018). Specializations for reward-guided decision-making in the primate ventral prefrontal cortex. </w:t>
      </w:r>
      <w:r w:rsidRPr="00BD54A1">
        <w:rPr>
          <w:rFonts w:ascii="Times New Roman" w:hAnsi="Times New Roman" w:cs="Times New Roman"/>
          <w:i/>
          <w:iCs/>
          <w:noProof/>
          <w:sz w:val="24"/>
          <w:szCs w:val="24"/>
        </w:rPr>
        <w:t>Nature Reviews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19</w:t>
      </w:r>
      <w:r w:rsidRPr="00BD54A1">
        <w:rPr>
          <w:rFonts w:ascii="Times New Roman" w:hAnsi="Times New Roman" w:cs="Times New Roman"/>
          <w:noProof/>
          <w:sz w:val="24"/>
          <w:szCs w:val="24"/>
        </w:rPr>
        <w:t>(7), 404–417. https://doi.org/10.1038/s41583-018-0013-4</w:t>
      </w:r>
    </w:p>
    <w:p w14:paraId="1F93937E"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Namboodiri, V. M. K., Otis, J. M., van Heeswijk, K., Voets, E. S., Alghorazi, R. A., Rodriguez-Romaguera, J., Mihalas, S., &amp; Stuber, G. D. (2019). Single-cell activity tracking reveals that orbitofrontal neurons acquire and maintain a long-term memory to guide behavioral adaptation. </w:t>
      </w:r>
      <w:r w:rsidRPr="00BD54A1">
        <w:rPr>
          <w:rFonts w:ascii="Times New Roman" w:hAnsi="Times New Roman" w:cs="Times New Roman"/>
          <w:i/>
          <w:iCs/>
          <w:noProof/>
          <w:sz w:val="24"/>
          <w:szCs w:val="24"/>
        </w:rPr>
        <w:t>Nature Neuroscience</w:t>
      </w:r>
      <w:r w:rsidRPr="00BD54A1">
        <w:rPr>
          <w:rFonts w:ascii="Times New Roman" w:hAnsi="Times New Roman" w:cs="Times New Roman"/>
          <w:noProof/>
          <w:sz w:val="24"/>
          <w:szCs w:val="24"/>
        </w:rPr>
        <w:t>, 1. https://doi.org/10.1038/s41593-019-0408-1</w:t>
      </w:r>
    </w:p>
    <w:p w14:paraId="7B8E12A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Nasser, H. M., Calu, D. J., Schoenbaum, G., &amp; Sharpe, M. J. (2017). The Dopamine Prediction Error: Contributions to Associative Models of Reward Learning. </w:t>
      </w:r>
      <w:r w:rsidRPr="00BD54A1">
        <w:rPr>
          <w:rFonts w:ascii="Times New Roman" w:hAnsi="Times New Roman" w:cs="Times New Roman"/>
          <w:i/>
          <w:iCs/>
          <w:noProof/>
          <w:sz w:val="24"/>
          <w:szCs w:val="24"/>
        </w:rPr>
        <w:t>Frontiers in Psychology</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w:t>
      </w:r>
      <w:r w:rsidRPr="00BD54A1">
        <w:rPr>
          <w:rFonts w:ascii="Times New Roman" w:hAnsi="Times New Roman" w:cs="Times New Roman"/>
          <w:noProof/>
          <w:sz w:val="24"/>
          <w:szCs w:val="24"/>
        </w:rPr>
        <w:t>, 244. https://doi.org/10.3389/fpsyg.2017.00244</w:t>
      </w:r>
    </w:p>
    <w:p w14:paraId="146E6E42"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Niv, Y. (2019). Learning task-state representations. </w:t>
      </w:r>
      <w:r w:rsidRPr="00BD54A1">
        <w:rPr>
          <w:rFonts w:ascii="Times New Roman" w:hAnsi="Times New Roman" w:cs="Times New Roman"/>
          <w:i/>
          <w:iCs/>
          <w:noProof/>
          <w:sz w:val="24"/>
          <w:szCs w:val="24"/>
        </w:rPr>
        <w:t>Nature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22</w:t>
      </w:r>
      <w:r w:rsidRPr="00BD54A1">
        <w:rPr>
          <w:rFonts w:ascii="Times New Roman" w:hAnsi="Times New Roman" w:cs="Times New Roman"/>
          <w:noProof/>
          <w:sz w:val="24"/>
          <w:szCs w:val="24"/>
        </w:rPr>
        <w:t>(10), 1544–1553. https://doi.org/10.1038/s41593-019-0470-8</w:t>
      </w:r>
    </w:p>
    <w:p w14:paraId="6B88888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Ogawa, M., van der Meer, M. A. A., Esber, G. R., Cerri, D. H., Stalnaker, T. A., &amp; Schoenbaum, G. (2013). Risk-responsive orbitofrontal neurons track acquired salience.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77</w:t>
      </w:r>
      <w:r w:rsidRPr="00BD54A1">
        <w:rPr>
          <w:rFonts w:ascii="Times New Roman" w:hAnsi="Times New Roman" w:cs="Times New Roman"/>
          <w:noProof/>
          <w:sz w:val="24"/>
          <w:szCs w:val="24"/>
        </w:rPr>
        <w:t>(2), 251–258. https://doi.org/10.1016/j.neuron.2012.11.006</w:t>
      </w:r>
    </w:p>
    <w:p w14:paraId="6FE9B558"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Ostlund, S. B., &amp; Balleine, B. W. (2007). Orbitofrontal cortex mediates outcome encoding in pavlovian but not instrumental conditioning.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27</w:t>
      </w:r>
      <w:r w:rsidRPr="00BD54A1">
        <w:rPr>
          <w:rFonts w:ascii="Times New Roman" w:hAnsi="Times New Roman" w:cs="Times New Roman"/>
          <w:noProof/>
          <w:sz w:val="24"/>
          <w:szCs w:val="24"/>
        </w:rPr>
        <w:t>(18), 4819–4825. https://doi.org/Doi 10.1523/Jneurosci.5443-06.2007</w:t>
      </w:r>
    </w:p>
    <w:p w14:paraId="73DEF42A"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Padoa-Schioppa, C. (2009). Range-adapting representation of economic value in the orbitofrontal cortex.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29</w:t>
      </w:r>
      <w:r w:rsidRPr="00BD54A1">
        <w:rPr>
          <w:rFonts w:ascii="Times New Roman" w:hAnsi="Times New Roman" w:cs="Times New Roman"/>
          <w:noProof/>
          <w:sz w:val="24"/>
          <w:szCs w:val="24"/>
        </w:rPr>
        <w:t>, 14004–14014. http://www.jneurosci.org/content/29/44/14004.full.pdf</w:t>
      </w:r>
    </w:p>
    <w:p w14:paraId="4B49F18F"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lastRenderedPageBreak/>
        <w:t xml:space="preserve">Panayi, M. C., &amp; Killcross, S. (2018). Functional heterogeneity within the rodent lateral orbitofrontal cortex dissociates outcome devaluation and reversal learning deficits. </w:t>
      </w:r>
      <w:r w:rsidRPr="00BD54A1">
        <w:rPr>
          <w:rFonts w:ascii="Times New Roman" w:hAnsi="Times New Roman" w:cs="Times New Roman"/>
          <w:i/>
          <w:iCs/>
          <w:noProof/>
          <w:sz w:val="24"/>
          <w:szCs w:val="24"/>
        </w:rPr>
        <w:t>ELife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7</w:t>
      </w:r>
      <w:r w:rsidRPr="00BD54A1">
        <w:rPr>
          <w:rFonts w:ascii="Times New Roman" w:hAnsi="Times New Roman" w:cs="Times New Roman"/>
          <w:noProof/>
          <w:sz w:val="24"/>
          <w:szCs w:val="24"/>
        </w:rPr>
        <w:t>. https://doi.org/10.7554/eLife.37357.001</w:t>
      </w:r>
    </w:p>
    <w:p w14:paraId="6EC4CFFE"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Pearce, J. M., &amp; Hall, G. (1980). A model for Pavlovian learning: variations in the effectiveness of conditioned but not of unconditioned stimuli. </w:t>
      </w:r>
      <w:r w:rsidRPr="00BD54A1">
        <w:rPr>
          <w:rFonts w:ascii="Times New Roman" w:hAnsi="Times New Roman" w:cs="Times New Roman"/>
          <w:i/>
          <w:iCs/>
          <w:noProof/>
          <w:sz w:val="24"/>
          <w:szCs w:val="24"/>
        </w:rPr>
        <w:t>Psychol Rev</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87</w:t>
      </w:r>
      <w:r w:rsidRPr="00BD54A1">
        <w:rPr>
          <w:rFonts w:ascii="Times New Roman" w:hAnsi="Times New Roman" w:cs="Times New Roman"/>
          <w:noProof/>
          <w:sz w:val="24"/>
          <w:szCs w:val="24"/>
        </w:rPr>
        <w:t>(6), 532–552. http://www.ncbi.nlm.nih.gov/pubmed/7443916</w:t>
      </w:r>
    </w:p>
    <w:p w14:paraId="0F6C235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Pears, A., Parkinson, J. A., Hopewell, L., Everitt, B. J., &amp; Roberts, A. C. (2003). Lesions of the orbitofrontal but not medial prefrontal cortex disrupt conditioned reinforcement in primates. </w:t>
      </w:r>
      <w:r w:rsidRPr="00BD54A1">
        <w:rPr>
          <w:rFonts w:ascii="Times New Roman" w:hAnsi="Times New Roman" w:cs="Times New Roman"/>
          <w:i/>
          <w:iCs/>
          <w:noProof/>
          <w:sz w:val="24"/>
          <w:szCs w:val="24"/>
        </w:rPr>
        <w:t>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23</w:t>
      </w:r>
      <w:r w:rsidRPr="00BD54A1">
        <w:rPr>
          <w:rFonts w:ascii="Times New Roman" w:hAnsi="Times New Roman" w:cs="Times New Roman"/>
          <w:noProof/>
          <w:sz w:val="24"/>
          <w:szCs w:val="24"/>
        </w:rPr>
        <w:t>(35), 11189–11201. https://doi.org/23/35/11189 [pii]</w:t>
      </w:r>
    </w:p>
    <w:p w14:paraId="4294489F"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Pickens, C. L., Saddoris, M. P., Gallagher, M., &amp; Holland, P. C. (2005). Orbitofrontal lesions impair use of cue-outcome associations in a devaluation task. </w:t>
      </w:r>
      <w:r w:rsidRPr="00BD54A1">
        <w:rPr>
          <w:rFonts w:ascii="Times New Roman" w:hAnsi="Times New Roman" w:cs="Times New Roman"/>
          <w:i/>
          <w:iCs/>
          <w:noProof/>
          <w:sz w:val="24"/>
          <w:szCs w:val="24"/>
        </w:rPr>
        <w:t>Behav Neurosci</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119</w:t>
      </w:r>
      <w:r w:rsidRPr="00BD54A1">
        <w:rPr>
          <w:rFonts w:ascii="Times New Roman" w:hAnsi="Times New Roman" w:cs="Times New Roman"/>
          <w:noProof/>
          <w:sz w:val="24"/>
          <w:szCs w:val="24"/>
        </w:rPr>
        <w:t>(1), 317–322. https://doi.org/2005-01705-030 [pii]10.1037/0735-7044.119.1.317</w:t>
      </w:r>
    </w:p>
    <w:p w14:paraId="4DB2E64F"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Pickens, C. L., Saddoris, M. P., Setlow, B., Gallagher, M., Holland, P. C., &amp; Schoenbaum, G. (2003). Different Roles for Orbitofrontal Cortex and Basolateral Amygdala in a Reinforcer Devaluation Task. </w:t>
      </w:r>
      <w:r w:rsidRPr="00BD54A1">
        <w:rPr>
          <w:rFonts w:ascii="Times New Roman" w:hAnsi="Times New Roman" w:cs="Times New Roman"/>
          <w:i/>
          <w:iCs/>
          <w:noProof/>
          <w:sz w:val="24"/>
          <w:szCs w:val="24"/>
        </w:rPr>
        <w:t>The Journal of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23</w:t>
      </w:r>
      <w:r w:rsidRPr="00BD54A1">
        <w:rPr>
          <w:rFonts w:ascii="Times New Roman" w:hAnsi="Times New Roman" w:cs="Times New Roman"/>
          <w:noProof/>
          <w:sz w:val="24"/>
          <w:szCs w:val="24"/>
        </w:rPr>
        <w:t>(35), 11078–11084. https://doi.org/10.1523/JNEUROSCI.23-35-11078.2003</w:t>
      </w:r>
    </w:p>
    <w:p w14:paraId="633A49C7"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R Core Team (2020). (2020). R: A language and environment for statistical computing. In </w:t>
      </w:r>
      <w:r w:rsidRPr="00BD54A1">
        <w:rPr>
          <w:rFonts w:ascii="Times New Roman" w:hAnsi="Times New Roman" w:cs="Times New Roman"/>
          <w:i/>
          <w:iCs/>
          <w:noProof/>
          <w:sz w:val="24"/>
          <w:szCs w:val="24"/>
        </w:rPr>
        <w:t>R: A language and environment for statistical computing. R Foundation for Statistical Computing, Vienna, Austria</w:t>
      </w:r>
      <w:r w:rsidRPr="00BD54A1">
        <w:rPr>
          <w:rFonts w:ascii="Times New Roman" w:hAnsi="Times New Roman" w:cs="Times New Roman"/>
          <w:noProof/>
          <w:sz w:val="24"/>
          <w:szCs w:val="24"/>
        </w:rPr>
        <w:t>.</w:t>
      </w:r>
    </w:p>
    <w:p w14:paraId="4E2D3268"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Ramirez, D. R., &amp; Savage, L. M. (2007). Differential involvement of the basolateral amygdala, orbitofrontal cortex, and nucleus accumbens core in the acquisition and use of reward expectancies. </w:t>
      </w:r>
      <w:r w:rsidRPr="00BD54A1">
        <w:rPr>
          <w:rFonts w:ascii="Times New Roman" w:hAnsi="Times New Roman" w:cs="Times New Roman"/>
          <w:i/>
          <w:iCs/>
          <w:noProof/>
          <w:sz w:val="24"/>
          <w:szCs w:val="24"/>
        </w:rPr>
        <w:t>Behav Neurosci</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121</w:t>
      </w:r>
      <w:r w:rsidRPr="00BD54A1">
        <w:rPr>
          <w:rFonts w:ascii="Times New Roman" w:hAnsi="Times New Roman" w:cs="Times New Roman"/>
          <w:noProof/>
          <w:sz w:val="24"/>
          <w:szCs w:val="24"/>
        </w:rPr>
        <w:t>(5), 896–906. https://doi.org/10.1037/0735-</w:t>
      </w:r>
      <w:r w:rsidRPr="00BD54A1">
        <w:rPr>
          <w:rFonts w:ascii="Times New Roman" w:hAnsi="Times New Roman" w:cs="Times New Roman"/>
          <w:noProof/>
          <w:sz w:val="24"/>
          <w:szCs w:val="24"/>
        </w:rPr>
        <w:lastRenderedPageBreak/>
        <w:t>7044.121.5.896</w:t>
      </w:r>
    </w:p>
    <w:p w14:paraId="36F394D3"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Rescorla, R. A. (1988). Pavlovian Conditioning - Its Not What You Think It Is. </w:t>
      </w:r>
      <w:r w:rsidRPr="00BD54A1">
        <w:rPr>
          <w:rFonts w:ascii="Times New Roman" w:hAnsi="Times New Roman" w:cs="Times New Roman"/>
          <w:i/>
          <w:iCs/>
          <w:noProof/>
          <w:sz w:val="24"/>
          <w:szCs w:val="24"/>
        </w:rPr>
        <w:t>American Psychologist</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43</w:t>
      </w:r>
      <w:r w:rsidRPr="00BD54A1">
        <w:rPr>
          <w:rFonts w:ascii="Times New Roman" w:hAnsi="Times New Roman" w:cs="Times New Roman"/>
          <w:noProof/>
          <w:sz w:val="24"/>
          <w:szCs w:val="24"/>
        </w:rPr>
        <w:t>(3), 151–160. https://doi.org/Doi 10.1037/0003-066x.43.3.151</w:t>
      </w:r>
    </w:p>
    <w:p w14:paraId="39A142B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Rescorla, R. A. (2002a). Comparison of the rates of associative change during acquisition and extinction. </w:t>
      </w:r>
      <w:r w:rsidRPr="00BD54A1">
        <w:rPr>
          <w:rFonts w:ascii="Times New Roman" w:hAnsi="Times New Roman" w:cs="Times New Roman"/>
          <w:i/>
          <w:iCs/>
          <w:noProof/>
          <w:sz w:val="24"/>
          <w:szCs w:val="24"/>
        </w:rPr>
        <w:t>Journal of Experimental Psychology: Animal Behavior Processes</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28</w:t>
      </w:r>
      <w:r w:rsidRPr="00BD54A1">
        <w:rPr>
          <w:rFonts w:ascii="Times New Roman" w:hAnsi="Times New Roman" w:cs="Times New Roman"/>
          <w:noProof/>
          <w:sz w:val="24"/>
          <w:szCs w:val="24"/>
        </w:rPr>
        <w:t>(4), 406–415. https://doi.org/10.1037/0097-7403.28.4.406</w:t>
      </w:r>
    </w:p>
    <w:p w14:paraId="7A8914B5"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Rescorla, R. A. (2002b). Savings tests: Separating differences in rate of learning from differences in initial levels. </w:t>
      </w:r>
      <w:r w:rsidRPr="00BD54A1">
        <w:rPr>
          <w:rFonts w:ascii="Times New Roman" w:hAnsi="Times New Roman" w:cs="Times New Roman"/>
          <w:i/>
          <w:iCs/>
          <w:noProof/>
          <w:sz w:val="24"/>
          <w:szCs w:val="24"/>
        </w:rPr>
        <w:t>Journal of Experimental Psychology: Animal Behavior Processes</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28</w:t>
      </w:r>
      <w:r w:rsidRPr="00BD54A1">
        <w:rPr>
          <w:rFonts w:ascii="Times New Roman" w:hAnsi="Times New Roman" w:cs="Times New Roman"/>
          <w:noProof/>
          <w:sz w:val="24"/>
          <w:szCs w:val="24"/>
        </w:rPr>
        <w:t>(4), 369–377. https://doi.org/10.1037/0097-7403.28.4.369</w:t>
      </w:r>
    </w:p>
    <w:p w14:paraId="77EC66BA"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Rescorla, R. A., &amp; Wagner, A. R. (1972). A theory of Pavlovian conditiong: Variations in the effectiveness of   reinforcement and nonreinforcement. In A. H. Black &amp; W. F. Prokesy (Eds.), </w:t>
      </w:r>
      <w:r w:rsidRPr="00BD54A1">
        <w:rPr>
          <w:rFonts w:ascii="Times New Roman" w:hAnsi="Times New Roman" w:cs="Times New Roman"/>
          <w:i/>
          <w:iCs/>
          <w:noProof/>
          <w:sz w:val="24"/>
          <w:szCs w:val="24"/>
        </w:rPr>
        <w:t>Classical Conditioning II: Current Research and Theory</w:t>
      </w:r>
      <w:r w:rsidRPr="00BD54A1">
        <w:rPr>
          <w:rFonts w:ascii="Times New Roman" w:hAnsi="Times New Roman" w:cs="Times New Roman"/>
          <w:noProof/>
          <w:sz w:val="24"/>
          <w:szCs w:val="24"/>
        </w:rPr>
        <w:t xml:space="preserve"> (pp. 64–99). Appleton Century Crofts.</w:t>
      </w:r>
    </w:p>
    <w:p w14:paraId="432DDAE4"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Rudebeck, P. H., &amp; Murray, E. A. (2014). The Orbitofrontal Oracle: Cortical Mechanisms for the Prediction and Evaluation of Specific Behavioral Outcomes.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84</w:t>
      </w:r>
      <w:r w:rsidRPr="00BD54A1">
        <w:rPr>
          <w:rFonts w:ascii="Times New Roman" w:hAnsi="Times New Roman" w:cs="Times New Roman"/>
          <w:noProof/>
          <w:sz w:val="24"/>
          <w:szCs w:val="24"/>
        </w:rPr>
        <w:t>(6), 1143–1156. https://doi.org/10.1016/j.neuron.2014.10.049</w:t>
      </w:r>
    </w:p>
    <w:p w14:paraId="51333744"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Sadacca, B. F., Wied, H. M., Lopatina, N., Saini, G. K., Nemirovsky, D., &amp; Schoenbaum, G. (2018). Orbitofrontal neurons signal sensory associations underlying model-based inference in a sensory preconditioning task. </w:t>
      </w:r>
      <w:r w:rsidRPr="00BD54A1">
        <w:rPr>
          <w:rFonts w:ascii="Times New Roman" w:hAnsi="Times New Roman" w:cs="Times New Roman"/>
          <w:i/>
          <w:iCs/>
          <w:noProof/>
          <w:sz w:val="24"/>
          <w:szCs w:val="24"/>
        </w:rPr>
        <w:t>ELife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7</w:t>
      </w:r>
      <w:r w:rsidRPr="00BD54A1">
        <w:rPr>
          <w:rFonts w:ascii="Times New Roman" w:hAnsi="Times New Roman" w:cs="Times New Roman"/>
          <w:noProof/>
          <w:sz w:val="24"/>
          <w:szCs w:val="24"/>
        </w:rPr>
        <w:t>, e30373. https://doi.org/10.7554/eLife.30373</w:t>
      </w:r>
    </w:p>
    <w:p w14:paraId="34DC0EC2"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Schoenbaum, G., Nugent, S. L., Saddoris, M. P., &amp; Setlow, B. (2002). Orbitofrontal lesions in rats impair reversal but not acquisition of go, no-go odor discriminations. </w:t>
      </w:r>
      <w:r w:rsidRPr="00BD54A1">
        <w:rPr>
          <w:rFonts w:ascii="Times New Roman" w:hAnsi="Times New Roman" w:cs="Times New Roman"/>
          <w:i/>
          <w:iCs/>
          <w:noProof/>
          <w:sz w:val="24"/>
          <w:szCs w:val="24"/>
        </w:rPr>
        <w:t>Neuroreport</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lastRenderedPageBreak/>
        <w:t>13</w:t>
      </w:r>
      <w:r w:rsidRPr="00BD54A1">
        <w:rPr>
          <w:rFonts w:ascii="Times New Roman" w:hAnsi="Times New Roman" w:cs="Times New Roman"/>
          <w:noProof/>
          <w:sz w:val="24"/>
          <w:szCs w:val="24"/>
        </w:rPr>
        <w:t>(6), 885–890. https://doi.org/10.1097/00001756-200205070-00030</w:t>
      </w:r>
    </w:p>
    <w:p w14:paraId="792F0742"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Schoenbaum, G., Roesch, M. R., Stalnaker, T. A., &amp; Takahashi, Y. K. (2009). A new perspective on the role of the orbitofrontal cortex in adaptive behaviour. </w:t>
      </w:r>
      <w:r w:rsidRPr="00BD54A1">
        <w:rPr>
          <w:rFonts w:ascii="Times New Roman" w:hAnsi="Times New Roman" w:cs="Times New Roman"/>
          <w:i/>
          <w:iCs/>
          <w:noProof/>
          <w:sz w:val="24"/>
          <w:szCs w:val="24"/>
        </w:rPr>
        <w:t>Nature Reviews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10</w:t>
      </w:r>
      <w:r w:rsidRPr="00BD54A1">
        <w:rPr>
          <w:rFonts w:ascii="Times New Roman" w:hAnsi="Times New Roman" w:cs="Times New Roman"/>
          <w:noProof/>
          <w:sz w:val="24"/>
          <w:szCs w:val="24"/>
        </w:rPr>
        <w:t>(12), 885–892. https://doi.org/Doi 10.1038/Nrn2753</w:t>
      </w:r>
    </w:p>
    <w:p w14:paraId="1C36669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Schoenbaum, G., Setlow, B., Nugent, S. L., Saddoris, M. P., &amp; Gallagher, M. (2003). Lesions of orbitofrontal cortex and basolateral amygdala complex disrupt acquisition of odor-guided discriminations and reversals. </w:t>
      </w:r>
      <w:r w:rsidRPr="00BD54A1">
        <w:rPr>
          <w:rFonts w:ascii="Times New Roman" w:hAnsi="Times New Roman" w:cs="Times New Roman"/>
          <w:i/>
          <w:iCs/>
          <w:noProof/>
          <w:sz w:val="24"/>
          <w:szCs w:val="24"/>
        </w:rPr>
        <w:t>Learning &amp; Memory</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10</w:t>
      </w:r>
      <w:r w:rsidRPr="00BD54A1">
        <w:rPr>
          <w:rFonts w:ascii="Times New Roman" w:hAnsi="Times New Roman" w:cs="Times New Roman"/>
          <w:noProof/>
          <w:sz w:val="24"/>
          <w:szCs w:val="24"/>
        </w:rPr>
        <w:t>(2), 129–140. https://doi.org/Doi 10.1101/Lm.55203</w:t>
      </w:r>
    </w:p>
    <w:p w14:paraId="6E09784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Schoenbaum, G., Takahashi, Y. K., Liu, T., &amp; McDannald, M. A. (2011). Does the orbitofrontal cortex signal value? </w:t>
      </w:r>
      <w:r w:rsidRPr="00BD54A1">
        <w:rPr>
          <w:rFonts w:ascii="Times New Roman" w:hAnsi="Times New Roman" w:cs="Times New Roman"/>
          <w:i/>
          <w:iCs/>
          <w:noProof/>
          <w:sz w:val="24"/>
          <w:szCs w:val="24"/>
        </w:rPr>
        <w:t>Ann N Y Acad Sci</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1239</w:t>
      </w:r>
      <w:r w:rsidRPr="00BD54A1">
        <w:rPr>
          <w:rFonts w:ascii="Times New Roman" w:hAnsi="Times New Roman" w:cs="Times New Roman"/>
          <w:noProof/>
          <w:sz w:val="24"/>
          <w:szCs w:val="24"/>
        </w:rPr>
        <w:t>(1), 87–99. https://doi.org/10.1111/j.1749-6632.2011.06210.x</w:t>
      </w:r>
    </w:p>
    <w:p w14:paraId="7C573C90"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Schultz, W. (1998). Predictive reward signal of dopamine neurons. </w:t>
      </w:r>
      <w:r w:rsidRPr="00BD54A1">
        <w:rPr>
          <w:rFonts w:ascii="Times New Roman" w:hAnsi="Times New Roman" w:cs="Times New Roman"/>
          <w:i/>
          <w:iCs/>
          <w:noProof/>
          <w:sz w:val="24"/>
          <w:szCs w:val="24"/>
        </w:rPr>
        <w:t>Journal of Neurophysiology</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80</w:t>
      </w:r>
      <w:r w:rsidRPr="00BD54A1">
        <w:rPr>
          <w:rFonts w:ascii="Times New Roman" w:hAnsi="Times New Roman" w:cs="Times New Roman"/>
          <w:noProof/>
          <w:sz w:val="24"/>
          <w:szCs w:val="24"/>
        </w:rPr>
        <w:t>(1), 1–27.</w:t>
      </w:r>
    </w:p>
    <w:p w14:paraId="39BB5055"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Sharpe, M. J., Chang, C. Y., Liu, M. A., Batchelor, H. M., Mueller, L. E., Jones, J. L., Niv, Y., &amp; Schoenbaum, G. (2017a). Dopamine transients are sufficient and necessary for acquisition of model-based associations. </w:t>
      </w:r>
      <w:r w:rsidRPr="00BD54A1">
        <w:rPr>
          <w:rFonts w:ascii="Times New Roman" w:hAnsi="Times New Roman" w:cs="Times New Roman"/>
          <w:i/>
          <w:iCs/>
          <w:noProof/>
          <w:sz w:val="24"/>
          <w:szCs w:val="24"/>
        </w:rPr>
        <w:t>Nature Neuroscience</w:t>
      </w:r>
      <w:r w:rsidRPr="00BD54A1">
        <w:rPr>
          <w:rFonts w:ascii="Times New Roman" w:hAnsi="Times New Roman" w:cs="Times New Roman"/>
          <w:noProof/>
          <w:sz w:val="24"/>
          <w:szCs w:val="24"/>
        </w:rPr>
        <w:t>. https://doi.org/10.1038/nn.4538</w:t>
      </w:r>
    </w:p>
    <w:p w14:paraId="620595A2"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Sharpe, M. J., Chang, C. Y., Liu, M. A., Batchelor, H. M., Mueller, L. E., Jones, J. L., Niv, Y., &amp; Schoenbaum, G. (2017b). Dopamine transients are sufficient and necessary for acquisition of model-based associations. </w:t>
      </w:r>
      <w:r w:rsidRPr="00BD54A1">
        <w:rPr>
          <w:rFonts w:ascii="Times New Roman" w:hAnsi="Times New Roman" w:cs="Times New Roman"/>
          <w:i/>
          <w:iCs/>
          <w:noProof/>
          <w:sz w:val="24"/>
          <w:szCs w:val="24"/>
        </w:rPr>
        <w:t>Nature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20</w:t>
      </w:r>
      <w:r w:rsidRPr="00BD54A1">
        <w:rPr>
          <w:rFonts w:ascii="Times New Roman" w:hAnsi="Times New Roman" w:cs="Times New Roman"/>
          <w:noProof/>
          <w:sz w:val="24"/>
          <w:szCs w:val="24"/>
        </w:rPr>
        <w:t>(5), 735–742. https://doi.org/10.1038/nn.4538</w:t>
      </w:r>
    </w:p>
    <w:p w14:paraId="0B4A5001"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Sharpe, M. J., Wikenheiser, A. M., Niv, Y., &amp; Schoenbaum, G. (2015). The State of the </w:t>
      </w:r>
      <w:r w:rsidRPr="00BD54A1">
        <w:rPr>
          <w:rFonts w:ascii="Times New Roman" w:hAnsi="Times New Roman" w:cs="Times New Roman"/>
          <w:noProof/>
          <w:sz w:val="24"/>
          <w:szCs w:val="24"/>
        </w:rPr>
        <w:lastRenderedPageBreak/>
        <w:t xml:space="preserve">Orbitofrontal Cortex.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88</w:t>
      </w:r>
      <w:r w:rsidRPr="00BD54A1">
        <w:rPr>
          <w:rFonts w:ascii="Times New Roman" w:hAnsi="Times New Roman" w:cs="Times New Roman"/>
          <w:noProof/>
          <w:sz w:val="24"/>
          <w:szCs w:val="24"/>
        </w:rPr>
        <w:t>(6), 1075–1077. https://doi.org/10.1016/j.neuron.2015.12.004</w:t>
      </w:r>
    </w:p>
    <w:p w14:paraId="3CEBFC4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Singmann, H., Bolker, B., Westfall, J., Aust, F., Højsgaard, S., Fox, J., Lawrence, M. A., Mertens, U., &amp; Love, J. (2020). afex: analysis of factorial experiments. </w:t>
      </w:r>
      <w:r w:rsidRPr="00BD54A1">
        <w:rPr>
          <w:rFonts w:ascii="Times New Roman" w:hAnsi="Times New Roman" w:cs="Times New Roman"/>
          <w:i/>
          <w:iCs/>
          <w:noProof/>
          <w:sz w:val="24"/>
          <w:szCs w:val="24"/>
        </w:rPr>
        <w:t>R Package Version 0.27-2</w:t>
      </w:r>
      <w:r w:rsidRPr="00BD54A1">
        <w:rPr>
          <w:rFonts w:ascii="Times New Roman" w:hAnsi="Times New Roman" w:cs="Times New Roman"/>
          <w:noProof/>
          <w:sz w:val="24"/>
          <w:szCs w:val="24"/>
        </w:rPr>
        <w:t>. https://cran.r-project.org/package=afex</w:t>
      </w:r>
    </w:p>
    <w:p w14:paraId="4439CEF7"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Stalnaker, T. A., Cooch, N. K., McDannald, M. A., Liu, T. L., Wied, H., Schoenbaum, G., &amp; Tzu-Lan, L. (2014). Orbitofrontal neurons infer the value and identity of predicted outcomes. </w:t>
      </w:r>
      <w:r w:rsidRPr="00BD54A1">
        <w:rPr>
          <w:rFonts w:ascii="Times New Roman" w:hAnsi="Times New Roman" w:cs="Times New Roman"/>
          <w:i/>
          <w:iCs/>
          <w:noProof/>
          <w:sz w:val="24"/>
          <w:szCs w:val="24"/>
        </w:rPr>
        <w:t>Nat Commun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5</w:t>
      </w:r>
      <w:r w:rsidRPr="00BD54A1">
        <w:rPr>
          <w:rFonts w:ascii="Times New Roman" w:hAnsi="Times New Roman" w:cs="Times New Roman"/>
          <w:noProof/>
          <w:sz w:val="24"/>
          <w:szCs w:val="24"/>
        </w:rPr>
        <w:t>, 3926. https://doi.org/10.1038/ncomms4926</w:t>
      </w:r>
    </w:p>
    <w:p w14:paraId="78C5A2C8"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Stalnaker, T. A., Cooch, N. K., &amp; Schoenbaum, G. (2015). What the orbitofrontal cortex does not do. In </w:t>
      </w:r>
      <w:r w:rsidRPr="00BD54A1">
        <w:rPr>
          <w:rFonts w:ascii="Times New Roman" w:hAnsi="Times New Roman" w:cs="Times New Roman"/>
          <w:i/>
          <w:iCs/>
          <w:noProof/>
          <w:sz w:val="24"/>
          <w:szCs w:val="24"/>
        </w:rPr>
        <w:t>Nature Neuroscience</w:t>
      </w:r>
      <w:r w:rsidRPr="00BD54A1">
        <w:rPr>
          <w:rFonts w:ascii="Times New Roman" w:hAnsi="Times New Roman" w:cs="Times New Roman"/>
          <w:noProof/>
          <w:sz w:val="24"/>
          <w:szCs w:val="24"/>
        </w:rPr>
        <w:t>. https://doi.org/10.1038/nn.3982</w:t>
      </w:r>
    </w:p>
    <w:p w14:paraId="5102D6AE"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Stalnaker, T. A., Franz, T. M., Singh, T., &amp; Schoenbaum, G. (2007). Basolateral amygdala lesions abolish orbitofrontal-dependent reversal impairments.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54</w:t>
      </w:r>
      <w:r w:rsidRPr="00BD54A1">
        <w:rPr>
          <w:rFonts w:ascii="Times New Roman" w:hAnsi="Times New Roman" w:cs="Times New Roman"/>
          <w:noProof/>
          <w:sz w:val="24"/>
          <w:szCs w:val="24"/>
        </w:rPr>
        <w:t>(1), 51–58. https://doi.org/DOI 10.1016/j.neuron.2007.02.014</w:t>
      </w:r>
    </w:p>
    <w:p w14:paraId="74F2AD25"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Stalnaker, T. A., Liu, T.-L., Takahashi, Y. K., &amp; Schoenbaum, G. (2018). Orbitofrontal neurons signal reward predictions, not reward prediction errors. </w:t>
      </w:r>
      <w:r w:rsidRPr="00BD54A1">
        <w:rPr>
          <w:rFonts w:ascii="Times New Roman" w:hAnsi="Times New Roman" w:cs="Times New Roman"/>
          <w:i/>
          <w:iCs/>
          <w:noProof/>
          <w:sz w:val="24"/>
          <w:szCs w:val="24"/>
        </w:rPr>
        <w:t>Neurobiology of Learning and Memory</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153</w:t>
      </w:r>
      <w:r w:rsidRPr="00BD54A1">
        <w:rPr>
          <w:rFonts w:ascii="Times New Roman" w:hAnsi="Times New Roman" w:cs="Times New Roman"/>
          <w:noProof/>
          <w:sz w:val="24"/>
          <w:szCs w:val="24"/>
        </w:rPr>
        <w:t>, 137–143. https://doi.org/10.1016/J.NLM.2018.01.013</w:t>
      </w:r>
    </w:p>
    <w:p w14:paraId="1CE95FC7"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Steinberg, E. E., Keiflin, R., Boivin, J. R., Witten, I. B., Deisseroth, K., &amp; Janak, P. H. (2013). A causal link between prediction errors, dopamine neurons and learning. </w:t>
      </w:r>
      <w:r w:rsidRPr="00BD54A1">
        <w:rPr>
          <w:rFonts w:ascii="Times New Roman" w:hAnsi="Times New Roman" w:cs="Times New Roman"/>
          <w:i/>
          <w:iCs/>
          <w:noProof/>
          <w:sz w:val="24"/>
          <w:szCs w:val="24"/>
        </w:rPr>
        <w:t>Nature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16</w:t>
      </w:r>
      <w:r w:rsidRPr="00BD54A1">
        <w:rPr>
          <w:rFonts w:ascii="Times New Roman" w:hAnsi="Times New Roman" w:cs="Times New Roman"/>
          <w:noProof/>
          <w:sz w:val="24"/>
          <w:szCs w:val="24"/>
        </w:rPr>
        <w:t>(7), 966–973. https://doi.org/10.1038/nn.3413</w:t>
      </w:r>
    </w:p>
    <w:p w14:paraId="400C082B"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Stolyarova, A., &amp; Izquierdo, A. (2017). Complementary contributions of basolateral amygdala and orbitofrontal cortex to value learning under uncertainty. </w:t>
      </w:r>
      <w:r w:rsidRPr="00BD54A1">
        <w:rPr>
          <w:rFonts w:ascii="Times New Roman" w:hAnsi="Times New Roman" w:cs="Times New Roman"/>
          <w:i/>
          <w:iCs/>
          <w:noProof/>
          <w:sz w:val="24"/>
          <w:szCs w:val="24"/>
        </w:rPr>
        <w:t>ELife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6</w:t>
      </w:r>
      <w:r w:rsidRPr="00BD54A1">
        <w:rPr>
          <w:rFonts w:ascii="Times New Roman" w:hAnsi="Times New Roman" w:cs="Times New Roman"/>
          <w:noProof/>
          <w:sz w:val="24"/>
          <w:szCs w:val="24"/>
        </w:rPr>
        <w:t xml:space="preserve">, e27483. </w:t>
      </w:r>
      <w:r w:rsidRPr="00BD54A1">
        <w:rPr>
          <w:rFonts w:ascii="Times New Roman" w:hAnsi="Times New Roman" w:cs="Times New Roman"/>
          <w:noProof/>
          <w:sz w:val="24"/>
          <w:szCs w:val="24"/>
        </w:rPr>
        <w:lastRenderedPageBreak/>
        <w:t>https://doi.org/10.7554/eLife.27483</w:t>
      </w:r>
    </w:p>
    <w:p w14:paraId="28A24046"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Sutton, R. S., &amp; Barto, A. G. (1998). </w:t>
      </w:r>
      <w:r w:rsidRPr="00BD54A1">
        <w:rPr>
          <w:rFonts w:ascii="Times New Roman" w:hAnsi="Times New Roman" w:cs="Times New Roman"/>
          <w:i/>
          <w:iCs/>
          <w:noProof/>
          <w:sz w:val="24"/>
          <w:szCs w:val="24"/>
        </w:rPr>
        <w:t>Reinforccement Learning: An introduction</w:t>
      </w:r>
      <w:r w:rsidRPr="00BD54A1">
        <w:rPr>
          <w:rFonts w:ascii="Times New Roman" w:hAnsi="Times New Roman" w:cs="Times New Roman"/>
          <w:noProof/>
          <w:sz w:val="24"/>
          <w:szCs w:val="24"/>
        </w:rPr>
        <w:t>. The MIT Press.</w:t>
      </w:r>
    </w:p>
    <w:p w14:paraId="7388916C"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Takahashi, Y. K., Chang, C. Y., Lucantonio, F., Haney, R. Z., Berg, B. A., Yau, H.-J., Bonci, A., &amp; Schoenbaum, G. (2013). Neural estimates of imagined outcomes in the orbitofrontal cortex drive behavior and learning.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80</w:t>
      </w:r>
      <w:r w:rsidRPr="00BD54A1">
        <w:rPr>
          <w:rFonts w:ascii="Times New Roman" w:hAnsi="Times New Roman" w:cs="Times New Roman"/>
          <w:noProof/>
          <w:sz w:val="24"/>
          <w:szCs w:val="24"/>
        </w:rPr>
        <w:t>, 507–518. http://ac.els-cdn.com/S0896627313007198/1-s2.0-S0896627313007198-main.pdf?_tid=97ea45dc-cbcc-11e4-9c0e-00000aacb362&amp;acdnat=1426504211_80b43da207445d70382dd3274f8c4f11</w:t>
      </w:r>
    </w:p>
    <w:p w14:paraId="593FCDD3"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Takahashi, Y. K., Roesch, M. R., Stalnaker, T. A., Haney, R. Z., Caiu, D. J., Taylor, A. R., Burke, K. A., Schoenbaum, G., &amp; Calu, D. J. (2009). The Orbitofrontal Cortex and Ventral Tegmental Area Are Necessary for Learning from Unexpected Outcomes.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62</w:t>
      </w:r>
      <w:r w:rsidRPr="00BD54A1">
        <w:rPr>
          <w:rFonts w:ascii="Times New Roman" w:hAnsi="Times New Roman" w:cs="Times New Roman"/>
          <w:noProof/>
          <w:sz w:val="24"/>
          <w:szCs w:val="24"/>
        </w:rPr>
        <w:t>(2), 269–280. https://doi.org/DOI 10.1016/j.neuron.2009.03.005</w:t>
      </w:r>
    </w:p>
    <w:p w14:paraId="7FC7FF93"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Takahashi, Y. K., Roesch, M. R., Wilson, R. C., Toreson, K., O’Donnell, P., Niv, Y., &amp; Schoenbaum, G. (2011). Expectancy-related changes in firing of dopamine neurons depend on orbitofrontal cortex. </w:t>
      </w:r>
      <w:r w:rsidRPr="00BD54A1">
        <w:rPr>
          <w:rFonts w:ascii="Times New Roman" w:hAnsi="Times New Roman" w:cs="Times New Roman"/>
          <w:i/>
          <w:iCs/>
          <w:noProof/>
          <w:sz w:val="24"/>
          <w:szCs w:val="24"/>
        </w:rPr>
        <w:t>Nature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14</w:t>
      </w:r>
      <w:r w:rsidRPr="00BD54A1">
        <w:rPr>
          <w:rFonts w:ascii="Times New Roman" w:hAnsi="Times New Roman" w:cs="Times New Roman"/>
          <w:noProof/>
          <w:sz w:val="24"/>
          <w:szCs w:val="24"/>
        </w:rPr>
        <w:t>(12), 1590–1597. https://doi.org/10.1038/nn.2957</w:t>
      </w:r>
    </w:p>
    <w:p w14:paraId="36A4A822"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Wagner, A. R. (1981). SOP: A model of automatic memory processing in animal behavior. In N. E. Spear (Ed.), </w:t>
      </w:r>
      <w:r w:rsidRPr="00BD54A1">
        <w:rPr>
          <w:rFonts w:ascii="Times New Roman" w:hAnsi="Times New Roman" w:cs="Times New Roman"/>
          <w:i/>
          <w:iCs/>
          <w:noProof/>
          <w:sz w:val="24"/>
          <w:szCs w:val="24"/>
        </w:rPr>
        <w:t>Information processing in animals: Memory mechanisms</w:t>
      </w:r>
      <w:r w:rsidRPr="00BD54A1">
        <w:rPr>
          <w:rFonts w:ascii="Times New Roman" w:hAnsi="Times New Roman" w:cs="Times New Roman"/>
          <w:noProof/>
          <w:sz w:val="24"/>
          <w:szCs w:val="24"/>
        </w:rPr>
        <w:t xml:space="preserve"> (pp. 5–47). Erlbaum.</w:t>
      </w:r>
    </w:p>
    <w:p w14:paraId="65D2F265"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Walton, M. E., Behrens, T. E., Buckley, M. J., Rudebeck, P. H., &amp; Rushworth, M. F. (2010). Separable learning systems in the macaque brain and the role of orbitofrontal cortex in contingent learning.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65</w:t>
      </w:r>
      <w:r w:rsidRPr="00BD54A1">
        <w:rPr>
          <w:rFonts w:ascii="Times New Roman" w:hAnsi="Times New Roman" w:cs="Times New Roman"/>
          <w:noProof/>
          <w:sz w:val="24"/>
          <w:szCs w:val="24"/>
        </w:rPr>
        <w:t>(6), 927–939. https://doi.org/10.1016/j.neuron.2010.02.027</w:t>
      </w:r>
    </w:p>
    <w:p w14:paraId="68AA08EC"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lastRenderedPageBreak/>
        <w:t xml:space="preserve">Walton, M. E., Behrens, T. E., Noonan, M. P., &amp; Rushworth, M. F. (2011). Giving credit where credit is due: orbitofrontal cortex and valuation in an uncertain world. </w:t>
      </w:r>
      <w:r w:rsidRPr="00BD54A1">
        <w:rPr>
          <w:rFonts w:ascii="Times New Roman" w:hAnsi="Times New Roman" w:cs="Times New Roman"/>
          <w:i/>
          <w:iCs/>
          <w:noProof/>
          <w:sz w:val="24"/>
          <w:szCs w:val="24"/>
        </w:rPr>
        <w:t>Ann N Y Acad Sci</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1239</w:t>
      </w:r>
      <w:r w:rsidRPr="00BD54A1">
        <w:rPr>
          <w:rFonts w:ascii="Times New Roman" w:hAnsi="Times New Roman" w:cs="Times New Roman"/>
          <w:noProof/>
          <w:sz w:val="24"/>
          <w:szCs w:val="24"/>
        </w:rPr>
        <w:t>, 14–24. http://onlinelibrary.wiley.com/doi/10.1111/j.1749-6632.2011.06257.x/abstract</w:t>
      </w:r>
    </w:p>
    <w:p w14:paraId="5E2525B7"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Wang, P. Y., Boboila, C., Chin, M., Higashi-Howard, A., Shamash, P., Wu, Z., Stein, N. P., Abbott, L. F., &amp; Axel, R. (2020). Transient and Persistent Representations of Odor Value in Prefrontal Cortex.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1–16. https://doi.org/10.1016/j.neuron.2020.07.033</w:t>
      </w:r>
    </w:p>
    <w:p w14:paraId="5224D178"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West, E. A., DesJardin, J. T., Gale, K., &amp; Malkova, L. (2011). Transient Inactivation of Orbitofrontal Cortex Blocks Reinforcer Devaluation in Macaques. </w:t>
      </w:r>
      <w:r w:rsidRPr="00BD54A1">
        <w:rPr>
          <w:rFonts w:ascii="Times New Roman" w:hAnsi="Times New Roman" w:cs="Times New Roman"/>
          <w:i/>
          <w:iCs/>
          <w:noProof/>
          <w:sz w:val="24"/>
          <w:szCs w:val="24"/>
        </w:rPr>
        <w:t>The Journal of Neuroscience : The Official Journal of the Society for Neuroscience</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31</w:t>
      </w:r>
      <w:r w:rsidRPr="00BD54A1">
        <w:rPr>
          <w:rFonts w:ascii="Times New Roman" w:hAnsi="Times New Roman" w:cs="Times New Roman"/>
          <w:noProof/>
          <w:sz w:val="24"/>
          <w:szCs w:val="24"/>
        </w:rPr>
        <w:t>(42), 15128–15135. https://doi.org/10.1523/JNEUROSCI.3295-11.2011</w:t>
      </w:r>
    </w:p>
    <w:p w14:paraId="6984C953"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szCs w:val="24"/>
        </w:rPr>
      </w:pPr>
      <w:r w:rsidRPr="00BD54A1">
        <w:rPr>
          <w:rFonts w:ascii="Times New Roman" w:hAnsi="Times New Roman" w:cs="Times New Roman"/>
          <w:noProof/>
          <w:sz w:val="24"/>
          <w:szCs w:val="24"/>
        </w:rPr>
        <w:t xml:space="preserve">Wilson, R. C., Takahashi, Y. K., Schoenbaum, G., &amp; Niv, Y. (2014). Orbitofrontal cortex as a cognitive map of task space. </w:t>
      </w:r>
      <w:r w:rsidRPr="00BD54A1">
        <w:rPr>
          <w:rFonts w:ascii="Times New Roman" w:hAnsi="Times New Roman" w:cs="Times New Roman"/>
          <w:i/>
          <w:iCs/>
          <w:noProof/>
          <w:sz w:val="24"/>
          <w:szCs w:val="24"/>
        </w:rPr>
        <w:t>Neuron</w:t>
      </w:r>
      <w:r w:rsidRPr="00BD54A1">
        <w:rPr>
          <w:rFonts w:ascii="Times New Roman" w:hAnsi="Times New Roman" w:cs="Times New Roman"/>
          <w:noProof/>
          <w:sz w:val="24"/>
          <w:szCs w:val="24"/>
        </w:rPr>
        <w:t xml:space="preserve">, </w:t>
      </w:r>
      <w:r w:rsidRPr="00BD54A1">
        <w:rPr>
          <w:rFonts w:ascii="Times New Roman" w:hAnsi="Times New Roman" w:cs="Times New Roman"/>
          <w:i/>
          <w:iCs/>
          <w:noProof/>
          <w:sz w:val="24"/>
          <w:szCs w:val="24"/>
        </w:rPr>
        <w:t>81</w:t>
      </w:r>
      <w:r w:rsidRPr="00BD54A1">
        <w:rPr>
          <w:rFonts w:ascii="Times New Roman" w:hAnsi="Times New Roman" w:cs="Times New Roman"/>
          <w:noProof/>
          <w:sz w:val="24"/>
          <w:szCs w:val="24"/>
        </w:rPr>
        <w:t>(2), 267–279. https://doi.org/10.1016/j.neuron.2013.11.005</w:t>
      </w:r>
    </w:p>
    <w:p w14:paraId="262C621A" w14:textId="77777777" w:rsidR="00BD54A1" w:rsidRPr="00BD54A1" w:rsidRDefault="00BD54A1" w:rsidP="00BD54A1">
      <w:pPr>
        <w:widowControl w:val="0"/>
        <w:autoSpaceDE w:val="0"/>
        <w:autoSpaceDN w:val="0"/>
        <w:adjustRightInd w:val="0"/>
        <w:spacing w:line="480" w:lineRule="auto"/>
        <w:ind w:left="480" w:hanging="480"/>
        <w:rPr>
          <w:rFonts w:ascii="Times New Roman" w:hAnsi="Times New Roman" w:cs="Times New Roman"/>
          <w:noProof/>
          <w:sz w:val="24"/>
        </w:rPr>
      </w:pPr>
      <w:r w:rsidRPr="00BD54A1">
        <w:rPr>
          <w:rFonts w:ascii="Times New Roman" w:hAnsi="Times New Roman" w:cs="Times New Roman"/>
          <w:noProof/>
          <w:sz w:val="24"/>
          <w:szCs w:val="24"/>
        </w:rPr>
        <w:t xml:space="preserve">Zhou, J., Gardner, M. P. H., Stalnaker, T. A., Ramus, S. J., Wikenheiser, A. M., Niv, Y., &amp; Schoenbaum, G. (2019). Rat Orbitofrontal Ensemble Activity Contains Multiplexed but Dissociable Representations of Value and Task Structure in an Odor Sequence Task. </w:t>
      </w:r>
      <w:r w:rsidRPr="00BD54A1">
        <w:rPr>
          <w:rFonts w:ascii="Times New Roman" w:hAnsi="Times New Roman" w:cs="Times New Roman"/>
          <w:i/>
          <w:iCs/>
          <w:noProof/>
          <w:sz w:val="24"/>
          <w:szCs w:val="24"/>
        </w:rPr>
        <w:t>Current Biology</w:t>
      </w:r>
      <w:r w:rsidRPr="00BD54A1">
        <w:rPr>
          <w:rFonts w:ascii="Times New Roman" w:hAnsi="Times New Roman" w:cs="Times New Roman"/>
          <w:noProof/>
          <w:sz w:val="24"/>
          <w:szCs w:val="24"/>
        </w:rPr>
        <w:t>. https://doi.org/10.1016/j.cub.2019.01.048</w:t>
      </w:r>
    </w:p>
    <w:p w14:paraId="7E7732D2" w14:textId="7F63E846" w:rsidR="00BD1176" w:rsidRDefault="0075381C" w:rsidP="00F04D98">
      <w:pPr>
        <w:spacing w:line="48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fldChar w:fldCharType="end"/>
      </w:r>
    </w:p>
    <w:p w14:paraId="2C52BC36" w14:textId="7D0B29E6" w:rsidR="00BD1176" w:rsidRDefault="00BD1176" w:rsidP="00F04D98">
      <w:pPr>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br w:type="page"/>
      </w:r>
    </w:p>
    <w:p w14:paraId="6B51204C" w14:textId="77777777" w:rsidR="00873394" w:rsidRDefault="00873394" w:rsidP="00873394">
      <w:pPr>
        <w:spacing w:line="480" w:lineRule="auto"/>
        <w:rPr>
          <w:rFonts w:ascii="Times New Roman" w:eastAsia="Calibri" w:hAnsi="Times New Roman" w:cs="Times New Roman"/>
          <w:b/>
          <w:bCs/>
          <w:sz w:val="24"/>
          <w:szCs w:val="24"/>
          <w:lang w:val="en-GB"/>
        </w:rPr>
      </w:pPr>
      <w:r w:rsidRPr="00873394">
        <w:rPr>
          <w:rFonts w:ascii="Times New Roman" w:eastAsia="Calibri" w:hAnsi="Times New Roman" w:cs="Times New Roman"/>
          <w:b/>
          <w:bCs/>
          <w:sz w:val="24"/>
          <w:szCs w:val="24"/>
          <w:lang w:val="en-GB"/>
        </w:rPr>
        <w:lastRenderedPageBreak/>
        <w:t>Data availability:</w:t>
      </w:r>
    </w:p>
    <w:p w14:paraId="305344EE" w14:textId="42053BB9" w:rsidR="00BD1176" w:rsidRPr="00873394" w:rsidRDefault="00873394" w:rsidP="00873394">
      <w:pPr>
        <w:spacing w:line="48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Raw data associated with figures are available at: </w:t>
      </w:r>
      <w:hyperlink r:id="rId9" w:history="1">
        <w:r w:rsidRPr="00C362DD">
          <w:rPr>
            <w:rStyle w:val="Hyperlink"/>
            <w:rFonts w:ascii="Times New Roman" w:eastAsia="Calibri" w:hAnsi="Times New Roman" w:cs="Times New Roman"/>
            <w:sz w:val="24"/>
            <w:szCs w:val="24"/>
            <w:lang w:val="en-GB"/>
          </w:rPr>
          <w:t>https://osf.io/tnbh7/?view_only=fe9f8762e1e54ca3be7e84e13b95c1d9</w:t>
        </w:r>
      </w:hyperlink>
    </w:p>
    <w:p w14:paraId="239407D9" w14:textId="0732D4E2" w:rsidR="00EA20A3" w:rsidRPr="008D0CD6" w:rsidRDefault="00EA20A3" w:rsidP="00F04D98">
      <w:pPr>
        <w:spacing w:line="480" w:lineRule="auto"/>
        <w:rPr>
          <w:rFonts w:ascii="Times New Roman" w:hAnsi="Times New Roman" w:cs="Times New Roman"/>
          <w:b/>
          <w:bCs/>
          <w:sz w:val="24"/>
          <w:szCs w:val="24"/>
          <w:lang w:val="en-GB"/>
        </w:rPr>
      </w:pPr>
      <w:r w:rsidRPr="008D0CD6">
        <w:rPr>
          <w:rFonts w:ascii="Times New Roman" w:hAnsi="Times New Roman" w:cs="Times New Roman"/>
          <w:b/>
          <w:bCs/>
          <w:sz w:val="24"/>
          <w:szCs w:val="24"/>
          <w:lang w:val="en-GB"/>
        </w:rPr>
        <w:t>Methods and materials</w:t>
      </w:r>
    </w:p>
    <w:p w14:paraId="00FDC509" w14:textId="77777777" w:rsidR="00EA20A3" w:rsidRPr="008D0CD6" w:rsidRDefault="00EA20A3" w:rsidP="00F04D98">
      <w:pPr>
        <w:spacing w:after="240" w:line="480" w:lineRule="auto"/>
        <w:ind w:firstLine="720"/>
        <w:rPr>
          <w:rFonts w:ascii="Times New Roman" w:hAnsi="Times New Roman" w:cs="Times New Roman"/>
          <w:sz w:val="24"/>
          <w:szCs w:val="24"/>
          <w:lang w:val="en-GB"/>
        </w:rPr>
      </w:pPr>
      <w:r w:rsidRPr="008D0CD6">
        <w:rPr>
          <w:rFonts w:ascii="Times New Roman" w:hAnsi="Times New Roman" w:cs="Times New Roman"/>
          <w:i/>
          <w:sz w:val="24"/>
          <w:szCs w:val="24"/>
          <w:lang w:val="en-GB"/>
        </w:rPr>
        <w:t>Animals.</w:t>
      </w:r>
      <w:r w:rsidRPr="008D0CD6">
        <w:rPr>
          <w:rFonts w:ascii="Times New Roman" w:hAnsi="Times New Roman" w:cs="Times New Roman"/>
          <w:sz w:val="24"/>
          <w:szCs w:val="24"/>
          <w:lang w:val="en-GB"/>
        </w:rPr>
        <w:t xml:space="preserve"> Subjects were male Long Evans rats (Monash Animal Services, Gippsland, Victoria, Australia) approximately 4 months old. Rats were housed four per cage in ventilated Plexiglass cages in a temperature regulated (22 ± 1</w:t>
      </w:r>
      <w:r w:rsidRPr="008D0CD6">
        <w:rPr>
          <w:rFonts w:ascii="Times New Roman" w:hAnsi="Times New Roman" w:cs="Times New Roman"/>
          <w:sz w:val="24"/>
          <w:szCs w:val="24"/>
          <w:lang w:val="en-GB"/>
        </w:rPr>
        <w:softHyphen/>
        <w:t>°C) and light regulated (12h light/dark cycle, lights on at 7:00 AM) colony room. At least one week prior to behavioural testing, feeding was restricted to ensure that weight was approximately 95% of ad libitum feeding weight, and never dropped below 85%. 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227C9C66" w14:textId="77777777" w:rsidR="00EA20A3" w:rsidRPr="008D0CD6" w:rsidRDefault="00EA20A3" w:rsidP="00F04D98">
      <w:pPr>
        <w:spacing w:line="480" w:lineRule="auto"/>
        <w:ind w:firstLine="720"/>
        <w:rPr>
          <w:rFonts w:ascii="Times New Roman" w:hAnsi="Times New Roman" w:cs="Times New Roman"/>
          <w:sz w:val="24"/>
          <w:szCs w:val="24"/>
          <w:lang w:val="en-GB"/>
        </w:rPr>
      </w:pPr>
      <w:r w:rsidRPr="008D0CD6">
        <w:rPr>
          <w:rFonts w:ascii="Times New Roman" w:hAnsi="Times New Roman" w:cs="Times New Roman"/>
          <w:i/>
          <w:sz w:val="24"/>
          <w:szCs w:val="24"/>
          <w:lang w:val="en-GB"/>
        </w:rPr>
        <w:t>Apparatus.</w:t>
      </w:r>
      <w:r w:rsidRPr="008D0CD6">
        <w:rPr>
          <w:rFonts w:ascii="Times New Roman" w:hAnsi="Times New Roman" w:cs="Times New Roman"/>
          <w:sz w:val="24"/>
          <w:szCs w:val="24"/>
          <w:lang w:val="en-GB"/>
        </w:rPr>
        <w:t xml:space="preserve"> Behavioural testing was conducted in eight identical operant chambers (30.5 x 32.5 x 29.5 cm; Med Associates) individually housed within ventilated sound attenuating cabinets. Each chamber was fitted with a 3-W house light that was centrally located at the top of the left-hand wall. Food pellets could be delivered into a recessed magazine, centrally located at the bottom of the right-hand wall. Delivery of up to two separate liquid rewards via rubber tubing into the magazine was achieved using peristaltic pumps located above the testing chamber. The top of the magazine contained a white LED light that could serve as a visual stimulus. Access to the magazine was measured by infrared detectors at the mouth of the recess. Two retractable levers were located on either side of the magazine on the right-hand wall. A </w:t>
      </w:r>
      <w:r w:rsidRPr="008D0CD6">
        <w:rPr>
          <w:rFonts w:ascii="Times New Roman" w:hAnsi="Times New Roman" w:cs="Times New Roman"/>
          <w:sz w:val="24"/>
          <w:szCs w:val="24"/>
          <w:lang w:val="en-GB"/>
        </w:rPr>
        <w:lastRenderedPageBreak/>
        <w:t xml:space="preserve">speaker located to the right of the house light could provide auditory stimuli to the chamber. In addition, a 5-Hz train of clicks produced by a heavy-duty relay placed outside the chamber at the back-right corner of the cabinet was used as an auditory stimulus. The chambers were wiped down with ethanol (80% v/v) between each session. A computer equipped with Med-PC software </w:t>
      </w:r>
      <w:r w:rsidRPr="008D0CD6">
        <w:rPr>
          <w:rFonts w:ascii="Times New Roman" w:hAnsi="Times New Roman" w:cs="Times New Roman"/>
          <w:color w:val="000000"/>
          <w:sz w:val="24"/>
          <w:szCs w:val="24"/>
          <w:lang w:val="en-GB"/>
        </w:rPr>
        <w:t>(Med Associates Inc., St. Albans, VT, USA)</w:t>
      </w:r>
      <w:r w:rsidRPr="008D0CD6">
        <w:rPr>
          <w:rFonts w:ascii="Times New Roman" w:hAnsi="Times New Roman" w:cs="Times New Roman"/>
          <w:sz w:val="24"/>
          <w:szCs w:val="24"/>
          <w:lang w:val="en-GB"/>
        </w:rPr>
        <w:t xml:space="preserve"> was used to control the experimental procedures and record data.</w:t>
      </w:r>
    </w:p>
    <w:p w14:paraId="2188BC64" w14:textId="77777777" w:rsidR="00EA20A3" w:rsidRPr="008D0CD6" w:rsidRDefault="00EA20A3" w:rsidP="00F04D98">
      <w:pPr>
        <w:spacing w:line="480" w:lineRule="auto"/>
        <w:ind w:firstLine="720"/>
        <w:rPr>
          <w:rFonts w:ascii="Times New Roman" w:hAnsi="Times New Roman" w:cs="Times New Roman"/>
          <w:sz w:val="24"/>
          <w:szCs w:val="24"/>
          <w:lang w:val="en-GB"/>
        </w:rPr>
      </w:pPr>
      <w:r w:rsidRPr="008D0CD6">
        <w:rPr>
          <w:rFonts w:ascii="Times New Roman" w:hAnsi="Times New Roman" w:cs="Times New Roman"/>
          <w:i/>
          <w:sz w:val="24"/>
          <w:szCs w:val="24"/>
          <w:lang w:val="en-GB"/>
        </w:rPr>
        <w:t>Consumption chambers.</w:t>
      </w:r>
      <w:r w:rsidRPr="008D0CD6">
        <w:rPr>
          <w:rFonts w:ascii="Times New Roman" w:hAnsi="Times New Roman" w:cs="Times New Roman"/>
          <w:sz w:val="24"/>
          <w:szCs w:val="24"/>
          <w:lang w:val="en-GB"/>
        </w:rPr>
        <w:t xml:space="preserve"> To provide individual access to reinforcers during the satiety and devaluation procedures, rats were individually placed into an individual cage (33 x 18 x 14 cm clear Perspex cage with a wireframe top). Pellet reinforcers were presented in small glass ramekins inside the box and liquid reinforcers were presented in water bottles with a sipper tube. 1 day prior to the target procedure, all rats were exposed to the individual cages and given 30 mins of free access to home cage food and water to reduce novelty to the context and consuming from the ramekin and water bottles.</w:t>
      </w:r>
    </w:p>
    <w:p w14:paraId="15B00450" w14:textId="77777777" w:rsidR="00EA20A3" w:rsidRPr="008D0CD6" w:rsidRDefault="00EA20A3" w:rsidP="00F04D98">
      <w:pPr>
        <w:spacing w:line="480" w:lineRule="auto"/>
        <w:ind w:firstLine="720"/>
        <w:rPr>
          <w:rFonts w:ascii="Times New Roman" w:hAnsi="Times New Roman" w:cs="Times New Roman"/>
          <w:i/>
          <w:sz w:val="24"/>
          <w:szCs w:val="24"/>
          <w:lang w:val="en-GB"/>
        </w:rPr>
      </w:pPr>
      <w:r w:rsidRPr="008D0CD6">
        <w:rPr>
          <w:rFonts w:ascii="Times New Roman" w:hAnsi="Times New Roman" w:cs="Times New Roman"/>
          <w:i/>
          <w:sz w:val="24"/>
          <w:szCs w:val="24"/>
          <w:lang w:val="en-GB"/>
        </w:rPr>
        <w:t xml:space="preserve">Locomotor activity. </w:t>
      </w:r>
      <w:r w:rsidRPr="008D0CD6">
        <w:rPr>
          <w:rFonts w:ascii="Times New Roman" w:hAnsi="Times New Roman" w:cs="Times New Roman"/>
          <w:sz w:val="24"/>
          <w:szCs w:val="24"/>
          <w:lang w:val="en-GB"/>
        </w:rPr>
        <w:t>Locomotor activity was assessed in eight identical boxes measuring 50 x 36x 18 cm (length x width x height), housed in a sound attenuated room. Each box consisted of 4 opaque white polyurethane walls and floor and a removable roof. In the center of the roof was an 18x40 cm grid of 3x3 mm ventilation holes. Two custom pairs of infrared beam detectors spanned the width of the box to detect locomotor activity and were located 15 cm from each end of the box. Beam breaks, corresponding to activity within the box, were recorded on a computer equipped with Med-PC software (Med Associates Inc.).</w:t>
      </w:r>
    </w:p>
    <w:p w14:paraId="1CA220D5" w14:textId="6F4A96F4" w:rsidR="00EA20A3" w:rsidRPr="008D0CD6" w:rsidRDefault="00EA20A3" w:rsidP="00F04D98">
      <w:pPr>
        <w:spacing w:line="480" w:lineRule="auto"/>
        <w:ind w:firstLine="720"/>
        <w:rPr>
          <w:rFonts w:ascii="Times New Roman" w:hAnsi="Times New Roman" w:cs="Times New Roman"/>
          <w:sz w:val="24"/>
          <w:szCs w:val="24"/>
          <w:lang w:val="en-GB"/>
        </w:rPr>
      </w:pPr>
      <w:r w:rsidRPr="008D0CD6">
        <w:rPr>
          <w:rFonts w:ascii="Times New Roman" w:hAnsi="Times New Roman" w:cs="Times New Roman"/>
          <w:i/>
          <w:sz w:val="24"/>
          <w:szCs w:val="24"/>
          <w:lang w:val="en-GB"/>
        </w:rPr>
        <w:t>Surgery.</w:t>
      </w:r>
      <w:r w:rsidRPr="008D0CD6">
        <w:rPr>
          <w:rFonts w:ascii="Times New Roman" w:hAnsi="Times New Roman" w:cs="Times New Roman"/>
          <w:sz w:val="24"/>
          <w:szCs w:val="24"/>
          <w:lang w:val="en-GB"/>
        </w:rPr>
        <w:t xml:space="preserve"> Excitotoxic lesions targeting the lateral OFC were performed in Experiment 1 and </w:t>
      </w:r>
      <w:r w:rsidR="004617D6">
        <w:rPr>
          <w:rFonts w:ascii="Times New Roman" w:hAnsi="Times New Roman" w:cs="Times New Roman"/>
          <w:sz w:val="24"/>
          <w:szCs w:val="24"/>
          <w:lang w:val="en-GB"/>
        </w:rPr>
        <w:t>Supplementary Experiment 1</w:t>
      </w:r>
      <w:r w:rsidRPr="008D0CD6">
        <w:rPr>
          <w:rFonts w:ascii="Times New Roman" w:hAnsi="Times New Roman" w:cs="Times New Roman"/>
          <w:sz w:val="24"/>
          <w:szCs w:val="24"/>
          <w:lang w:val="en-GB"/>
        </w:rPr>
        <w:t xml:space="preserve">. Rats were anesthetized with isoflurane, their heads shaved, and placed in a stereotaxic frame (World Precision Instruments, Inc., Sarasota, FL, USA). The </w:t>
      </w:r>
      <w:r w:rsidRPr="008D0CD6">
        <w:rPr>
          <w:rFonts w:ascii="Times New Roman" w:hAnsi="Times New Roman" w:cs="Times New Roman"/>
          <w:sz w:val="24"/>
          <w:szCs w:val="24"/>
          <w:lang w:val="en-GB"/>
        </w:rPr>
        <w:lastRenderedPageBreak/>
        <w:t xml:space="preserve">scalp was incised, and the skull exposed and adjusted to flat skull position. Two small holes were drilled into the skull and the dura mater was severed to reveal the underlying cortical parenchyma. A 1-µL Hamilton needle (Hamilton Company, Reno, NV, USA) was lowered through the two holes targeting the lateral OFC (co-ordinates specified below). Stereotaxic co-ordinates were AP: +3.5 mm; ML: ±2.2 mm; D-V: -5.0 mm from bregma. At each </w:t>
      </w:r>
      <w:proofErr w:type="gramStart"/>
      <w:r w:rsidRPr="008D0CD6">
        <w:rPr>
          <w:rFonts w:ascii="Times New Roman" w:hAnsi="Times New Roman" w:cs="Times New Roman"/>
          <w:sz w:val="24"/>
          <w:szCs w:val="24"/>
          <w:lang w:val="en-GB"/>
        </w:rPr>
        <w:t>site</w:t>
      </w:r>
      <w:proofErr w:type="gramEnd"/>
      <w:r w:rsidRPr="008D0CD6">
        <w:rPr>
          <w:rFonts w:ascii="Times New Roman" w:hAnsi="Times New Roman" w:cs="Times New Roman"/>
          <w:sz w:val="24"/>
          <w:szCs w:val="24"/>
          <w:lang w:val="en-GB"/>
        </w:rPr>
        <w:t xml:space="preserve"> the needle was first left to rest for 1 min. Then an infusion of N-methyl-D-aspartic acid (NMDA; Sigma-Aldrich, Switzerland), dissolved in phosphate buffered saline (pH 7.4) to achieve a concentration of 10μg/μL, was infused for 3 mins at a rate of 0.1 µ/min. Finally, the needle was left in situ for a further 4 mins to allow the solution to diffuse into the tissue. Following the diffusion period, the syringe was retracted, and the scalp cleaned and sutured. Sham lesions proceeded identically to excitotoxic lesions except that no drugs were infused during the infusion period. After a minimum of 1 week of postoperative recovery, rats were returned to food restriction for 2 days prior to further training.</w:t>
      </w:r>
    </w:p>
    <w:p w14:paraId="12D24A36" w14:textId="413832E9" w:rsidR="00EA20A3" w:rsidRPr="008D0CD6" w:rsidRDefault="00EA20A3" w:rsidP="00F04D98">
      <w:pPr>
        <w:spacing w:line="480" w:lineRule="auto"/>
        <w:ind w:firstLine="720"/>
        <w:rPr>
          <w:rFonts w:ascii="Times New Roman" w:hAnsi="Times New Roman" w:cs="Times New Roman"/>
          <w:sz w:val="24"/>
          <w:szCs w:val="24"/>
          <w:lang w:val="en-GB"/>
        </w:rPr>
      </w:pPr>
      <w:r w:rsidRPr="008D0CD6">
        <w:rPr>
          <w:rFonts w:ascii="Times New Roman" w:hAnsi="Times New Roman" w:cs="Times New Roman"/>
          <w:sz w:val="24"/>
          <w:szCs w:val="24"/>
          <w:lang w:val="en-GB"/>
        </w:rPr>
        <w:t xml:space="preserve">In Experiments 2, </w:t>
      </w:r>
      <w:r w:rsidR="004617D6">
        <w:rPr>
          <w:rFonts w:ascii="Times New Roman" w:hAnsi="Times New Roman" w:cs="Times New Roman"/>
          <w:sz w:val="24"/>
          <w:szCs w:val="24"/>
          <w:lang w:val="en-GB"/>
        </w:rPr>
        <w:t>3</w:t>
      </w:r>
      <w:r w:rsidRPr="008D0CD6">
        <w:rPr>
          <w:rFonts w:ascii="Times New Roman" w:hAnsi="Times New Roman" w:cs="Times New Roman"/>
          <w:sz w:val="24"/>
          <w:szCs w:val="24"/>
          <w:lang w:val="en-GB"/>
        </w:rPr>
        <w:t xml:space="preserve">, and </w:t>
      </w:r>
      <w:r w:rsidR="00F22175">
        <w:rPr>
          <w:rFonts w:ascii="Times New Roman" w:hAnsi="Times New Roman" w:cs="Times New Roman"/>
          <w:sz w:val="24"/>
          <w:szCs w:val="24"/>
          <w:lang w:val="en-GB"/>
        </w:rPr>
        <w:t>Supplementary Experiment 2</w:t>
      </w:r>
      <w:r w:rsidR="00775B5B" w:rsidRPr="008D0CD6">
        <w:rPr>
          <w:rFonts w:ascii="Times New Roman" w:hAnsi="Times New Roman" w:cs="Times New Roman"/>
          <w:sz w:val="24"/>
          <w:szCs w:val="24"/>
          <w:lang w:val="en-GB"/>
        </w:rPr>
        <w:t>,</w:t>
      </w:r>
      <w:r w:rsidRPr="008D0CD6">
        <w:rPr>
          <w:rFonts w:ascii="Times New Roman" w:hAnsi="Times New Roman" w:cs="Times New Roman"/>
          <w:color w:val="FF0000"/>
          <w:sz w:val="24"/>
          <w:szCs w:val="24"/>
          <w:lang w:val="en-GB"/>
        </w:rPr>
        <w:t xml:space="preserve"> </w:t>
      </w:r>
      <w:r w:rsidRPr="008D0CD6">
        <w:rPr>
          <w:rFonts w:ascii="Times New Roman" w:hAnsi="Times New Roman" w:cs="Times New Roman"/>
          <w:sz w:val="24"/>
          <w:szCs w:val="24"/>
          <w:lang w:val="en-GB"/>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w:t>
      </w:r>
      <w:r w:rsidRPr="008D0CD6">
        <w:rPr>
          <w:rFonts w:ascii="Times New Roman" w:hAnsi="Times New Roman" w:cs="Times New Roman"/>
          <w:sz w:val="24"/>
          <w:szCs w:val="24"/>
          <w:lang w:val="en-GB"/>
        </w:rPr>
        <w:lastRenderedPageBreak/>
        <w:t>cannulae were inserted into the guide cannulae to prevent them from blocking. After one week of postoperative recovery, rats were returned to food restriction for 2 days prior to further testing.</w:t>
      </w:r>
    </w:p>
    <w:p w14:paraId="2875A5A4" w14:textId="77777777" w:rsidR="00EA20A3" w:rsidRPr="008D0CD6" w:rsidRDefault="00EA20A3" w:rsidP="00F04D98">
      <w:pPr>
        <w:spacing w:line="480" w:lineRule="auto"/>
        <w:ind w:firstLine="720"/>
        <w:rPr>
          <w:rFonts w:ascii="Times New Roman" w:hAnsi="Times New Roman" w:cs="Times New Roman"/>
          <w:i/>
          <w:sz w:val="24"/>
          <w:szCs w:val="24"/>
          <w:lang w:val="en-GB"/>
        </w:rPr>
      </w:pPr>
      <w:r w:rsidRPr="008D0CD6">
        <w:rPr>
          <w:rFonts w:ascii="Times New Roman" w:hAnsi="Times New Roman" w:cs="Times New Roman"/>
          <w:i/>
          <w:sz w:val="24"/>
          <w:szCs w:val="24"/>
          <w:lang w:val="en-GB"/>
        </w:rPr>
        <w:t xml:space="preserve">Drugs and infusions. </w:t>
      </w:r>
      <w:r w:rsidRPr="008D0CD6">
        <w:rPr>
          <w:rFonts w:ascii="Times New Roman" w:hAnsi="Times New Roman" w:cs="Times New Roman"/>
          <w:sz w:val="24"/>
          <w:szCs w:val="24"/>
          <w:lang w:val="en-GB"/>
        </w:rPr>
        <w:t>The GABA</w:t>
      </w:r>
      <w:r w:rsidRPr="008D0CD6">
        <w:rPr>
          <w:rFonts w:ascii="Times New Roman" w:hAnsi="Times New Roman" w:cs="Times New Roman"/>
          <w:sz w:val="24"/>
          <w:szCs w:val="24"/>
          <w:vertAlign w:val="subscript"/>
          <w:lang w:val="en-GB"/>
        </w:rPr>
        <w:t>A</w:t>
      </w:r>
      <w:r w:rsidRPr="008D0CD6">
        <w:rPr>
          <w:rFonts w:ascii="Times New Roman" w:hAnsi="Times New Roman" w:cs="Times New Roman"/>
          <w:sz w:val="24"/>
          <w:szCs w:val="24"/>
          <w:lang w:val="en-GB"/>
        </w:rPr>
        <w:t xml:space="preserve"> agonist muscimol (Sigma-Aldrich, Switzerland) was dissolved in 0.9% (w/v) non-pyrogenic saline to obtain a final concentration of 0.5 </w:t>
      </w:r>
      <w:r w:rsidRPr="008D0CD6">
        <w:rPr>
          <w:rFonts w:ascii="Times New Roman" w:hAnsi="Times New Roman" w:cs="Times New Roman"/>
          <w:i/>
          <w:sz w:val="24"/>
          <w:szCs w:val="24"/>
          <w:lang w:val="en-GB"/>
        </w:rPr>
        <w:t>μ</w:t>
      </w:r>
      <w:r w:rsidRPr="008D0CD6">
        <w:rPr>
          <w:rFonts w:ascii="Times New Roman" w:hAnsi="Times New Roman" w:cs="Times New Roman"/>
          <w:sz w:val="24"/>
          <w:szCs w:val="24"/>
          <w:lang w:val="en-GB"/>
        </w:rPr>
        <w:t xml:space="preserve">g/0.5 </w:t>
      </w:r>
      <w:r w:rsidRPr="008D0CD6">
        <w:rPr>
          <w:rFonts w:ascii="Times New Roman" w:hAnsi="Times New Roman" w:cs="Times New Roman"/>
          <w:i/>
          <w:sz w:val="24"/>
          <w:szCs w:val="24"/>
          <w:lang w:val="en-GB"/>
        </w:rPr>
        <w:t>μ</w:t>
      </w:r>
      <w:r w:rsidRPr="008D0CD6">
        <w:rPr>
          <w:rFonts w:ascii="Times New Roman" w:hAnsi="Times New Roman" w:cs="Times New Roman"/>
          <w:sz w:val="24"/>
          <w:szCs w:val="24"/>
          <w:lang w:val="en-GB"/>
        </w:rPr>
        <w:t>l. Non-pyrogenic saline 0.9% (w/v) was used as the saline control.</w:t>
      </w:r>
      <w:r w:rsidRPr="008D0CD6">
        <w:rPr>
          <w:rFonts w:ascii="Times New Roman" w:hAnsi="Times New Roman" w:cs="Times New Roman"/>
          <w:i/>
          <w:sz w:val="24"/>
          <w:szCs w:val="24"/>
          <w:lang w:val="en-GB"/>
        </w:rPr>
        <w:t xml:space="preserve"> </w:t>
      </w:r>
      <w:r w:rsidRPr="008D0CD6">
        <w:rPr>
          <w:rFonts w:ascii="Times New Roman" w:hAnsi="Times New Roman" w:cs="Times New Roman"/>
          <w:sz w:val="24"/>
          <w:szCs w:val="24"/>
          <w:lang w:val="en-GB"/>
        </w:rPr>
        <w:t xml:space="preserve">During infusions, muscimol or saline was infused bilaterally into the lateral OFC by inserting a 33-gauge internal cannula into the guide cannula which extended 1 mm ventral to the guide tip. The internal cannula was connected to a 25 </w:t>
      </w:r>
      <w:r w:rsidRPr="008D0CD6">
        <w:rPr>
          <w:rFonts w:ascii="Times New Roman" w:hAnsi="Times New Roman" w:cs="Times New Roman"/>
          <w:i/>
          <w:sz w:val="24"/>
          <w:szCs w:val="24"/>
          <w:lang w:val="en-GB"/>
        </w:rPr>
        <w:t>μ</w:t>
      </w:r>
      <w:r w:rsidRPr="008D0CD6">
        <w:rPr>
          <w:rFonts w:ascii="Times New Roman" w:hAnsi="Times New Roman" w:cs="Times New Roman"/>
          <w:sz w:val="24"/>
          <w:szCs w:val="24"/>
          <w:lang w:val="en-GB"/>
        </w:rPr>
        <w:t xml:space="preserve">l glass syringe (Hamilton Company, Reno, NV, USA) attached to a microinfusion pump (World Precision Instruments, Inc., Sarasota, FL, USA). A total volume of 0.5 </w:t>
      </w:r>
      <w:r w:rsidRPr="008D0CD6">
        <w:rPr>
          <w:rFonts w:ascii="Times New Roman" w:hAnsi="Times New Roman" w:cs="Times New Roman"/>
          <w:i/>
          <w:sz w:val="24"/>
          <w:szCs w:val="24"/>
          <w:lang w:val="en-GB"/>
        </w:rPr>
        <w:t>μ</w:t>
      </w:r>
      <w:r w:rsidRPr="008D0CD6">
        <w:rPr>
          <w:rFonts w:ascii="Times New Roman" w:hAnsi="Times New Roman" w:cs="Times New Roman"/>
          <w:sz w:val="24"/>
          <w:szCs w:val="24"/>
          <w:lang w:val="en-GB"/>
        </w:rPr>
        <w:t xml:space="preserve">l was delivered to each side at a rate of 0.25 </w:t>
      </w:r>
      <w:r w:rsidRPr="008D0CD6">
        <w:rPr>
          <w:rFonts w:ascii="Times New Roman" w:hAnsi="Times New Roman" w:cs="Times New Roman"/>
          <w:i/>
          <w:sz w:val="24"/>
          <w:szCs w:val="24"/>
          <w:lang w:val="en-GB"/>
        </w:rPr>
        <w:t>μ</w:t>
      </w:r>
      <w:r w:rsidRPr="008D0CD6">
        <w:rPr>
          <w:rFonts w:ascii="Times New Roman" w:hAnsi="Times New Roman" w:cs="Times New Roman"/>
          <w:sz w:val="24"/>
          <w:szCs w:val="24"/>
          <w:lang w:val="en-GB"/>
        </w:rPr>
        <w:t xml:space="preserve">l/min. The internal cannula remained in place for an additional 1 min after the infusion and then removed. During the infusion procedure animals </w:t>
      </w:r>
      <w:proofErr w:type="gramStart"/>
      <w:r w:rsidRPr="008D0CD6">
        <w:rPr>
          <w:rFonts w:ascii="Times New Roman" w:hAnsi="Times New Roman" w:cs="Times New Roman"/>
          <w:sz w:val="24"/>
          <w:szCs w:val="24"/>
          <w:lang w:val="en-GB"/>
        </w:rPr>
        <w:t>were allowed to</w:t>
      </w:r>
      <w:proofErr w:type="gramEnd"/>
      <w:r w:rsidRPr="008D0CD6">
        <w:rPr>
          <w:rFonts w:ascii="Times New Roman" w:hAnsi="Times New Roman" w:cs="Times New Roman"/>
          <w:sz w:val="24"/>
          <w:szCs w:val="24"/>
          <w:lang w:val="en-GB"/>
        </w:rPr>
        <w:t xml:space="preserve"> move freely in a bucket to minimize stress. Dummy cannulae were removed prior to, and replaced immediately after, infusions. For the two training sessions prior to infusions, all animals received dummy infusions which were identical to the infusion procedure, except that no liquids were infused. These dummy infusions were performed to familiarize the rats with the microinfusion procedure and thereby minimize stress. Dummy infusions were also conducted on test sessions after the infusions to minimise differences in handling between experimental stages. </w:t>
      </w:r>
    </w:p>
    <w:p w14:paraId="44604042" w14:textId="77777777" w:rsidR="00EA20A3" w:rsidRPr="008D0CD6" w:rsidRDefault="00EA20A3" w:rsidP="00F04D98">
      <w:pPr>
        <w:spacing w:line="480" w:lineRule="auto"/>
        <w:ind w:firstLine="720"/>
        <w:rPr>
          <w:rFonts w:ascii="Times New Roman" w:hAnsi="Times New Roman" w:cs="Times New Roman"/>
          <w:sz w:val="24"/>
          <w:szCs w:val="24"/>
          <w:lang w:val="en-GB"/>
        </w:rPr>
      </w:pPr>
      <w:r w:rsidRPr="008D0CD6">
        <w:rPr>
          <w:rFonts w:ascii="Times New Roman" w:hAnsi="Times New Roman" w:cs="Times New Roman"/>
          <w:i/>
          <w:sz w:val="24"/>
          <w:szCs w:val="24"/>
          <w:lang w:val="en-GB"/>
        </w:rPr>
        <w:t>Reinforcers</w:t>
      </w:r>
      <w:r w:rsidRPr="008D0CD6">
        <w:rPr>
          <w:rFonts w:ascii="Times New Roman" w:hAnsi="Times New Roman" w:cs="Times New Roman"/>
          <w:b/>
          <w:sz w:val="24"/>
          <w:szCs w:val="24"/>
          <w:lang w:val="en-GB"/>
        </w:rPr>
        <w:t xml:space="preserve">. </w:t>
      </w:r>
      <w:r w:rsidRPr="008D0CD6">
        <w:rPr>
          <w:rFonts w:ascii="Times New Roman" w:hAnsi="Times New Roman" w:cs="Times New Roman"/>
          <w:sz w:val="24"/>
          <w:szCs w:val="24"/>
          <w:lang w:val="en-GB"/>
        </w:rPr>
        <w:t xml:space="preserve">The reinforcers used were a single grain pellet (45 mg dustless precision grain-based </w:t>
      </w:r>
      <w:proofErr w:type="gramStart"/>
      <w:r w:rsidRPr="008D0CD6">
        <w:rPr>
          <w:rFonts w:ascii="Times New Roman" w:hAnsi="Times New Roman" w:cs="Times New Roman"/>
          <w:sz w:val="24"/>
          <w:szCs w:val="24"/>
          <w:lang w:val="en-GB"/>
        </w:rPr>
        <w:t>pellets;</w:t>
      </w:r>
      <w:proofErr w:type="gramEnd"/>
      <w:r w:rsidRPr="008D0CD6">
        <w:rPr>
          <w:rFonts w:ascii="Times New Roman" w:hAnsi="Times New Roman" w:cs="Times New Roman"/>
          <w:sz w:val="24"/>
          <w:szCs w:val="24"/>
          <w:lang w:val="en-GB"/>
        </w:rPr>
        <w:t xml:space="preserve"> Bio-serv, Frenchtown, NJ, USA), 20% w/v sucrose solution and 20% w/v maltodextrin solution (Myopure, </w:t>
      </w:r>
      <w:proofErr w:type="spellStart"/>
      <w:r w:rsidRPr="008D0CD6">
        <w:rPr>
          <w:rFonts w:ascii="Times New Roman" w:hAnsi="Times New Roman" w:cs="Times New Roman"/>
          <w:sz w:val="24"/>
          <w:szCs w:val="24"/>
          <w:lang w:val="en-GB"/>
        </w:rPr>
        <w:t>Petersham</w:t>
      </w:r>
      <w:proofErr w:type="spellEnd"/>
      <w:r w:rsidRPr="008D0CD6">
        <w:rPr>
          <w:rFonts w:ascii="Times New Roman" w:hAnsi="Times New Roman" w:cs="Times New Roman"/>
          <w:sz w:val="24"/>
          <w:szCs w:val="24"/>
          <w:lang w:val="en-GB"/>
        </w:rPr>
        <w:t xml:space="preserve">, NSW, Australia). Liquid reinforcers were flavoured with either 0.4% v/v concentrated lemon juice (Berri, Melbourne, Victoria, Australia) or 0.2% v/v peppermint extract (Queen Fine Foods, Alderley, QLD, Australia) to provide unique sensory </w:t>
      </w:r>
      <w:r w:rsidRPr="008D0CD6">
        <w:rPr>
          <w:rFonts w:ascii="Times New Roman" w:hAnsi="Times New Roman" w:cs="Times New Roman"/>
          <w:sz w:val="24"/>
          <w:szCs w:val="24"/>
          <w:lang w:val="en-GB"/>
        </w:rPr>
        <w:lastRenderedPageBreak/>
        <w:t>properties to each reinforcer. Liquids were delivered over a period of 0.33 s via a peristaltic pump which corresponded to a volume of 0.2 mL. The volume and concentration of liquid reinforcers was chosen to match the calorific value of the corresponding grain pellet reward and have been found to elicit similar rates of Pavlovian and instrumental responding as a pellet reward in other experiments conducted in this lab. In all experiments involving liquids, the magazine was scrubbed with warm water and thoroughly dried between sessions to remove residual traces of the liquid reinforcer. To reduce neophobia to the reinforcers, one day prior to magazine training sessions all animals were pre-exposed to the reinforcers (10 g of pellets per animal and 25 ml of liquid reinforcer per animal) in their home cage.</w:t>
      </w:r>
    </w:p>
    <w:p w14:paraId="3B8E0499" w14:textId="77777777" w:rsidR="00EA20A3" w:rsidRPr="008D0CD6" w:rsidRDefault="00EA20A3" w:rsidP="00F04D98">
      <w:pPr>
        <w:spacing w:line="480" w:lineRule="auto"/>
        <w:rPr>
          <w:rFonts w:ascii="Times New Roman" w:hAnsi="Times New Roman" w:cs="Times New Roman"/>
          <w:sz w:val="24"/>
          <w:szCs w:val="24"/>
          <w:lang w:val="en-GB"/>
        </w:rPr>
      </w:pPr>
      <w:r w:rsidRPr="008D0CD6">
        <w:rPr>
          <w:rFonts w:ascii="Times New Roman" w:hAnsi="Times New Roman" w:cs="Times New Roman"/>
          <w:i/>
          <w:sz w:val="24"/>
          <w:szCs w:val="24"/>
          <w:lang w:val="en-GB"/>
        </w:rPr>
        <w:t xml:space="preserve">Magazine training. </w:t>
      </w:r>
      <w:r w:rsidRPr="008D0CD6">
        <w:rPr>
          <w:rFonts w:ascii="Times New Roman" w:hAnsi="Times New Roman" w:cs="Times New Roman"/>
          <w:sz w:val="24"/>
          <w:szCs w:val="24"/>
          <w:lang w:val="en-GB"/>
        </w:rPr>
        <w:t>All animals received one session of magazine training for each experimental reinforcer with the following parameters: reward delivery was on an RT60 s schedule for 16 rewards. When necessary, sessions were separated by at least 2 hours and the order of reinforcer identity was counterbalanced between groups.</w:t>
      </w:r>
    </w:p>
    <w:p w14:paraId="525330DB" w14:textId="36002E81" w:rsidR="00EA20A3" w:rsidRPr="008D0CD6" w:rsidRDefault="00EA20A3" w:rsidP="00F04D98">
      <w:pPr>
        <w:spacing w:line="480" w:lineRule="auto"/>
        <w:rPr>
          <w:rFonts w:ascii="Times New Roman" w:hAnsi="Times New Roman" w:cs="Times New Roman"/>
          <w:i/>
          <w:sz w:val="24"/>
          <w:szCs w:val="24"/>
          <w:lang w:val="en-GB"/>
        </w:rPr>
      </w:pPr>
      <w:r w:rsidRPr="008D0CD6">
        <w:rPr>
          <w:rFonts w:ascii="Times New Roman" w:hAnsi="Times New Roman" w:cs="Times New Roman"/>
          <w:i/>
          <w:sz w:val="24"/>
          <w:szCs w:val="24"/>
          <w:lang w:val="en-GB"/>
        </w:rPr>
        <w:t xml:space="preserve">Behaviour. </w:t>
      </w:r>
      <w:r w:rsidRPr="008D0CD6">
        <w:rPr>
          <w:rFonts w:ascii="Times New Roman" w:hAnsi="Times New Roman" w:cs="Times New Roman"/>
          <w:sz w:val="24"/>
          <w:szCs w:val="24"/>
          <w:lang w:val="en-GB"/>
        </w:rPr>
        <w:t xml:space="preserve">CS responding was operationalized as the number of magazine entries during the CS period. PreCS responding was operationalized as the frequency of responding during the immediately preceding the CS period and was used as a measure of baseline responding to the testing context. PreCS responding was analysed separately, and any group differences identified and reported. Data were presented as CS – PreCS difference scores, which reflect discriminative responding to the CS. All data were analysed with mixed ANOVAs using R statistical software </w:t>
      </w:r>
      <w:r w:rsidRPr="008D0CD6">
        <w:rPr>
          <w:rFonts w:ascii="Times New Roman" w:hAnsi="Times New Roman" w:cs="Times New Roman"/>
          <w:sz w:val="24"/>
          <w:szCs w:val="24"/>
          <w:lang w:val="en-GB"/>
        </w:rPr>
        <w:fldChar w:fldCharType="begin" w:fldLock="1"/>
      </w:r>
      <w:r w:rsidR="007F12A9">
        <w:rPr>
          <w:rFonts w:ascii="Times New Roman" w:hAnsi="Times New Roman" w:cs="Times New Roman"/>
          <w:sz w:val="24"/>
          <w:szCs w:val="24"/>
          <w:lang w:val="en-GB"/>
        </w:rPr>
        <w:instrText>ADDIN CSL_CITATION {"citationItems":[{"id":"ITEM-1","itemData":{"abstract":"Henrik Singmann, Ben Bolker, Jake Westfall and Frederik Aust (2016). afex: Analysis of Factorial Experiments. R package version 0.16-1. https://CRAN.R-project.org/package=afex","author":[{"dropping-particle":"","family":"Singmann","given":"H.","non-dropping-particle":"","parse-names":false,"suffix":""},{"dropping-particle":"","family":"Bolker","given":"B.","non-dropping-particle":"","parse-names":false,"suffix":""},{"dropping-particle":"","family":"Westfall","given":"J.","non-dropping-particle":"","parse-names":false,"suffix":""},{"dropping-particle":"","family":"Aust","given":"F.","non-dropping-particle":"","parse-names":false,"suffix":""},{"dropping-particle":"","family":"Højsgaard","given":"S.","non-dropping-particle":"","parse-names":false,"suffix":""},{"dropping-particle":"","family":"Fox","given":"J.","non-dropping-particle":"","parse-names":false,"suffix":""},{"dropping-particle":"","family":"Lawrence","given":"M. A.","non-dropping-particle":"","parse-names":false,"suffix":""},{"dropping-particle":"","family":"Mertens","given":"U.","non-dropping-particle":"","parse-names":false,"suffix":""},{"dropping-particle":"","family":"Love","given":"J.","non-dropping-particle":"","parse-names":false,"suffix":""}],"container-title":"R package version 0.27-2","id":"ITEM-1","issued":{"date-parts":[["2020"]]},"title":"afex: analysis of factorial experiments","type":"article-journal"},"uris":["http://www.mendeley.com/documents/?uuid=286dfe56-45e5-4c18-a8c3-026f504007be"]},{"id":"ITEM-2","itemData":{"ISBN":"3_900051_00_3","ISSN":"3-900051-07-0","abstract":"R: A language and environment for statistical computing. R Foundation for Statistical Computing, Vienna, Austria.","author":[{"dropping-particle":"","family":"R Core Team (2020)","given":"","non-dropping-particle":"","parse-names":false,"suffix":""}],"container-title":"R: A language and environment for statistical computing. R Foundation for Statistical Computing, Vienna, Austria","id":"ITEM-2","issued":{"date-parts":[["2020"]]},"title":"R: A language and environment for statistical computing.","type":"article"},"uris":["http://www.mendeley.com/documents/?uuid=e5062613-19cd-4a95-aba0-a57652698eef"]},{"id":"ITEM-3","itemData":{"DOI":"10.1080/00031305.1980.10483031","abstract":"Description 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author":[{"dropping-particle":"","family":"Lenth","given":"Russell","non-dropping-particle":"","parse-names":false,"suffix":""},{"dropping-particle":"","family":"Singmann","given":"H","non-dropping-particle":"","parse-names":false,"suffix":""},{"dropping-particle":"","family":"Love","given":"J","non-dropping-particle":"","parse-names":false,"suffix":""},{"dropping-particle":"","family":"Buerkner","given":"P","non-dropping-particle":"","parse-names":false,"suffix":""},{"dropping-particle":"","family":"Herve","given":"M","non-dropping-particle":"","parse-names":false,"suffix":""}],"container-title":"The American Statistician","id":"ITEM-3","issued":{"date-parts":[["2020"]]},"title":"emmeans: estimated marginal means. R package version 1.4. 4","type":"article"},"uris":["http://www.mendeley.com/documents/?uuid=671c56af-6e89-4fcc-843b-e124936d83a0"]}],"mendeley":{"formattedCitation":"(Lenth et al., 2020; R Core Team (2020), 2020; Singmann et al., 2020)","plainTextFormattedCitation":"(Lenth et al., 2020; R Core Team (2020), 2020; Singmann et al., 2020)","previouslyFormattedCitation":"(Lenth et al., 2020; R Core Team (2020), 2020; Singmann et al., 2020)"},"properties":{"noteIndex":0},"schema":"https://github.com/citation-style-language/schema/raw/master/csl-citation.json"}</w:instrText>
      </w:r>
      <w:r w:rsidRPr="008D0CD6">
        <w:rPr>
          <w:rFonts w:ascii="Times New Roman" w:hAnsi="Times New Roman" w:cs="Times New Roman"/>
          <w:sz w:val="24"/>
          <w:szCs w:val="24"/>
          <w:lang w:val="en-GB"/>
        </w:rPr>
        <w:fldChar w:fldCharType="separate"/>
      </w:r>
      <w:r w:rsidRPr="008D0CD6">
        <w:rPr>
          <w:rFonts w:ascii="Times New Roman" w:hAnsi="Times New Roman" w:cs="Times New Roman"/>
          <w:noProof/>
          <w:sz w:val="24"/>
          <w:szCs w:val="24"/>
          <w:lang w:val="en-GB"/>
        </w:rPr>
        <w:t>(Lenth et al., 2020; R Core Team (2020), 2020; Singmann et al., 2020)</w:t>
      </w:r>
      <w:r w:rsidRPr="008D0CD6">
        <w:rPr>
          <w:rFonts w:ascii="Times New Roman" w:hAnsi="Times New Roman" w:cs="Times New Roman"/>
          <w:sz w:val="24"/>
          <w:szCs w:val="24"/>
          <w:lang w:val="en-GB"/>
        </w:rPr>
        <w:fldChar w:fldCharType="end"/>
      </w:r>
      <w:r w:rsidRPr="008D0CD6">
        <w:rPr>
          <w:rFonts w:ascii="Times New Roman" w:hAnsi="Times New Roman" w:cs="Times New Roman"/>
          <w:sz w:val="24"/>
          <w:szCs w:val="24"/>
          <w:lang w:val="en-GB"/>
        </w:rPr>
        <w:t xml:space="preserve">, and significant interactions of interest were followed up with ANOVAs on the relevant subset of data, and simple effects with a Tukey family-wise error rate correction. Where relevant, planned linear and </w:t>
      </w:r>
      <w:r w:rsidRPr="008D0CD6">
        <w:rPr>
          <w:rFonts w:ascii="Times New Roman" w:hAnsi="Times New Roman" w:cs="Times New Roman"/>
          <w:sz w:val="24"/>
          <w:szCs w:val="24"/>
          <w:lang w:val="en-GB"/>
        </w:rPr>
        <w:lastRenderedPageBreak/>
        <w:t>quadratic orthogonal trend contrasts and their interactions between groups were analysed to assess differences in rates of responding.</w:t>
      </w:r>
    </w:p>
    <w:p w14:paraId="5C862224" w14:textId="77777777" w:rsidR="00EA20A3" w:rsidRPr="008D0CD6" w:rsidRDefault="00EA20A3" w:rsidP="00F04D98">
      <w:pPr>
        <w:spacing w:line="480" w:lineRule="auto"/>
        <w:jc w:val="center"/>
        <w:rPr>
          <w:rFonts w:ascii="Times New Roman" w:eastAsia="Times New Roman" w:hAnsi="Times New Roman" w:cs="Times New Roman"/>
          <w:b/>
          <w:color w:val="000000"/>
          <w:sz w:val="24"/>
          <w:szCs w:val="24"/>
          <w:lang w:val="en-GB" w:eastAsia="en-AU"/>
        </w:rPr>
      </w:pPr>
      <w:r w:rsidRPr="008D0CD6">
        <w:rPr>
          <w:rFonts w:ascii="Times New Roman" w:eastAsia="Times New Roman" w:hAnsi="Times New Roman" w:cs="Times New Roman"/>
          <w:b/>
          <w:color w:val="000000"/>
          <w:sz w:val="24"/>
          <w:szCs w:val="24"/>
          <w:lang w:val="en-GB" w:eastAsia="en-AU"/>
        </w:rPr>
        <w:t>Experiment 1: Pre-training OFC lesions</w:t>
      </w:r>
    </w:p>
    <w:p w14:paraId="20D89E17" w14:textId="77777777" w:rsidR="00EA20A3" w:rsidRPr="008D0CD6" w:rsidRDefault="00EA20A3" w:rsidP="00F04D98">
      <w:pPr>
        <w:spacing w:after="240" w:line="480" w:lineRule="auto"/>
        <w:rPr>
          <w:rFonts w:ascii="Times New Roman" w:hAnsi="Times New Roman" w:cs="Times New Roman"/>
          <w:b/>
          <w:sz w:val="24"/>
          <w:szCs w:val="24"/>
          <w:lang w:val="en-GB"/>
        </w:rPr>
      </w:pPr>
      <w:r w:rsidRPr="008D0CD6">
        <w:rPr>
          <w:rFonts w:ascii="Times New Roman" w:hAnsi="Times New Roman" w:cs="Times New Roman"/>
          <w:b/>
          <w:sz w:val="24"/>
          <w:szCs w:val="24"/>
          <w:lang w:val="en-GB"/>
        </w:rPr>
        <w:t>Subjects.</w:t>
      </w:r>
    </w:p>
    <w:p w14:paraId="3135981F" w14:textId="77777777" w:rsidR="00EA20A3" w:rsidRPr="008D0CD6" w:rsidRDefault="00EA20A3" w:rsidP="00F04D98">
      <w:pPr>
        <w:spacing w:after="240" w:line="480" w:lineRule="auto"/>
        <w:ind w:firstLine="720"/>
        <w:rPr>
          <w:rFonts w:ascii="Times New Roman" w:hAnsi="Times New Roman" w:cs="Times New Roman"/>
          <w:sz w:val="24"/>
          <w:szCs w:val="24"/>
          <w:lang w:val="en-GB"/>
        </w:rPr>
      </w:pPr>
      <w:r w:rsidRPr="008D0CD6">
        <w:rPr>
          <w:rFonts w:ascii="Times New Roman" w:hAnsi="Times New Roman" w:cs="Times New Roman"/>
          <w:sz w:val="24"/>
          <w:szCs w:val="24"/>
          <w:lang w:val="en-GB"/>
        </w:rPr>
        <w:t xml:space="preserve">Subjects were forty-eight (N = 48) rats, tested in two cohorts. Cohort 1, n = 16 rats weighing between 280-361 g (M = 312.2 g) and cohort 2, n = 32 rats weighing between 271-328 g (M = 296.3 g). </w:t>
      </w:r>
    </w:p>
    <w:p w14:paraId="7019A6D7" w14:textId="77777777" w:rsidR="00EA20A3" w:rsidRPr="008D0CD6" w:rsidRDefault="00EA20A3" w:rsidP="00F04D98">
      <w:pPr>
        <w:pStyle w:val="2Marioslevel2"/>
        <w:spacing w:line="480" w:lineRule="auto"/>
        <w:rPr>
          <w:szCs w:val="24"/>
          <w:lang w:val="en-GB"/>
        </w:rPr>
      </w:pPr>
      <w:bookmarkStart w:id="1" w:name="_Toc417304981"/>
      <w:r w:rsidRPr="008D0CD6">
        <w:rPr>
          <w:szCs w:val="24"/>
          <w:lang w:val="en-GB"/>
        </w:rPr>
        <w:t>Training</w:t>
      </w:r>
      <w:bookmarkEnd w:id="1"/>
    </w:p>
    <w:p w14:paraId="23226E2F" w14:textId="77777777" w:rsidR="00EA20A3" w:rsidRPr="008D0CD6" w:rsidRDefault="00EA20A3" w:rsidP="00F04D98">
      <w:pPr>
        <w:pStyle w:val="3MariosLevel3"/>
        <w:spacing w:line="480" w:lineRule="auto"/>
        <w:rPr>
          <w:lang w:val="en-GB"/>
        </w:rPr>
      </w:pPr>
      <w:bookmarkStart w:id="2" w:name="_Toc417304984"/>
      <w:r w:rsidRPr="008D0CD6">
        <w:rPr>
          <w:lang w:val="en-GB"/>
        </w:rPr>
        <w:t>Pavlovian Acquisition</w:t>
      </w:r>
      <w:bookmarkEnd w:id="2"/>
    </w:p>
    <w:p w14:paraId="7AE9C016" w14:textId="77777777" w:rsidR="00EA20A3" w:rsidRPr="008D0CD6" w:rsidRDefault="00EA20A3" w:rsidP="00F04D98">
      <w:pPr>
        <w:spacing w:after="240" w:line="480" w:lineRule="auto"/>
        <w:rPr>
          <w:rFonts w:ascii="Times New Roman" w:hAnsi="Times New Roman" w:cs="Times New Roman"/>
          <w:sz w:val="24"/>
          <w:szCs w:val="24"/>
          <w:lang w:val="en-GB"/>
        </w:rPr>
      </w:pPr>
      <w:r w:rsidRPr="008D0CD6">
        <w:rPr>
          <w:rFonts w:ascii="Times New Roman" w:hAnsi="Times New Roman" w:cs="Times New Roman"/>
          <w:sz w:val="24"/>
          <w:szCs w:val="24"/>
          <w:lang w:val="en-GB"/>
        </w:rPr>
        <w:t>Following magazine training, all rats received 21 sessions of Pavlovian acquisition training. Each session consisted of 16 presentations of a single auditory CS (a 15 s train of clicks) presented on a VT90s schedule (ranging from 60 to 120 s). A single pellet (US) was delivered at the termination of each CS. The session duration was 28 mins and animals were left in the chamber for an additional 2 mins before being removed. Animals received either one session per day, or two sessions per day separated by at least 2 hours.</w:t>
      </w:r>
      <w:bookmarkStart w:id="3" w:name="_Toc417304985"/>
    </w:p>
    <w:p w14:paraId="747B02FA" w14:textId="77777777" w:rsidR="00EA20A3" w:rsidRPr="008D0CD6" w:rsidRDefault="00EA20A3" w:rsidP="00F04D98">
      <w:pPr>
        <w:pStyle w:val="3MariosLevel3"/>
        <w:spacing w:line="480" w:lineRule="auto"/>
        <w:rPr>
          <w:lang w:val="en-GB"/>
        </w:rPr>
      </w:pPr>
      <w:r w:rsidRPr="008D0CD6">
        <w:rPr>
          <w:lang w:val="en-GB"/>
        </w:rPr>
        <w:t>Subgroup 1: General Satiety Pre-Feeding</w:t>
      </w:r>
      <w:bookmarkEnd w:id="3"/>
    </w:p>
    <w:p w14:paraId="2E2E1BBF" w14:textId="77777777" w:rsidR="00EA20A3" w:rsidRPr="008D0CD6" w:rsidRDefault="00EA20A3" w:rsidP="00F04D98">
      <w:pPr>
        <w:pStyle w:val="NormalWeb"/>
        <w:spacing w:before="0" w:beforeAutospacing="0" w:after="0" w:afterAutospacing="0" w:line="480" w:lineRule="auto"/>
        <w:rPr>
          <w:color w:val="000000"/>
          <w:lang w:val="en-GB"/>
        </w:rPr>
      </w:pPr>
      <w:r w:rsidRPr="008D0CD6">
        <w:rPr>
          <w:color w:val="000000"/>
          <w:lang w:val="en-GB"/>
        </w:rPr>
        <w:t>At the end of acquisition training on day 21, a subgroup of animals (sham n = 8, lesion n = 8) were taken off food restriction and given 24 hours free access to their home cage food before further acquisition training on day 22. This session was rewarded as per acquisition training. At the end of day 22 animals were put back on food restriction and continued acquisition training.</w:t>
      </w:r>
    </w:p>
    <w:p w14:paraId="39EB29A8" w14:textId="77777777" w:rsidR="00EA20A3" w:rsidRPr="008D0CD6" w:rsidRDefault="00EA20A3" w:rsidP="00F04D98">
      <w:pPr>
        <w:pStyle w:val="NormalWeb"/>
        <w:spacing w:before="0" w:beforeAutospacing="0" w:after="0" w:afterAutospacing="0" w:line="480" w:lineRule="auto"/>
        <w:rPr>
          <w:lang w:val="en-GB"/>
        </w:rPr>
      </w:pPr>
    </w:p>
    <w:p w14:paraId="0DA9DF83" w14:textId="77777777" w:rsidR="00EA20A3" w:rsidRPr="008D0CD6" w:rsidRDefault="00EA20A3" w:rsidP="00F04D98">
      <w:pPr>
        <w:spacing w:after="240" w:line="480" w:lineRule="auto"/>
        <w:rPr>
          <w:rFonts w:ascii="Times New Roman" w:hAnsi="Times New Roman" w:cs="Times New Roman"/>
          <w:b/>
          <w:i/>
          <w:sz w:val="24"/>
          <w:szCs w:val="24"/>
          <w:lang w:val="en-GB"/>
        </w:rPr>
      </w:pPr>
      <w:r w:rsidRPr="008D0CD6">
        <w:rPr>
          <w:rFonts w:ascii="Times New Roman" w:hAnsi="Times New Roman" w:cs="Times New Roman"/>
          <w:sz w:val="24"/>
          <w:szCs w:val="24"/>
          <w:lang w:val="en-GB"/>
        </w:rPr>
        <w:tab/>
      </w:r>
      <w:r w:rsidRPr="008D0CD6">
        <w:rPr>
          <w:rFonts w:ascii="Times New Roman" w:hAnsi="Times New Roman" w:cs="Times New Roman"/>
          <w:b/>
          <w:i/>
          <w:sz w:val="24"/>
          <w:szCs w:val="24"/>
          <w:lang w:val="en-GB"/>
        </w:rPr>
        <w:t xml:space="preserve">Subgroup 2: Devaluation </w:t>
      </w:r>
    </w:p>
    <w:p w14:paraId="48F05106" w14:textId="77777777" w:rsidR="00EA20A3" w:rsidRPr="008D0CD6" w:rsidRDefault="00EA20A3" w:rsidP="00F04D98">
      <w:pPr>
        <w:spacing w:after="240" w:line="480" w:lineRule="auto"/>
        <w:rPr>
          <w:rFonts w:ascii="Times New Roman" w:hAnsi="Times New Roman" w:cs="Times New Roman"/>
          <w:sz w:val="24"/>
          <w:szCs w:val="24"/>
          <w:lang w:val="en-GB"/>
        </w:rPr>
      </w:pPr>
      <w:r w:rsidRPr="008D0CD6">
        <w:rPr>
          <w:rFonts w:ascii="Times New Roman" w:hAnsi="Times New Roman" w:cs="Times New Roman"/>
          <w:sz w:val="24"/>
          <w:szCs w:val="24"/>
          <w:lang w:val="en-GB"/>
        </w:rPr>
        <w:t>Following initial Pavlovian acquisition of a single CS-US association, a subgroup of animals (sham n = 8, lesion n = 8) were re-trained with two novel unique CS-US associations intended to test devaluation in a taste aversion procedure.</w:t>
      </w:r>
    </w:p>
    <w:p w14:paraId="46612201" w14:textId="77777777" w:rsidR="00EA20A3" w:rsidRPr="008D0CD6" w:rsidRDefault="00EA20A3" w:rsidP="00F04D98">
      <w:pPr>
        <w:pStyle w:val="3MariosLevel3"/>
        <w:spacing w:line="480" w:lineRule="auto"/>
        <w:rPr>
          <w:lang w:val="en-GB"/>
        </w:rPr>
      </w:pPr>
      <w:bookmarkStart w:id="4" w:name="_Toc417305005"/>
      <w:r w:rsidRPr="008D0CD6">
        <w:rPr>
          <w:lang w:val="en-GB"/>
        </w:rPr>
        <w:t>Novel Acquisition</w:t>
      </w:r>
      <w:bookmarkEnd w:id="4"/>
    </w:p>
    <w:p w14:paraId="17625D80" w14:textId="77777777" w:rsidR="00EA20A3" w:rsidRPr="008D0CD6" w:rsidRDefault="00EA20A3" w:rsidP="00F04D98">
      <w:pPr>
        <w:spacing w:after="240" w:line="480" w:lineRule="auto"/>
        <w:rPr>
          <w:rFonts w:ascii="Times New Roman" w:hAnsi="Times New Roman" w:cs="Times New Roman"/>
          <w:sz w:val="24"/>
          <w:szCs w:val="24"/>
          <w:lang w:val="en-GB"/>
        </w:rPr>
      </w:pPr>
      <w:r w:rsidRPr="008D0CD6">
        <w:rPr>
          <w:rFonts w:ascii="Times New Roman" w:hAnsi="Times New Roman" w:cs="Times New Roman"/>
          <w:sz w:val="24"/>
          <w:szCs w:val="24"/>
          <w:lang w:val="en-GB"/>
        </w:rPr>
        <w:t>Novel acquisition of two unique CS-US associations was conducted with identical parameters to initial acquisition training</w:t>
      </w:r>
      <w:bookmarkStart w:id="5" w:name="OLE_LINK2"/>
      <w:r w:rsidRPr="008D0CD6">
        <w:rPr>
          <w:rFonts w:ascii="Times New Roman" w:hAnsi="Times New Roman" w:cs="Times New Roman"/>
          <w:sz w:val="24"/>
          <w:szCs w:val="24"/>
          <w:lang w:val="en-GB"/>
        </w:rPr>
        <w:t>, 2 session per day for 14 days</w:t>
      </w:r>
      <w:bookmarkEnd w:id="5"/>
      <w:r w:rsidRPr="008D0CD6">
        <w:rPr>
          <w:rFonts w:ascii="Times New Roman" w:hAnsi="Times New Roman" w:cs="Times New Roman"/>
          <w:sz w:val="24"/>
          <w:szCs w:val="24"/>
          <w:lang w:val="en-GB"/>
        </w:rPr>
        <w:t>, each session consisting of 16 trials consisting of a 15s CS co-terminating with reward with a vITI90s. Unlike initial acquisition the two CSs were an 80dB white noise and a 2800 Hz, 80 dB tone followed by either a single pellet or 20% w/v maltodextrin liquid (CS-US identities counterbalanced between animals).</w:t>
      </w:r>
    </w:p>
    <w:p w14:paraId="33A9C8E0" w14:textId="77777777" w:rsidR="00EA20A3" w:rsidRPr="008D0CD6" w:rsidRDefault="00EA20A3" w:rsidP="00F04D98">
      <w:pPr>
        <w:pStyle w:val="3MariosLevel3"/>
        <w:spacing w:line="480" w:lineRule="auto"/>
        <w:rPr>
          <w:lang w:val="en-GB"/>
        </w:rPr>
      </w:pPr>
      <w:bookmarkStart w:id="6" w:name="_Toc417305006"/>
      <w:r w:rsidRPr="008D0CD6">
        <w:rPr>
          <w:lang w:val="en-GB"/>
        </w:rPr>
        <w:t>Taste Aversion</w:t>
      </w:r>
      <w:bookmarkEnd w:id="6"/>
    </w:p>
    <w:p w14:paraId="138BF6E5" w14:textId="77777777" w:rsidR="00EA20A3" w:rsidRPr="008D0CD6" w:rsidRDefault="00EA20A3" w:rsidP="00F04D98">
      <w:pPr>
        <w:spacing w:after="240" w:line="480" w:lineRule="auto"/>
        <w:rPr>
          <w:rFonts w:ascii="Times New Roman" w:hAnsi="Times New Roman" w:cs="Times New Roman"/>
          <w:sz w:val="24"/>
          <w:szCs w:val="24"/>
          <w:lang w:val="en-GB"/>
        </w:rPr>
      </w:pPr>
      <w:r w:rsidRPr="008D0CD6">
        <w:rPr>
          <w:rFonts w:ascii="Times New Roman" w:hAnsi="Times New Roman" w:cs="Times New Roman"/>
          <w:sz w:val="24"/>
          <w:szCs w:val="24"/>
          <w:lang w:val="en-GB"/>
        </w:rPr>
        <w:t xml:space="preserve">Taste aversion took place in the devaluation chambers and involved 30 mins exposure to one US every day, alternating each day for 4 days. Following fee access to a US, animals were immediately injected </w:t>
      </w:r>
      <w:proofErr w:type="spellStart"/>
      <w:r w:rsidRPr="008D0CD6">
        <w:rPr>
          <w:rFonts w:ascii="Times New Roman" w:hAnsi="Times New Roman" w:cs="Times New Roman"/>
          <w:sz w:val="24"/>
          <w:szCs w:val="24"/>
          <w:lang w:val="en-GB"/>
        </w:rPr>
        <w:t>i.p.</w:t>
      </w:r>
      <w:proofErr w:type="spellEnd"/>
      <w:r w:rsidRPr="008D0CD6">
        <w:rPr>
          <w:rFonts w:ascii="Times New Roman" w:hAnsi="Times New Roman" w:cs="Times New Roman"/>
          <w:sz w:val="24"/>
          <w:szCs w:val="24"/>
          <w:lang w:val="en-GB"/>
        </w:rPr>
        <w:t xml:space="preserve"> with either 0.15M LiCl or 0.9% saline (15 mL/Kg). The outcome paired with nausea induced by injection of LiCl was designated the devalued outcome and the outcome paired with neutral saline injections was designated the non-devalued outcome (counterbalanced between animals). Following the final day of injections all animals were given a day of rest in their home cage to allow hunger levels to return to normal after taste aversion training.</w:t>
      </w:r>
    </w:p>
    <w:p w14:paraId="7B8B6789" w14:textId="77777777" w:rsidR="00EA20A3" w:rsidRPr="008D0CD6" w:rsidRDefault="00EA20A3" w:rsidP="00F04D98">
      <w:pPr>
        <w:pStyle w:val="3MariosLevel3"/>
        <w:spacing w:line="480" w:lineRule="auto"/>
        <w:rPr>
          <w:lang w:val="en-GB"/>
        </w:rPr>
      </w:pPr>
      <w:bookmarkStart w:id="7" w:name="_Toc417305007"/>
      <w:r w:rsidRPr="008D0CD6">
        <w:rPr>
          <w:lang w:val="en-GB"/>
        </w:rPr>
        <w:t>Devaluation Test</w:t>
      </w:r>
      <w:bookmarkEnd w:id="7"/>
    </w:p>
    <w:p w14:paraId="2E0FE363" w14:textId="77777777" w:rsidR="00EA20A3" w:rsidRPr="008D0CD6" w:rsidRDefault="00EA20A3" w:rsidP="00F04D98">
      <w:pPr>
        <w:spacing w:after="240" w:line="480" w:lineRule="auto"/>
        <w:rPr>
          <w:rFonts w:ascii="Times New Roman" w:hAnsi="Times New Roman" w:cs="Times New Roman"/>
          <w:sz w:val="24"/>
          <w:szCs w:val="24"/>
          <w:lang w:val="en-GB"/>
        </w:rPr>
      </w:pPr>
      <w:r w:rsidRPr="008D0CD6">
        <w:rPr>
          <w:rFonts w:ascii="Times New Roman" w:hAnsi="Times New Roman" w:cs="Times New Roman"/>
          <w:sz w:val="24"/>
          <w:szCs w:val="24"/>
          <w:lang w:val="en-GB"/>
        </w:rPr>
        <w:lastRenderedPageBreak/>
        <w:t>Animals were tested with a single session of CS training except that no rewards were delivered i.e. in extinction. The magazine frequency measure that was available was not as sensitive to devaluation as a measure of duration, so only data from the first trial was analysed at test.</w:t>
      </w:r>
    </w:p>
    <w:p w14:paraId="3293271B" w14:textId="77777777" w:rsidR="00EA20A3" w:rsidRPr="008D0CD6" w:rsidRDefault="00EA20A3" w:rsidP="00F04D98">
      <w:pPr>
        <w:pStyle w:val="3MariosLevel3"/>
        <w:spacing w:line="480" w:lineRule="auto"/>
        <w:rPr>
          <w:lang w:val="en-GB"/>
        </w:rPr>
      </w:pPr>
      <w:bookmarkStart w:id="8" w:name="_Toc417304986"/>
      <w:r w:rsidRPr="008D0CD6">
        <w:rPr>
          <w:lang w:val="en-GB"/>
        </w:rPr>
        <w:t>Locomotor Activity</w:t>
      </w:r>
      <w:bookmarkEnd w:id="8"/>
    </w:p>
    <w:p w14:paraId="524FFDFD" w14:textId="77777777" w:rsidR="00EA20A3" w:rsidRPr="008D0CD6" w:rsidRDefault="00EA20A3" w:rsidP="00F04D98">
      <w:pPr>
        <w:pStyle w:val="3MariosLevel3"/>
        <w:spacing w:line="480" w:lineRule="auto"/>
        <w:ind w:left="0"/>
        <w:rPr>
          <w:lang w:val="en-GB"/>
        </w:rPr>
      </w:pPr>
      <w:r w:rsidRPr="008D0CD6">
        <w:rPr>
          <w:b w:val="0"/>
          <w:i w:val="0"/>
          <w:lang w:val="en-GB"/>
        </w:rPr>
        <w:t>At the end of the experimental procedures, all animals were assessed for locomotor activity over a 1-hour period.</w:t>
      </w:r>
      <w:r w:rsidRPr="008D0CD6">
        <w:rPr>
          <w:lang w:val="en-GB"/>
        </w:rPr>
        <w:t xml:space="preserve"> </w:t>
      </w:r>
    </w:p>
    <w:p w14:paraId="61CFC22D"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r w:rsidRPr="008D0CD6">
        <w:rPr>
          <w:rFonts w:ascii="Times New Roman" w:eastAsia="Calibri" w:hAnsi="Times New Roman" w:cs="Times New Roman"/>
          <w:b/>
          <w:color w:val="000000"/>
          <w:sz w:val="24"/>
          <w:szCs w:val="24"/>
          <w:lang w:val="en-GB"/>
        </w:rPr>
        <w:t>Histology and Group Allocation</w:t>
      </w:r>
    </w:p>
    <w:p w14:paraId="7A592E6E" w14:textId="77777777" w:rsidR="00EA20A3" w:rsidRPr="008D0CD6" w:rsidRDefault="00EA20A3" w:rsidP="00F04D98">
      <w:pPr>
        <w:spacing w:line="480" w:lineRule="auto"/>
        <w:rPr>
          <w:rFonts w:ascii="Times New Roman" w:eastAsia="Times New Roman" w:hAnsi="Times New Roman" w:cs="Times New Roman"/>
          <w:color w:val="000000"/>
          <w:sz w:val="24"/>
          <w:szCs w:val="24"/>
          <w:lang w:val="en-GB" w:eastAsia="en-AU"/>
        </w:rPr>
      </w:pPr>
      <w:r w:rsidRPr="008D0CD6">
        <w:rPr>
          <w:rFonts w:ascii="Times New Roman" w:eastAsia="Calibri" w:hAnsi="Times New Roman" w:cs="Times New Roman"/>
          <w:color w:val="000000"/>
          <w:sz w:val="24"/>
          <w:szCs w:val="24"/>
          <w:lang w:val="en-GB"/>
        </w:rPr>
        <w:t xml:space="preserve">Lesion damage is depicted in Figure 1-figure supplement 1. </w:t>
      </w:r>
      <w:r w:rsidRPr="008D0CD6">
        <w:rPr>
          <w:rFonts w:ascii="Times New Roman" w:eastAsia="Calibri" w:hAnsi="Times New Roman" w:cs="Times New Roman"/>
          <w:sz w:val="24"/>
          <w:szCs w:val="24"/>
          <w:lang w:val="en-GB"/>
        </w:rPr>
        <w:t xml:space="preserve">Lesion </w:t>
      </w:r>
      <w:r w:rsidRPr="008D0CD6">
        <w:rPr>
          <w:rFonts w:ascii="Times New Roman" w:eastAsia="Calibri" w:hAnsi="Times New Roman" w:cs="Times New Roman"/>
          <w:color w:val="000000"/>
          <w:sz w:val="24"/>
          <w:szCs w:val="24"/>
          <w:lang w:val="en-GB"/>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8D0CD6">
        <w:rPr>
          <w:rFonts w:ascii="Times New Roman" w:eastAsia="Times New Roman" w:hAnsi="Times New Roman" w:cs="Times New Roman"/>
          <w:color w:val="000000"/>
          <w:sz w:val="24"/>
          <w:szCs w:val="24"/>
          <w:lang w:val="en-GB" w:eastAsia="en-AU"/>
        </w:rPr>
        <w:t>dorsal part of the anterior olfactory nucleus ventral to LO/DLO or if there was extensive damage to the white matter of the forceps minor of the corpus callosum. One lesioned animal did not recover from surgery, four lesion animals had only unilateral OFC damage, and one lesioned animal had extensive white matter damage. Forty-two animals were retained (N = 42, sham n = 24, lesion n = 18), of which subgroup 1 contained fifteen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15; sham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8, lesion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7) and subgroup 2 contained thirteen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13; sham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8, lesion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5).</w:t>
      </w:r>
    </w:p>
    <w:p w14:paraId="4A573C5A" w14:textId="77777777" w:rsidR="00EA20A3" w:rsidRPr="008D0CD6" w:rsidRDefault="00EA20A3" w:rsidP="00F04D98">
      <w:pPr>
        <w:spacing w:line="480" w:lineRule="auto"/>
        <w:rPr>
          <w:rFonts w:ascii="Times New Roman" w:eastAsia="Times New Roman" w:hAnsi="Times New Roman" w:cs="Times New Roman"/>
          <w:b/>
          <w:color w:val="000000"/>
          <w:sz w:val="24"/>
          <w:szCs w:val="24"/>
          <w:lang w:val="en-GB" w:eastAsia="en-AU"/>
        </w:rPr>
      </w:pPr>
      <w:r w:rsidRPr="008D0CD6">
        <w:rPr>
          <w:rFonts w:ascii="Times New Roman" w:eastAsia="Times New Roman" w:hAnsi="Times New Roman" w:cs="Times New Roman"/>
          <w:b/>
          <w:color w:val="000000"/>
          <w:sz w:val="24"/>
          <w:szCs w:val="24"/>
          <w:lang w:val="en-GB" w:eastAsia="en-AU"/>
        </w:rPr>
        <w:t>PreCS Analysis</w:t>
      </w:r>
    </w:p>
    <w:p w14:paraId="0FB3356B" w14:textId="77777777" w:rsidR="00EA20A3" w:rsidRPr="008D0CD6" w:rsidRDefault="00EA20A3" w:rsidP="00F04D98">
      <w:pPr>
        <w:spacing w:line="480" w:lineRule="auto"/>
        <w:rPr>
          <w:rFonts w:ascii="Times New Roman" w:eastAsia="Times New Roman" w:hAnsi="Times New Roman" w:cs="Times New Roman"/>
          <w:color w:val="000000"/>
          <w:sz w:val="24"/>
          <w:szCs w:val="24"/>
          <w:lang w:val="en-GB" w:eastAsia="en-AU"/>
        </w:rPr>
      </w:pPr>
      <w:r w:rsidRPr="008D0CD6">
        <w:rPr>
          <w:rFonts w:ascii="Times New Roman" w:eastAsia="Times New Roman" w:hAnsi="Times New Roman" w:cs="Times New Roman"/>
          <w:color w:val="000000"/>
          <w:sz w:val="24"/>
          <w:szCs w:val="24"/>
          <w:lang w:val="en-GB" w:eastAsia="en-AU"/>
        </w:rPr>
        <w:t xml:space="preserve">Analysis of the PreCS period using a Group (sham, lesion) x Block (1-7) mixed ANOVA revealed that responding was significantly higher in the lesion group than the sham group (main effect of Group </w:t>
      </w:r>
      <w:r w:rsidRPr="008D0CD6">
        <w:rPr>
          <w:rFonts w:ascii="Times New Roman" w:eastAsia="Times New Roman" w:hAnsi="Times New Roman" w:cs="Times New Roman"/>
          <w:i/>
          <w:color w:val="000000"/>
          <w:sz w:val="24"/>
          <w:szCs w:val="24"/>
          <w:lang w:val="en-GB" w:eastAsia="en-AU"/>
        </w:rPr>
        <w:t>F</w:t>
      </w:r>
      <w:r w:rsidRPr="008D0CD6">
        <w:rPr>
          <w:rFonts w:ascii="Times New Roman" w:eastAsia="Times New Roman" w:hAnsi="Times New Roman" w:cs="Times New Roman"/>
          <w:color w:val="000000"/>
          <w:sz w:val="24"/>
          <w:szCs w:val="24"/>
          <w:vertAlign w:val="subscript"/>
          <w:lang w:val="en-GB" w:eastAsia="en-AU"/>
        </w:rPr>
        <w:t>(1, 40)</w:t>
      </w:r>
      <w:r w:rsidRPr="008D0CD6">
        <w:rPr>
          <w:rFonts w:ascii="Times New Roman" w:eastAsia="Times New Roman" w:hAnsi="Times New Roman" w:cs="Times New Roman"/>
          <w:color w:val="000000"/>
          <w:sz w:val="24"/>
          <w:szCs w:val="24"/>
          <w:lang w:val="en-GB" w:eastAsia="en-AU"/>
        </w:rPr>
        <w:t xml:space="preserve"> = 7.24, </w:t>
      </w:r>
      <w:r w:rsidRPr="008D0CD6">
        <w:rPr>
          <w:rFonts w:ascii="Times New Roman" w:eastAsia="Times New Roman" w:hAnsi="Times New Roman" w:cs="Times New Roman"/>
          <w:i/>
          <w:color w:val="000000"/>
          <w:sz w:val="24"/>
          <w:szCs w:val="24"/>
          <w:lang w:val="en-GB" w:eastAsia="en-AU"/>
        </w:rPr>
        <w:t>p</w:t>
      </w:r>
      <w:r w:rsidRPr="008D0CD6">
        <w:rPr>
          <w:rFonts w:ascii="Times New Roman" w:eastAsia="Times New Roman" w:hAnsi="Times New Roman" w:cs="Times New Roman"/>
          <w:color w:val="000000"/>
          <w:sz w:val="24"/>
          <w:szCs w:val="24"/>
          <w:lang w:val="en-GB" w:eastAsia="en-AU"/>
        </w:rPr>
        <w:t xml:space="preserve"> = .01). Furthermore, while responding increased over blocks </w:t>
      </w:r>
      <w:r w:rsidRPr="008D0CD6">
        <w:rPr>
          <w:rFonts w:ascii="Times New Roman" w:eastAsia="Times New Roman" w:hAnsi="Times New Roman" w:cs="Times New Roman"/>
          <w:color w:val="000000"/>
          <w:sz w:val="24"/>
          <w:szCs w:val="24"/>
          <w:lang w:val="en-GB" w:eastAsia="en-AU"/>
        </w:rPr>
        <w:lastRenderedPageBreak/>
        <w:t xml:space="preserve">(main effect of Block </w:t>
      </w:r>
      <w:r w:rsidRPr="008D0CD6">
        <w:rPr>
          <w:rFonts w:ascii="Times New Roman" w:eastAsia="Times New Roman" w:hAnsi="Times New Roman" w:cs="Times New Roman"/>
          <w:i/>
          <w:color w:val="000000"/>
          <w:sz w:val="24"/>
          <w:szCs w:val="24"/>
          <w:lang w:val="en-GB" w:eastAsia="en-AU"/>
        </w:rPr>
        <w:t>F</w:t>
      </w:r>
      <w:r w:rsidRPr="008D0CD6">
        <w:rPr>
          <w:rFonts w:ascii="Times New Roman" w:eastAsia="Times New Roman" w:hAnsi="Times New Roman" w:cs="Times New Roman"/>
          <w:color w:val="000000"/>
          <w:sz w:val="24"/>
          <w:szCs w:val="24"/>
          <w:vertAlign w:val="subscript"/>
          <w:lang w:val="en-GB" w:eastAsia="en-AU"/>
        </w:rPr>
        <w:t>(6, 240)</w:t>
      </w:r>
      <w:r w:rsidRPr="008D0CD6">
        <w:rPr>
          <w:rFonts w:ascii="Times New Roman" w:eastAsia="Times New Roman" w:hAnsi="Times New Roman" w:cs="Times New Roman"/>
          <w:color w:val="000000"/>
          <w:sz w:val="24"/>
          <w:szCs w:val="24"/>
          <w:lang w:val="en-GB" w:eastAsia="en-AU"/>
        </w:rPr>
        <w:t xml:space="preserve"> = 20.37, </w:t>
      </w:r>
      <w:r w:rsidRPr="008D0CD6">
        <w:rPr>
          <w:rFonts w:ascii="Times New Roman" w:eastAsia="Times New Roman" w:hAnsi="Times New Roman" w:cs="Times New Roman"/>
          <w:i/>
          <w:color w:val="000000"/>
          <w:sz w:val="24"/>
          <w:szCs w:val="24"/>
          <w:lang w:val="en-GB" w:eastAsia="en-AU"/>
        </w:rPr>
        <w:t>p</w:t>
      </w:r>
      <w:r w:rsidRPr="008D0CD6">
        <w:rPr>
          <w:rFonts w:ascii="Times New Roman" w:eastAsia="Times New Roman" w:hAnsi="Times New Roman" w:cs="Times New Roman"/>
          <w:color w:val="000000"/>
          <w:sz w:val="24"/>
          <w:szCs w:val="24"/>
          <w:lang w:val="en-GB" w:eastAsia="en-AU"/>
        </w:rPr>
        <w:t xml:space="preserve"> &lt; .001; positive linear trend </w:t>
      </w:r>
      <w:r w:rsidRPr="008D0CD6">
        <w:rPr>
          <w:rFonts w:ascii="Times New Roman" w:eastAsia="Times New Roman" w:hAnsi="Times New Roman" w:cs="Times New Roman"/>
          <w:i/>
          <w:color w:val="000000"/>
          <w:sz w:val="24"/>
          <w:szCs w:val="24"/>
          <w:lang w:val="en-GB" w:eastAsia="en-AU"/>
        </w:rPr>
        <w:t>F</w:t>
      </w:r>
      <w:r w:rsidRPr="008D0CD6">
        <w:rPr>
          <w:rFonts w:ascii="Times New Roman" w:eastAsia="Times New Roman" w:hAnsi="Times New Roman" w:cs="Times New Roman"/>
          <w:color w:val="000000"/>
          <w:sz w:val="24"/>
          <w:szCs w:val="24"/>
          <w:vertAlign w:val="subscript"/>
          <w:lang w:val="en-GB" w:eastAsia="en-AU"/>
        </w:rPr>
        <w:t>(1, 40)</w:t>
      </w:r>
      <w:r w:rsidRPr="008D0CD6">
        <w:rPr>
          <w:rFonts w:ascii="Times New Roman" w:eastAsia="Times New Roman" w:hAnsi="Times New Roman" w:cs="Times New Roman"/>
          <w:color w:val="000000"/>
          <w:sz w:val="24"/>
          <w:szCs w:val="24"/>
          <w:lang w:val="en-GB" w:eastAsia="en-AU"/>
        </w:rPr>
        <w:t xml:space="preserve"> = 33.18, </w:t>
      </w:r>
      <w:r w:rsidRPr="008D0CD6">
        <w:rPr>
          <w:rFonts w:ascii="Times New Roman" w:eastAsia="Times New Roman" w:hAnsi="Times New Roman" w:cs="Times New Roman"/>
          <w:i/>
          <w:color w:val="000000"/>
          <w:sz w:val="24"/>
          <w:szCs w:val="24"/>
          <w:lang w:val="en-GB" w:eastAsia="en-AU"/>
        </w:rPr>
        <w:t>p</w:t>
      </w:r>
      <w:r w:rsidRPr="008D0CD6">
        <w:rPr>
          <w:rFonts w:ascii="Times New Roman" w:eastAsia="Times New Roman" w:hAnsi="Times New Roman" w:cs="Times New Roman"/>
          <w:color w:val="000000"/>
          <w:sz w:val="24"/>
          <w:szCs w:val="24"/>
          <w:lang w:val="en-GB" w:eastAsia="en-AU"/>
        </w:rPr>
        <w:t xml:space="preserve"> &lt; .001), this increase was greater in the lesion than the sham group (Block x Group interaction </w:t>
      </w:r>
      <w:r w:rsidRPr="008D0CD6">
        <w:rPr>
          <w:rFonts w:ascii="Times New Roman" w:eastAsia="Times New Roman" w:hAnsi="Times New Roman" w:cs="Times New Roman"/>
          <w:i/>
          <w:color w:val="000000"/>
          <w:sz w:val="24"/>
          <w:szCs w:val="24"/>
          <w:lang w:val="en-GB" w:eastAsia="en-AU"/>
        </w:rPr>
        <w:t>F</w:t>
      </w:r>
      <w:r w:rsidRPr="008D0CD6">
        <w:rPr>
          <w:rFonts w:ascii="Times New Roman" w:eastAsia="Times New Roman" w:hAnsi="Times New Roman" w:cs="Times New Roman"/>
          <w:color w:val="000000"/>
          <w:sz w:val="24"/>
          <w:szCs w:val="24"/>
          <w:vertAlign w:val="subscript"/>
          <w:lang w:val="en-GB" w:eastAsia="en-AU"/>
        </w:rPr>
        <w:t>(6, 240)</w:t>
      </w:r>
      <w:r w:rsidRPr="008D0CD6">
        <w:rPr>
          <w:rFonts w:ascii="Times New Roman" w:eastAsia="Times New Roman" w:hAnsi="Times New Roman" w:cs="Times New Roman"/>
          <w:color w:val="000000"/>
          <w:sz w:val="24"/>
          <w:szCs w:val="24"/>
          <w:lang w:val="en-GB" w:eastAsia="en-AU"/>
        </w:rPr>
        <w:t xml:space="preserve"> = 2.52, </w:t>
      </w:r>
      <w:r w:rsidRPr="008D0CD6">
        <w:rPr>
          <w:rFonts w:ascii="Times New Roman" w:eastAsia="Times New Roman" w:hAnsi="Times New Roman" w:cs="Times New Roman"/>
          <w:i/>
          <w:color w:val="000000"/>
          <w:sz w:val="24"/>
          <w:szCs w:val="24"/>
          <w:lang w:val="en-GB" w:eastAsia="en-AU"/>
        </w:rPr>
        <w:t>p</w:t>
      </w:r>
      <w:r w:rsidRPr="008D0CD6">
        <w:rPr>
          <w:rFonts w:ascii="Times New Roman" w:eastAsia="Times New Roman" w:hAnsi="Times New Roman" w:cs="Times New Roman"/>
          <w:color w:val="000000"/>
          <w:sz w:val="24"/>
          <w:szCs w:val="24"/>
          <w:lang w:val="en-GB" w:eastAsia="en-AU"/>
        </w:rPr>
        <w:t xml:space="preserve"> = .02; linear trend interaction </w:t>
      </w:r>
      <w:r w:rsidRPr="008D0CD6">
        <w:rPr>
          <w:rFonts w:ascii="Times New Roman" w:eastAsia="Times New Roman" w:hAnsi="Times New Roman" w:cs="Times New Roman"/>
          <w:i/>
          <w:color w:val="000000"/>
          <w:sz w:val="24"/>
          <w:szCs w:val="24"/>
          <w:lang w:val="en-GB" w:eastAsia="en-AU"/>
        </w:rPr>
        <w:t>F</w:t>
      </w:r>
      <w:r w:rsidRPr="008D0CD6">
        <w:rPr>
          <w:rFonts w:ascii="Times New Roman" w:eastAsia="Times New Roman" w:hAnsi="Times New Roman" w:cs="Times New Roman"/>
          <w:color w:val="000000"/>
          <w:sz w:val="24"/>
          <w:szCs w:val="24"/>
          <w:vertAlign w:val="subscript"/>
          <w:lang w:val="en-GB" w:eastAsia="en-AU"/>
        </w:rPr>
        <w:t>(1, 40)</w:t>
      </w:r>
      <w:r w:rsidRPr="008D0CD6">
        <w:rPr>
          <w:rFonts w:ascii="Times New Roman" w:eastAsia="Times New Roman" w:hAnsi="Times New Roman" w:cs="Times New Roman"/>
          <w:color w:val="000000"/>
          <w:sz w:val="24"/>
          <w:szCs w:val="24"/>
          <w:lang w:val="en-GB" w:eastAsia="en-AU"/>
        </w:rPr>
        <w:t xml:space="preserve"> = 5.34, </w:t>
      </w:r>
      <w:r w:rsidRPr="008D0CD6">
        <w:rPr>
          <w:rFonts w:ascii="Times New Roman" w:eastAsia="Times New Roman" w:hAnsi="Times New Roman" w:cs="Times New Roman"/>
          <w:i/>
          <w:color w:val="000000"/>
          <w:sz w:val="24"/>
          <w:szCs w:val="24"/>
          <w:lang w:val="en-GB" w:eastAsia="en-AU"/>
        </w:rPr>
        <w:t>p</w:t>
      </w:r>
      <w:r w:rsidRPr="008D0CD6">
        <w:rPr>
          <w:rFonts w:ascii="Times New Roman" w:eastAsia="Times New Roman" w:hAnsi="Times New Roman" w:cs="Times New Roman"/>
          <w:color w:val="000000"/>
          <w:sz w:val="24"/>
          <w:szCs w:val="24"/>
          <w:lang w:val="en-GB" w:eastAsia="en-AU"/>
        </w:rPr>
        <w:t xml:space="preserve"> = .03). During the first block PreCS responding was similar between groups (Sham M = 2.07, SD = 0.60; Lesion M = 2.13, SD = 0.90), by the final block PreCS responding was higher in the Lesion group (M = 4.30, SD = 1.95) than the sham group (M = 2.76, SD = 2.30).</w:t>
      </w:r>
    </w:p>
    <w:p w14:paraId="691512D9" w14:textId="77777777" w:rsidR="00EA20A3" w:rsidRPr="008D0CD6" w:rsidRDefault="00EA20A3" w:rsidP="00F04D98">
      <w:pPr>
        <w:pStyle w:val="BodyText"/>
        <w:spacing w:line="480" w:lineRule="auto"/>
        <w:jc w:val="center"/>
        <w:rPr>
          <w:lang w:val="en-GB"/>
        </w:rPr>
      </w:pPr>
      <w:bookmarkStart w:id="9" w:name="_Toc417305020"/>
      <w:r w:rsidRPr="008D0CD6">
        <w:rPr>
          <w:b/>
          <w:lang w:val="en-GB"/>
        </w:rPr>
        <w:t>Experiment 2: Post-training muscimol inactivation</w:t>
      </w:r>
    </w:p>
    <w:p w14:paraId="68810BE3" w14:textId="77777777" w:rsidR="00EA20A3" w:rsidRPr="008D0CD6" w:rsidRDefault="00EA20A3" w:rsidP="00F04D98">
      <w:pPr>
        <w:spacing w:line="480" w:lineRule="auto"/>
        <w:rPr>
          <w:rFonts w:ascii="Times New Roman" w:eastAsia="Calibri" w:hAnsi="Times New Roman" w:cs="Times New Roman"/>
          <w:b/>
          <w:color w:val="000000"/>
          <w:sz w:val="24"/>
          <w:szCs w:val="24"/>
          <w:highlight w:val="yellow"/>
          <w:lang w:val="en-GB"/>
        </w:rPr>
      </w:pPr>
      <w:r w:rsidRPr="008D0CD6">
        <w:rPr>
          <w:rFonts w:ascii="Times New Roman" w:eastAsia="Calibri" w:hAnsi="Times New Roman" w:cs="Times New Roman"/>
          <w:b/>
          <w:color w:val="000000"/>
          <w:sz w:val="24"/>
          <w:szCs w:val="24"/>
          <w:lang w:val="en-GB"/>
        </w:rPr>
        <w:t>Subjects</w:t>
      </w:r>
      <w:bookmarkEnd w:id="9"/>
    </w:p>
    <w:p w14:paraId="39B1E360" w14:textId="77777777" w:rsidR="00EA20A3" w:rsidRPr="008D0CD6" w:rsidRDefault="00EA20A3" w:rsidP="00F04D98">
      <w:pPr>
        <w:spacing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Subjects were thirty-two (total N = 32) male Long Evans rats (Monash Animal Services, Gippsland, Victoria, Australia) approximately 4 months old, weighing between 285-350 g (M = 319.7 g).</w:t>
      </w:r>
    </w:p>
    <w:p w14:paraId="786CA087"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10" w:name="_Toc417305025"/>
      <w:r w:rsidRPr="008D0CD6">
        <w:rPr>
          <w:rFonts w:ascii="Times New Roman" w:eastAsia="Times New Roman" w:hAnsi="Times New Roman" w:cs="Times New Roman"/>
          <w:b/>
          <w:i/>
          <w:color w:val="000000"/>
          <w:sz w:val="24"/>
          <w:szCs w:val="24"/>
          <w:lang w:val="en-GB"/>
        </w:rPr>
        <w:t>Pavlovian Acquisition</w:t>
      </w:r>
      <w:bookmarkEnd w:id="10"/>
    </w:p>
    <w:p w14:paraId="7A576642" w14:textId="5B3DD94E"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Animals were given 9</w:t>
      </w:r>
      <w:r w:rsidRPr="008D0CD6">
        <w:rPr>
          <w:rFonts w:ascii="Times New Roman" w:eastAsia="Calibri" w:hAnsi="Times New Roman" w:cs="Times New Roman"/>
          <w:b/>
          <w:color w:val="000000"/>
          <w:sz w:val="24"/>
          <w:szCs w:val="24"/>
          <w:lang w:val="en-GB"/>
        </w:rPr>
        <w:t xml:space="preserve"> </w:t>
      </w:r>
      <w:r w:rsidRPr="008D0CD6">
        <w:rPr>
          <w:rFonts w:ascii="Times New Roman" w:eastAsia="Calibri" w:hAnsi="Times New Roman" w:cs="Times New Roman"/>
          <w:color w:val="000000"/>
          <w:sz w:val="24"/>
          <w:szCs w:val="24"/>
          <w:lang w:val="en-GB"/>
        </w:rPr>
        <w:t xml:space="preserve">sessions, 1 session per day, of Pavlovian acquisition training with session parameters identical to those described in Experiment </w:t>
      </w:r>
      <w:r w:rsidR="00F22175">
        <w:rPr>
          <w:rFonts w:ascii="Times New Roman" w:eastAsia="Calibri" w:hAnsi="Times New Roman" w:cs="Times New Roman"/>
          <w:color w:val="000000"/>
          <w:sz w:val="24"/>
          <w:szCs w:val="24"/>
          <w:lang w:val="en-GB"/>
        </w:rPr>
        <w:t>1</w:t>
      </w:r>
      <w:r w:rsidRPr="008D0CD6">
        <w:rPr>
          <w:rFonts w:ascii="Times New Roman" w:eastAsia="Calibri" w:hAnsi="Times New Roman" w:cs="Times New Roman"/>
          <w:color w:val="000000"/>
          <w:sz w:val="24"/>
          <w:szCs w:val="24"/>
          <w:lang w:val="en-GB"/>
        </w:rPr>
        <w:t xml:space="preserve">. This number of </w:t>
      </w:r>
      <w:proofErr w:type="gramStart"/>
      <w:r w:rsidRPr="008D0CD6">
        <w:rPr>
          <w:rFonts w:ascii="Times New Roman" w:eastAsia="Calibri" w:hAnsi="Times New Roman" w:cs="Times New Roman"/>
          <w:color w:val="000000"/>
          <w:sz w:val="24"/>
          <w:szCs w:val="24"/>
          <w:lang w:val="en-GB"/>
        </w:rPr>
        <w:t>session</w:t>
      </w:r>
      <w:proofErr w:type="gramEnd"/>
      <w:r w:rsidRPr="008D0CD6">
        <w:rPr>
          <w:rFonts w:ascii="Times New Roman" w:eastAsia="Calibri" w:hAnsi="Times New Roman" w:cs="Times New Roman"/>
          <w:color w:val="000000"/>
          <w:sz w:val="24"/>
          <w:szCs w:val="24"/>
          <w:lang w:val="en-GB"/>
        </w:rPr>
        <w:t xml:space="preserve"> was chosen because the effect of pre-training lesions appeared after around 9 session in Experiment </w:t>
      </w:r>
      <w:r w:rsidR="00F22175">
        <w:rPr>
          <w:rFonts w:ascii="Times New Roman" w:eastAsia="Calibri" w:hAnsi="Times New Roman" w:cs="Times New Roman"/>
          <w:color w:val="000000"/>
          <w:sz w:val="24"/>
          <w:szCs w:val="24"/>
          <w:lang w:val="en-GB"/>
        </w:rPr>
        <w:t>1</w:t>
      </w:r>
      <w:r w:rsidRPr="008D0CD6">
        <w:rPr>
          <w:rFonts w:ascii="Times New Roman" w:eastAsia="Calibri" w:hAnsi="Times New Roman" w:cs="Times New Roman"/>
          <w:color w:val="000000"/>
          <w:sz w:val="24"/>
          <w:szCs w:val="24"/>
          <w:lang w:val="en-GB"/>
        </w:rPr>
        <w:t xml:space="preserve">. Briefly, each session consisted of a VT90s ITI with 16 trials consisting of a 15s click CS co-terminating with a single pellet US. Following the final day of training all animals were taken off food restriction and received surgical implantation of guide cannulae. </w:t>
      </w:r>
    </w:p>
    <w:p w14:paraId="05FADEB4"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11" w:name="_Toc417305026"/>
      <w:r w:rsidRPr="008D0CD6">
        <w:rPr>
          <w:rFonts w:ascii="Times New Roman" w:eastAsia="Calibri" w:hAnsi="Times New Roman" w:cs="Times New Roman"/>
          <w:b/>
          <w:color w:val="000000"/>
          <w:sz w:val="24"/>
          <w:szCs w:val="24"/>
          <w:lang w:val="en-GB"/>
        </w:rPr>
        <w:t>Post-Training</w:t>
      </w:r>
      <w:bookmarkEnd w:id="11"/>
    </w:p>
    <w:p w14:paraId="043E4216"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12" w:name="_Toc417305027"/>
      <w:r w:rsidRPr="008D0CD6">
        <w:rPr>
          <w:rFonts w:ascii="Times New Roman" w:eastAsia="Times New Roman" w:hAnsi="Times New Roman" w:cs="Times New Roman"/>
          <w:b/>
          <w:i/>
          <w:color w:val="000000"/>
          <w:sz w:val="24"/>
          <w:szCs w:val="24"/>
          <w:lang w:val="en-GB"/>
        </w:rPr>
        <w:t>Pre-Infusion</w:t>
      </w:r>
      <w:bookmarkEnd w:id="12"/>
    </w:p>
    <w:p w14:paraId="6379FD4A"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lastRenderedPageBreak/>
        <w:t xml:space="preserve">Following post-operative recovery animals were returned to food restriction for a day before receiving a further 2 days of acquisition training as per pre-training. However, immediately prior to entering the chamber all animals received a dummy infusion. </w:t>
      </w:r>
    </w:p>
    <w:p w14:paraId="59F6DBAB"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13" w:name="_Toc417305028"/>
      <w:r w:rsidRPr="008D0CD6">
        <w:rPr>
          <w:rFonts w:ascii="Times New Roman" w:eastAsia="Times New Roman" w:hAnsi="Times New Roman" w:cs="Times New Roman"/>
          <w:b/>
          <w:i/>
          <w:color w:val="000000"/>
          <w:sz w:val="24"/>
          <w:szCs w:val="24"/>
          <w:lang w:val="en-GB"/>
        </w:rPr>
        <w:t>Infusion</w:t>
      </w:r>
      <w:bookmarkEnd w:id="13"/>
    </w:p>
    <w:p w14:paraId="6E561C84"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Animals were assigned to one of two infusion groups such that performance there were no differences between groups on the final day of pre-infusion acquisition. For the next 4 days, all animals received an infusion of saline or Muscimol immediately prior to entering the testing chamber for a Pavlovian acquisition session.</w:t>
      </w:r>
    </w:p>
    <w:p w14:paraId="7890D548"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14" w:name="_Toc417305029"/>
      <w:r w:rsidRPr="008D0CD6">
        <w:rPr>
          <w:rFonts w:ascii="Times New Roman" w:eastAsia="Times New Roman" w:hAnsi="Times New Roman" w:cs="Times New Roman"/>
          <w:b/>
          <w:i/>
          <w:color w:val="000000"/>
          <w:sz w:val="24"/>
          <w:szCs w:val="24"/>
          <w:lang w:val="en-GB"/>
        </w:rPr>
        <w:t>Post-Infusion</w:t>
      </w:r>
      <w:bookmarkEnd w:id="14"/>
    </w:p>
    <w:p w14:paraId="6753298F"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On the final 2 days of training all animals received a further 2 days of acquisition training immediately preceded by a dummy infusion.</w:t>
      </w:r>
    </w:p>
    <w:p w14:paraId="7C6E3D45"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15" w:name="_Toc417305032"/>
      <w:r w:rsidRPr="008D0CD6">
        <w:rPr>
          <w:rFonts w:ascii="Times New Roman" w:eastAsia="Calibri" w:hAnsi="Times New Roman" w:cs="Times New Roman"/>
          <w:b/>
          <w:color w:val="000000"/>
          <w:sz w:val="24"/>
          <w:szCs w:val="24"/>
          <w:lang w:val="en-GB"/>
        </w:rPr>
        <w:t>Histology and Group Allocation</w:t>
      </w:r>
      <w:bookmarkEnd w:id="15"/>
    </w:p>
    <w:p w14:paraId="2C31769B" w14:textId="77777777" w:rsidR="00EA20A3" w:rsidRPr="008D0CD6" w:rsidRDefault="00EA20A3" w:rsidP="00F04D98">
      <w:pPr>
        <w:spacing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 xml:space="preserve">Cannulae placements are illustrated </w:t>
      </w:r>
      <w:r w:rsidRPr="008D0CD6">
        <w:rPr>
          <w:rFonts w:ascii="Times New Roman" w:eastAsia="Calibri" w:hAnsi="Times New Roman" w:cs="Times New Roman"/>
          <w:sz w:val="24"/>
          <w:szCs w:val="24"/>
          <w:lang w:val="en-GB"/>
        </w:rPr>
        <w:t xml:space="preserve">in </w:t>
      </w:r>
      <w:r w:rsidRPr="008D0CD6">
        <w:rPr>
          <w:rFonts w:ascii="Times New Roman" w:eastAsia="Calibri" w:hAnsi="Times New Roman" w:cs="Times New Roman"/>
          <w:color w:val="000000"/>
          <w:sz w:val="24"/>
          <w:szCs w:val="24"/>
          <w:lang w:val="en-GB"/>
        </w:rPr>
        <w:t>Figure 2-figure supplement 2</w:t>
      </w:r>
      <w:r w:rsidRPr="008D0CD6">
        <w:rPr>
          <w:rFonts w:ascii="Times New Roman" w:eastAsia="Calibri" w:hAnsi="Times New Roman" w:cs="Times New Roman"/>
          <w:sz w:val="24"/>
          <w:szCs w:val="24"/>
          <w:lang w:val="en-GB"/>
        </w:rPr>
        <w:t xml:space="preserve">. One animal </w:t>
      </w:r>
      <w:r w:rsidRPr="008D0CD6">
        <w:rPr>
          <w:rFonts w:ascii="Times New Roman" w:eastAsia="Calibri" w:hAnsi="Times New Roman" w:cs="Times New Roman"/>
          <w:color w:val="000000"/>
          <w:sz w:val="24"/>
          <w:szCs w:val="24"/>
          <w:lang w:val="en-GB"/>
        </w:rPr>
        <w:t xml:space="preserve">did not recover from surgery and was excluded. Three animals were excluded </w:t>
      </w:r>
      <w:proofErr w:type="gramStart"/>
      <w:r w:rsidRPr="008D0CD6">
        <w:rPr>
          <w:rFonts w:ascii="Times New Roman" w:eastAsia="Calibri" w:hAnsi="Times New Roman" w:cs="Times New Roman"/>
          <w:color w:val="000000"/>
          <w:sz w:val="24"/>
          <w:szCs w:val="24"/>
          <w:lang w:val="en-GB"/>
        </w:rPr>
        <w:t>as a result of</w:t>
      </w:r>
      <w:proofErr w:type="gramEnd"/>
      <w:r w:rsidRPr="008D0CD6">
        <w:rPr>
          <w:rFonts w:ascii="Times New Roman" w:eastAsia="Calibri" w:hAnsi="Times New Roman" w:cs="Times New Roman"/>
          <w:color w:val="000000"/>
          <w:sz w:val="24"/>
          <w:szCs w:val="24"/>
          <w:lang w:val="en-GB"/>
        </w:rPr>
        <w:t xml:space="preserve"> the cannulae assembly detaching from the skull. A further 3 animals were excluded </w:t>
      </w:r>
      <w:proofErr w:type="gramStart"/>
      <w:r w:rsidRPr="008D0CD6">
        <w:rPr>
          <w:rFonts w:ascii="Times New Roman" w:eastAsia="Calibri" w:hAnsi="Times New Roman" w:cs="Times New Roman"/>
          <w:color w:val="000000"/>
          <w:sz w:val="24"/>
          <w:szCs w:val="24"/>
          <w:lang w:val="en-GB"/>
        </w:rPr>
        <w:t>as a result of</w:t>
      </w:r>
      <w:proofErr w:type="gramEnd"/>
      <w:r w:rsidRPr="008D0CD6">
        <w:rPr>
          <w:rFonts w:ascii="Times New Roman" w:eastAsia="Calibri" w:hAnsi="Times New Roman" w:cs="Times New Roman"/>
          <w:color w:val="000000"/>
          <w:sz w:val="24"/>
          <w:szCs w:val="24"/>
          <w:lang w:val="en-GB"/>
        </w:rPr>
        <w:t xml:space="preserve"> failing to consume the pellets after recovery from surgery. One animal from the muscimol group was excluded from analysis </w:t>
      </w:r>
      <w:proofErr w:type="gramStart"/>
      <w:r w:rsidRPr="008D0CD6">
        <w:rPr>
          <w:rFonts w:ascii="Times New Roman" w:eastAsia="Calibri" w:hAnsi="Times New Roman" w:cs="Times New Roman"/>
          <w:color w:val="000000"/>
          <w:sz w:val="24"/>
          <w:szCs w:val="24"/>
          <w:lang w:val="en-GB"/>
        </w:rPr>
        <w:t>as a result of</w:t>
      </w:r>
      <w:proofErr w:type="gramEnd"/>
      <w:r w:rsidRPr="008D0CD6">
        <w:rPr>
          <w:rFonts w:ascii="Times New Roman" w:eastAsia="Calibri" w:hAnsi="Times New Roman" w:cs="Times New Roman"/>
          <w:color w:val="000000"/>
          <w:sz w:val="24"/>
          <w:szCs w:val="24"/>
          <w:lang w:val="en-GB"/>
        </w:rPr>
        <w:t xml:space="preserve"> a cannula tip embedded within the white matter of the forceps minor of the corpus callosum. Therefore, a total of 8 animals were excluded leaving </w:t>
      </w:r>
      <w:r w:rsidRPr="008D0CD6">
        <w:rPr>
          <w:rFonts w:ascii="Times New Roman" w:eastAsia="Calibri" w:hAnsi="Times New Roman" w:cs="Times New Roman"/>
          <w:i/>
          <w:color w:val="000000"/>
          <w:sz w:val="24"/>
          <w:szCs w:val="24"/>
          <w:lang w:val="en-GB"/>
        </w:rPr>
        <w:t>N</w:t>
      </w:r>
      <w:r w:rsidRPr="008D0CD6">
        <w:rPr>
          <w:rFonts w:ascii="Times New Roman" w:eastAsia="Calibri" w:hAnsi="Times New Roman" w:cs="Times New Roman"/>
          <w:color w:val="000000"/>
          <w:sz w:val="24"/>
          <w:szCs w:val="24"/>
          <w:lang w:val="en-GB"/>
        </w:rPr>
        <w:t xml:space="preserve"> = 24 (saline </w:t>
      </w:r>
      <w:r w:rsidRPr="008D0CD6">
        <w:rPr>
          <w:rFonts w:ascii="Times New Roman" w:eastAsia="Calibri" w:hAnsi="Times New Roman" w:cs="Times New Roman"/>
          <w:i/>
          <w:color w:val="000000"/>
          <w:sz w:val="24"/>
          <w:szCs w:val="24"/>
          <w:lang w:val="en-GB"/>
        </w:rPr>
        <w:t>n</w:t>
      </w:r>
      <w:r w:rsidRPr="008D0CD6">
        <w:rPr>
          <w:rFonts w:ascii="Times New Roman" w:eastAsia="Calibri" w:hAnsi="Times New Roman" w:cs="Times New Roman"/>
          <w:color w:val="000000"/>
          <w:sz w:val="24"/>
          <w:szCs w:val="24"/>
          <w:lang w:val="en-GB"/>
        </w:rPr>
        <w:t xml:space="preserve"> = 12, muscimol </w:t>
      </w:r>
      <w:r w:rsidRPr="008D0CD6">
        <w:rPr>
          <w:rFonts w:ascii="Times New Roman" w:eastAsia="Calibri" w:hAnsi="Times New Roman" w:cs="Times New Roman"/>
          <w:i/>
          <w:color w:val="000000"/>
          <w:sz w:val="24"/>
          <w:szCs w:val="24"/>
          <w:lang w:val="en-GB"/>
        </w:rPr>
        <w:t>n</w:t>
      </w:r>
      <w:r w:rsidRPr="008D0CD6">
        <w:rPr>
          <w:rFonts w:ascii="Times New Roman" w:eastAsia="Calibri" w:hAnsi="Times New Roman" w:cs="Times New Roman"/>
          <w:color w:val="000000"/>
          <w:sz w:val="24"/>
          <w:szCs w:val="24"/>
          <w:lang w:val="en-GB"/>
        </w:rPr>
        <w:t xml:space="preserve"> = 12).</w:t>
      </w:r>
    </w:p>
    <w:p w14:paraId="009FD993"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16" w:name="_Toc417305033"/>
      <w:r w:rsidRPr="008D0CD6">
        <w:rPr>
          <w:rFonts w:ascii="Times New Roman" w:eastAsia="Calibri" w:hAnsi="Times New Roman" w:cs="Times New Roman"/>
          <w:b/>
          <w:color w:val="000000"/>
          <w:sz w:val="24"/>
          <w:szCs w:val="24"/>
          <w:lang w:val="en-GB"/>
        </w:rPr>
        <w:t>PreCS Rates</w:t>
      </w:r>
      <w:bookmarkEnd w:id="16"/>
    </w:p>
    <w:p w14:paraId="0F6A97E6"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lastRenderedPageBreak/>
        <w:t xml:space="preserve">PreCS baseline responding did not differ between infusion groups across training and justified the use of CS-preCS difference scores for analyses of discriminative responding. In particular, during the infusion period a Group x Day (4 days) mixed ANOVA on preCS responses revealed a significant effect of Day </w:t>
      </w:r>
      <w:r w:rsidRPr="008D0CD6">
        <w:rPr>
          <w:rFonts w:ascii="Times New Roman" w:eastAsia="Times New Roman" w:hAnsi="Times New Roman" w:cs="Times New Roman"/>
          <w:color w:val="000000"/>
          <w:sz w:val="24"/>
          <w:szCs w:val="24"/>
          <w:lang w:val="en-GB" w:eastAsia="en-AU"/>
        </w:rPr>
        <w:t>(</w:t>
      </w:r>
      <w:r w:rsidRPr="008D0CD6">
        <w:rPr>
          <w:rFonts w:ascii="Times New Roman" w:eastAsia="Calibri" w:hAnsi="Times New Roman" w:cs="Times New Roman"/>
          <w:i/>
          <w:iCs/>
          <w:color w:val="000000"/>
          <w:sz w:val="24"/>
          <w:szCs w:val="24"/>
          <w:lang w:val="en-GB"/>
        </w:rPr>
        <w:t>F</w:t>
      </w:r>
      <w:r w:rsidRPr="008D0CD6">
        <w:rPr>
          <w:rFonts w:ascii="Times New Roman" w:eastAsia="Calibri" w:hAnsi="Times New Roman" w:cs="Times New Roman"/>
          <w:color w:val="000000"/>
          <w:sz w:val="24"/>
          <w:szCs w:val="24"/>
          <w:vertAlign w:val="subscript"/>
          <w:lang w:val="en-GB"/>
        </w:rPr>
        <w:t>(3, 66)</w:t>
      </w:r>
      <w:r w:rsidRPr="008D0CD6">
        <w:rPr>
          <w:rFonts w:ascii="Times New Roman" w:eastAsia="Calibri" w:hAnsi="Times New Roman" w:cs="Times New Roman"/>
          <w:color w:val="000000"/>
          <w:sz w:val="24"/>
          <w:szCs w:val="24"/>
          <w:lang w:val="en-GB"/>
        </w:rPr>
        <w:t xml:space="preserve"> = 5.95,</w:t>
      </w:r>
      <w:r w:rsidRPr="008D0CD6">
        <w:rPr>
          <w:rFonts w:ascii="Times New Roman" w:eastAsia="Calibri" w:hAnsi="Times New Roman" w:cs="Times New Roman"/>
          <w:i/>
          <w:iCs/>
          <w:color w:val="000000"/>
          <w:sz w:val="24"/>
          <w:szCs w:val="24"/>
          <w:lang w:val="en-GB"/>
        </w:rPr>
        <w:t xml:space="preserve"> p</w:t>
      </w:r>
      <w:r w:rsidRPr="008D0CD6">
        <w:rPr>
          <w:rFonts w:ascii="Times New Roman" w:eastAsia="Calibri" w:hAnsi="Times New Roman" w:cs="Times New Roman"/>
          <w:color w:val="000000"/>
          <w:sz w:val="24"/>
          <w:szCs w:val="24"/>
          <w:lang w:val="en-GB"/>
        </w:rPr>
        <w:t xml:space="preserve"> = .001</w:t>
      </w:r>
      <w:r w:rsidRPr="008D0CD6">
        <w:rPr>
          <w:rFonts w:ascii="Times New Roman" w:eastAsia="Times New Roman" w:hAnsi="Times New Roman" w:cs="Times New Roman"/>
          <w:color w:val="000000"/>
          <w:sz w:val="24"/>
          <w:szCs w:val="24"/>
          <w:lang w:val="en-GB"/>
        </w:rPr>
        <w:t xml:space="preserve">) but no significant effect of Group </w:t>
      </w:r>
      <w:r w:rsidRPr="008D0CD6">
        <w:rPr>
          <w:rFonts w:ascii="Times New Roman" w:eastAsia="Times New Roman" w:hAnsi="Times New Roman" w:cs="Times New Roman"/>
          <w:color w:val="000000"/>
          <w:sz w:val="24"/>
          <w:szCs w:val="24"/>
          <w:lang w:val="en-GB" w:eastAsia="en-AU"/>
        </w:rPr>
        <w:t>(</w:t>
      </w:r>
      <w:r w:rsidRPr="008D0CD6">
        <w:rPr>
          <w:rFonts w:ascii="Times New Roman" w:eastAsia="Calibri" w:hAnsi="Times New Roman" w:cs="Times New Roman"/>
          <w:i/>
          <w:iCs/>
          <w:color w:val="000000"/>
          <w:sz w:val="24"/>
          <w:szCs w:val="24"/>
          <w:lang w:val="en-GB"/>
        </w:rPr>
        <w:t>F</w:t>
      </w:r>
      <w:r w:rsidRPr="008D0CD6">
        <w:rPr>
          <w:rFonts w:ascii="Times New Roman" w:eastAsia="Calibri" w:hAnsi="Times New Roman" w:cs="Times New Roman"/>
          <w:color w:val="000000"/>
          <w:sz w:val="24"/>
          <w:szCs w:val="24"/>
          <w:vertAlign w:val="subscript"/>
          <w:lang w:val="en-GB"/>
        </w:rPr>
        <w:t>(1, 22)</w:t>
      </w:r>
      <w:r w:rsidRPr="008D0CD6">
        <w:rPr>
          <w:rFonts w:ascii="Times New Roman" w:eastAsia="Calibri" w:hAnsi="Times New Roman" w:cs="Times New Roman"/>
          <w:color w:val="000000"/>
          <w:sz w:val="24"/>
          <w:szCs w:val="24"/>
          <w:lang w:val="en-GB"/>
        </w:rPr>
        <w:t xml:space="preserve"> = 0.01,</w:t>
      </w:r>
      <w:r w:rsidRPr="008D0CD6">
        <w:rPr>
          <w:rFonts w:ascii="Times New Roman" w:eastAsia="Calibri" w:hAnsi="Times New Roman" w:cs="Times New Roman"/>
          <w:i/>
          <w:iCs/>
          <w:color w:val="000000"/>
          <w:sz w:val="24"/>
          <w:szCs w:val="24"/>
          <w:lang w:val="en-GB"/>
        </w:rPr>
        <w:t xml:space="preserve"> p</w:t>
      </w:r>
      <w:r w:rsidRPr="008D0CD6">
        <w:rPr>
          <w:rFonts w:ascii="Times New Roman" w:eastAsia="Calibri" w:hAnsi="Times New Roman" w:cs="Times New Roman"/>
          <w:color w:val="000000"/>
          <w:sz w:val="24"/>
          <w:szCs w:val="24"/>
          <w:lang w:val="en-GB"/>
        </w:rPr>
        <w:t xml:space="preserve"> = .93</w:t>
      </w:r>
      <w:r w:rsidRPr="008D0CD6">
        <w:rPr>
          <w:rFonts w:ascii="Times New Roman" w:eastAsia="Times New Roman" w:hAnsi="Times New Roman" w:cs="Times New Roman"/>
          <w:color w:val="000000"/>
          <w:sz w:val="24"/>
          <w:szCs w:val="24"/>
          <w:lang w:val="en-GB"/>
        </w:rPr>
        <w:t xml:space="preserve">) or Group x Day interaction </w:t>
      </w:r>
      <w:r w:rsidRPr="008D0CD6">
        <w:rPr>
          <w:rFonts w:ascii="Times New Roman" w:eastAsia="Times New Roman" w:hAnsi="Times New Roman" w:cs="Times New Roman"/>
          <w:color w:val="000000"/>
          <w:sz w:val="24"/>
          <w:szCs w:val="24"/>
          <w:lang w:val="en-GB" w:eastAsia="en-AU"/>
        </w:rPr>
        <w:t>(</w:t>
      </w:r>
      <w:r w:rsidRPr="008D0CD6">
        <w:rPr>
          <w:rFonts w:ascii="Times New Roman" w:eastAsia="Calibri" w:hAnsi="Times New Roman" w:cs="Times New Roman"/>
          <w:i/>
          <w:iCs/>
          <w:color w:val="000000"/>
          <w:sz w:val="24"/>
          <w:szCs w:val="24"/>
          <w:lang w:val="en-GB"/>
        </w:rPr>
        <w:t>F</w:t>
      </w:r>
      <w:r w:rsidRPr="008D0CD6">
        <w:rPr>
          <w:rFonts w:ascii="Times New Roman" w:eastAsia="Calibri" w:hAnsi="Times New Roman" w:cs="Times New Roman"/>
          <w:color w:val="000000"/>
          <w:sz w:val="24"/>
          <w:szCs w:val="24"/>
          <w:vertAlign w:val="subscript"/>
          <w:lang w:val="en-GB"/>
        </w:rPr>
        <w:t>(3, 66)</w:t>
      </w:r>
      <w:r w:rsidRPr="008D0CD6">
        <w:rPr>
          <w:rFonts w:ascii="Times New Roman" w:eastAsia="Calibri" w:hAnsi="Times New Roman" w:cs="Times New Roman"/>
          <w:color w:val="000000"/>
          <w:sz w:val="24"/>
          <w:szCs w:val="24"/>
          <w:lang w:val="en-GB"/>
        </w:rPr>
        <w:t xml:space="preserve"> = 0.41,</w:t>
      </w:r>
      <w:r w:rsidRPr="008D0CD6">
        <w:rPr>
          <w:rFonts w:ascii="Times New Roman" w:eastAsia="Calibri" w:hAnsi="Times New Roman" w:cs="Times New Roman"/>
          <w:i/>
          <w:iCs/>
          <w:color w:val="000000"/>
          <w:sz w:val="24"/>
          <w:szCs w:val="24"/>
          <w:lang w:val="en-GB"/>
        </w:rPr>
        <w:t xml:space="preserve"> p</w:t>
      </w:r>
      <w:r w:rsidRPr="008D0CD6">
        <w:rPr>
          <w:rFonts w:ascii="Times New Roman" w:eastAsia="Calibri" w:hAnsi="Times New Roman" w:cs="Times New Roman"/>
          <w:color w:val="000000"/>
          <w:sz w:val="24"/>
          <w:szCs w:val="24"/>
          <w:lang w:val="en-GB"/>
        </w:rPr>
        <w:t xml:space="preserve"> = .741</w:t>
      </w:r>
      <w:r w:rsidRPr="008D0CD6">
        <w:rPr>
          <w:rFonts w:ascii="Times New Roman" w:eastAsia="Times New Roman" w:hAnsi="Times New Roman" w:cs="Times New Roman"/>
          <w:color w:val="000000"/>
          <w:sz w:val="24"/>
          <w:szCs w:val="24"/>
          <w:lang w:val="en-GB"/>
        </w:rPr>
        <w:t xml:space="preserve">). PreCS response rates on these days were, saline </w:t>
      </w:r>
      <w:r w:rsidRPr="008D0CD6">
        <w:rPr>
          <w:rFonts w:ascii="Times New Roman" w:eastAsia="Times New Roman" w:hAnsi="Times New Roman" w:cs="Times New Roman"/>
          <w:i/>
          <w:color w:val="000000"/>
          <w:sz w:val="24"/>
          <w:szCs w:val="24"/>
          <w:lang w:val="en-GB"/>
        </w:rPr>
        <w:t>M</w:t>
      </w:r>
      <w:r w:rsidRPr="008D0CD6">
        <w:rPr>
          <w:rFonts w:ascii="Times New Roman" w:eastAsia="Times New Roman" w:hAnsi="Times New Roman" w:cs="Times New Roman"/>
          <w:color w:val="000000"/>
          <w:sz w:val="24"/>
          <w:szCs w:val="24"/>
          <w:lang w:val="en-GB"/>
        </w:rPr>
        <w:t xml:space="preserve"> = 0.70, </w:t>
      </w:r>
      <w:r w:rsidRPr="008D0CD6">
        <w:rPr>
          <w:rFonts w:ascii="Times New Roman" w:eastAsia="Times New Roman" w:hAnsi="Times New Roman" w:cs="Times New Roman"/>
          <w:i/>
          <w:color w:val="000000"/>
          <w:sz w:val="24"/>
          <w:szCs w:val="24"/>
          <w:lang w:val="en-GB"/>
        </w:rPr>
        <w:t xml:space="preserve">SD </w:t>
      </w:r>
      <w:r w:rsidRPr="008D0CD6">
        <w:rPr>
          <w:rFonts w:ascii="Times New Roman" w:eastAsia="Times New Roman" w:hAnsi="Times New Roman" w:cs="Times New Roman"/>
          <w:color w:val="000000"/>
          <w:sz w:val="24"/>
          <w:szCs w:val="24"/>
          <w:lang w:val="en-GB"/>
        </w:rPr>
        <w:t>= .48, muscimol</w:t>
      </w:r>
      <w:r w:rsidRPr="008D0CD6">
        <w:rPr>
          <w:rFonts w:ascii="Times New Roman" w:eastAsia="Times New Roman" w:hAnsi="Times New Roman" w:cs="Times New Roman"/>
          <w:i/>
          <w:color w:val="000000"/>
          <w:sz w:val="24"/>
          <w:szCs w:val="24"/>
          <w:lang w:val="en-GB"/>
        </w:rPr>
        <w:t xml:space="preserve"> M</w:t>
      </w:r>
      <w:r w:rsidRPr="008D0CD6">
        <w:rPr>
          <w:rFonts w:ascii="Times New Roman" w:eastAsia="Times New Roman" w:hAnsi="Times New Roman" w:cs="Times New Roman"/>
          <w:color w:val="000000"/>
          <w:sz w:val="24"/>
          <w:szCs w:val="24"/>
          <w:lang w:val="en-GB"/>
        </w:rPr>
        <w:t xml:space="preserve"> = 0.72, </w:t>
      </w:r>
      <w:r w:rsidRPr="008D0CD6">
        <w:rPr>
          <w:rFonts w:ascii="Times New Roman" w:eastAsia="Times New Roman" w:hAnsi="Times New Roman" w:cs="Times New Roman"/>
          <w:i/>
          <w:color w:val="000000"/>
          <w:sz w:val="24"/>
          <w:szCs w:val="24"/>
          <w:lang w:val="en-GB"/>
        </w:rPr>
        <w:t xml:space="preserve">SD </w:t>
      </w:r>
      <w:r w:rsidRPr="008D0CD6">
        <w:rPr>
          <w:rFonts w:ascii="Times New Roman" w:eastAsia="Times New Roman" w:hAnsi="Times New Roman" w:cs="Times New Roman"/>
          <w:color w:val="000000"/>
          <w:sz w:val="24"/>
          <w:szCs w:val="24"/>
          <w:lang w:val="en-GB"/>
        </w:rPr>
        <w:t>= .48.</w:t>
      </w:r>
    </w:p>
    <w:p w14:paraId="07520E94" w14:textId="643DC8D6" w:rsidR="00EA20A3" w:rsidRPr="008D0CD6" w:rsidRDefault="009F2F9E" w:rsidP="00F04D98">
      <w:pPr>
        <w:pStyle w:val="BodyText"/>
        <w:spacing w:line="480" w:lineRule="auto"/>
        <w:jc w:val="center"/>
        <w:rPr>
          <w:lang w:val="en-GB"/>
        </w:rPr>
      </w:pPr>
      <w:r>
        <w:rPr>
          <w:b/>
          <w:lang w:val="en-GB"/>
        </w:rPr>
        <w:t xml:space="preserve">Supplementary </w:t>
      </w:r>
      <w:r w:rsidR="00EA20A3" w:rsidRPr="008D0CD6">
        <w:rPr>
          <w:b/>
          <w:lang w:val="en-GB"/>
        </w:rPr>
        <w:t xml:space="preserve">Experiment </w:t>
      </w:r>
      <w:r>
        <w:rPr>
          <w:b/>
          <w:lang w:val="en-GB"/>
        </w:rPr>
        <w:t>1</w:t>
      </w:r>
      <w:r w:rsidR="00EA20A3" w:rsidRPr="008D0CD6">
        <w:rPr>
          <w:b/>
          <w:lang w:val="en-GB"/>
        </w:rPr>
        <w:t>: Post-Training OFC lesions</w:t>
      </w:r>
    </w:p>
    <w:p w14:paraId="68BB94D6" w14:textId="77777777" w:rsidR="00EA20A3" w:rsidRPr="008D0CD6" w:rsidRDefault="00EA20A3" w:rsidP="00F04D98">
      <w:pPr>
        <w:spacing w:line="480" w:lineRule="auto"/>
        <w:jc w:val="center"/>
        <w:rPr>
          <w:rFonts w:ascii="Times New Roman" w:eastAsia="Calibri" w:hAnsi="Times New Roman" w:cs="Times New Roman"/>
          <w:b/>
          <w:color w:val="000000"/>
          <w:sz w:val="24"/>
          <w:szCs w:val="24"/>
          <w:lang w:val="en-GB"/>
        </w:rPr>
      </w:pPr>
      <w:bookmarkStart w:id="17" w:name="_Toc417305042"/>
      <w:bookmarkStart w:id="18" w:name="_Toc417312604"/>
      <w:r w:rsidRPr="008D0CD6">
        <w:rPr>
          <w:rFonts w:ascii="Times New Roman" w:eastAsia="Calibri" w:hAnsi="Times New Roman" w:cs="Times New Roman"/>
          <w:b/>
          <w:color w:val="000000"/>
          <w:sz w:val="24"/>
          <w:szCs w:val="24"/>
          <w:lang w:val="en-GB"/>
        </w:rPr>
        <w:t>Methods</w:t>
      </w:r>
      <w:bookmarkEnd w:id="17"/>
      <w:bookmarkEnd w:id="18"/>
    </w:p>
    <w:p w14:paraId="7F49CF33" w14:textId="77777777" w:rsidR="00EA20A3" w:rsidRPr="008D0CD6" w:rsidRDefault="00EA20A3" w:rsidP="00F04D98">
      <w:pPr>
        <w:spacing w:line="480" w:lineRule="auto"/>
        <w:rPr>
          <w:rFonts w:ascii="Times New Roman" w:eastAsia="Calibri" w:hAnsi="Times New Roman" w:cs="Times New Roman"/>
          <w:b/>
          <w:color w:val="000000"/>
          <w:sz w:val="24"/>
          <w:szCs w:val="24"/>
          <w:highlight w:val="yellow"/>
          <w:lang w:val="en-GB"/>
        </w:rPr>
      </w:pPr>
      <w:bookmarkStart w:id="19" w:name="_Toc417305043"/>
      <w:r w:rsidRPr="008D0CD6">
        <w:rPr>
          <w:rFonts w:ascii="Times New Roman" w:eastAsia="Calibri" w:hAnsi="Times New Roman" w:cs="Times New Roman"/>
          <w:b/>
          <w:color w:val="000000"/>
          <w:sz w:val="24"/>
          <w:szCs w:val="24"/>
          <w:lang w:val="en-GB"/>
        </w:rPr>
        <w:t>Subjects</w:t>
      </w:r>
      <w:bookmarkEnd w:id="19"/>
    </w:p>
    <w:p w14:paraId="4D9EC23A"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 xml:space="preserve">Subjects were twenty-four (total N = 24) male Long Evans rats (Monash Animal Services, Gippsland, Victoria, Australia) approximately 4 months old, weighing between 317-369 g (M = 338.9 g). </w:t>
      </w:r>
    </w:p>
    <w:p w14:paraId="5E8DF7B8"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20" w:name="_Toc417305046"/>
      <w:r w:rsidRPr="008D0CD6">
        <w:rPr>
          <w:rFonts w:ascii="Times New Roman" w:eastAsia="Calibri" w:hAnsi="Times New Roman" w:cs="Times New Roman"/>
          <w:b/>
          <w:color w:val="000000"/>
          <w:sz w:val="24"/>
          <w:szCs w:val="24"/>
          <w:lang w:val="en-GB"/>
        </w:rPr>
        <w:t>Pre-lesion Training</w:t>
      </w:r>
      <w:bookmarkEnd w:id="20"/>
    </w:p>
    <w:p w14:paraId="07654715"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21" w:name="_Toc417305048"/>
      <w:r w:rsidRPr="008D0CD6">
        <w:rPr>
          <w:rFonts w:ascii="Times New Roman" w:eastAsia="Times New Roman" w:hAnsi="Times New Roman" w:cs="Times New Roman"/>
          <w:b/>
          <w:i/>
          <w:color w:val="000000"/>
          <w:sz w:val="24"/>
          <w:szCs w:val="24"/>
          <w:lang w:val="en-GB"/>
        </w:rPr>
        <w:t>Pavlovian Acquisition</w:t>
      </w:r>
      <w:bookmarkEnd w:id="21"/>
    </w:p>
    <w:p w14:paraId="5364A00F"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All animals received 9 days of Pavlovian acquisition training, 1 session per day. On the final day of training all animals were removed from food restriction for at least 24 hours before receiving sham or excitotoxic lesions of the OFC. Lesion conditions were pseudo-randomly assigned to animals such that group performance was matched on the final day of acquisition and an equal number of animals were assigned to each lesion condition in each homecage.</w:t>
      </w:r>
    </w:p>
    <w:p w14:paraId="565D3877"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22" w:name="_Toc417305049"/>
      <w:r w:rsidRPr="008D0CD6">
        <w:rPr>
          <w:rFonts w:ascii="Times New Roman" w:eastAsia="Calibri" w:hAnsi="Times New Roman" w:cs="Times New Roman"/>
          <w:b/>
          <w:color w:val="000000"/>
          <w:sz w:val="24"/>
          <w:szCs w:val="24"/>
          <w:lang w:val="en-GB"/>
        </w:rPr>
        <w:t>Post-lesion Training</w:t>
      </w:r>
      <w:bookmarkEnd w:id="22"/>
    </w:p>
    <w:p w14:paraId="514BFEFA"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23" w:name="_Toc417305050"/>
      <w:r w:rsidRPr="008D0CD6">
        <w:rPr>
          <w:rFonts w:ascii="Times New Roman" w:eastAsia="Times New Roman" w:hAnsi="Times New Roman" w:cs="Times New Roman"/>
          <w:b/>
          <w:i/>
          <w:color w:val="000000"/>
          <w:sz w:val="24"/>
          <w:szCs w:val="24"/>
          <w:lang w:val="en-GB"/>
        </w:rPr>
        <w:lastRenderedPageBreak/>
        <w:t>Pavlovian Acquisition</w:t>
      </w:r>
      <w:bookmarkEnd w:id="23"/>
    </w:p>
    <w:p w14:paraId="6B819D2D"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Following post-operative recovery all animals were returned to food restriction for 24 hrs before receiving an additional 9 days of acquisition training.</w:t>
      </w:r>
    </w:p>
    <w:p w14:paraId="6677B7D0"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24" w:name="_Toc417305053"/>
      <w:r w:rsidRPr="008D0CD6">
        <w:rPr>
          <w:rFonts w:ascii="Times New Roman" w:eastAsia="Calibri" w:hAnsi="Times New Roman" w:cs="Times New Roman"/>
          <w:b/>
          <w:color w:val="000000"/>
          <w:sz w:val="24"/>
          <w:szCs w:val="24"/>
          <w:lang w:val="en-GB"/>
        </w:rPr>
        <w:t>Histology and Group Allocation</w:t>
      </w:r>
      <w:bookmarkEnd w:id="24"/>
    </w:p>
    <w:p w14:paraId="19D39921" w14:textId="77777777" w:rsidR="00EA20A3" w:rsidRPr="008D0CD6" w:rsidRDefault="00EA20A3" w:rsidP="00F04D98">
      <w:pPr>
        <w:spacing w:after="240" w:line="480" w:lineRule="auto"/>
        <w:rPr>
          <w:rFonts w:ascii="Times New Roman" w:eastAsia="Times New Roman" w:hAnsi="Times New Roman" w:cs="Times New Roman"/>
          <w:color w:val="000000"/>
          <w:sz w:val="24"/>
          <w:szCs w:val="24"/>
          <w:lang w:val="en-GB" w:eastAsia="en-AU"/>
        </w:rPr>
      </w:pPr>
      <w:r w:rsidRPr="008D0CD6">
        <w:rPr>
          <w:rFonts w:ascii="Times New Roman" w:eastAsia="Calibri" w:hAnsi="Times New Roman" w:cs="Times New Roman"/>
          <w:color w:val="000000"/>
          <w:sz w:val="24"/>
          <w:szCs w:val="24"/>
          <w:lang w:val="en-GB"/>
        </w:rPr>
        <w:t xml:space="preserve">Lesion damage is depicted </w:t>
      </w:r>
      <w:r w:rsidRPr="008D0CD6">
        <w:rPr>
          <w:rFonts w:ascii="Times New Roman" w:eastAsia="Calibri" w:hAnsi="Times New Roman" w:cs="Times New Roman"/>
          <w:sz w:val="24"/>
          <w:szCs w:val="24"/>
          <w:lang w:val="en-GB"/>
        </w:rPr>
        <w:t xml:space="preserve">in </w:t>
      </w:r>
      <w:r w:rsidRPr="008D0CD6">
        <w:rPr>
          <w:rFonts w:ascii="Times New Roman" w:eastAsia="Calibri" w:hAnsi="Times New Roman" w:cs="Times New Roman"/>
          <w:color w:val="000000"/>
          <w:sz w:val="24"/>
          <w:szCs w:val="24"/>
          <w:lang w:val="en-GB"/>
        </w:rPr>
        <w:t>Figure 2-figure supplement 3</w:t>
      </w:r>
      <w:r w:rsidRPr="008D0CD6">
        <w:rPr>
          <w:rFonts w:ascii="Times New Roman" w:eastAsia="Calibri" w:hAnsi="Times New Roman" w:cs="Times New Roman"/>
          <w:sz w:val="24"/>
          <w:szCs w:val="24"/>
          <w:lang w:val="en-GB"/>
        </w:rPr>
        <w:t xml:space="preserve">. Lesion </w:t>
      </w:r>
      <w:r w:rsidRPr="008D0CD6">
        <w:rPr>
          <w:rFonts w:ascii="Times New Roman" w:eastAsia="Calibri" w:hAnsi="Times New Roman" w:cs="Times New Roman"/>
          <w:color w:val="000000"/>
          <w:sz w:val="24"/>
          <w:szCs w:val="24"/>
          <w:lang w:val="en-GB"/>
        </w:rPr>
        <w:t xml:space="preserve">extent was judged by a trained observer blind to group allocation. A lesion was retained if there was evidence of significant bilateral damage constrained to LO or DLO. Animals were excluded if there was only unilateral LO/DLO damage, evidence of damage to the </w:t>
      </w:r>
      <w:r w:rsidRPr="008D0CD6">
        <w:rPr>
          <w:rFonts w:ascii="Times New Roman" w:eastAsia="Times New Roman" w:hAnsi="Times New Roman" w:cs="Times New Roman"/>
          <w:color w:val="000000"/>
          <w:sz w:val="24"/>
          <w:szCs w:val="24"/>
          <w:lang w:val="en-GB" w:eastAsia="en-AU"/>
        </w:rPr>
        <w:t xml:space="preserve">dorsal part of the anterior olfactory nucleus ventral to LO/DLO or if there was extensive damage to the white matter of the forceps minor of the corpus callosum. Three lesion animals had only unilateral OFC damage and were excluded from analysis (final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21; sham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12, lesion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9).</w:t>
      </w:r>
    </w:p>
    <w:p w14:paraId="65A65669"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25" w:name="_Toc417305054"/>
      <w:r w:rsidRPr="008D0CD6">
        <w:rPr>
          <w:rFonts w:ascii="Times New Roman" w:eastAsia="Calibri" w:hAnsi="Times New Roman" w:cs="Times New Roman"/>
          <w:b/>
          <w:color w:val="000000"/>
          <w:sz w:val="24"/>
          <w:szCs w:val="24"/>
          <w:lang w:val="en-GB"/>
        </w:rPr>
        <w:t>PreCS Responding</w:t>
      </w:r>
      <w:bookmarkEnd w:id="25"/>
    </w:p>
    <w:p w14:paraId="394DE8AA"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 xml:space="preserve">PreCS levels of responding did not differ between groups across days of training, and on the final block of 3 days (post-operative) response rates (15s) were sham </w:t>
      </w:r>
      <w:r w:rsidRPr="008D0CD6">
        <w:rPr>
          <w:rFonts w:ascii="Times New Roman" w:eastAsia="Calibri" w:hAnsi="Times New Roman" w:cs="Times New Roman"/>
          <w:i/>
          <w:color w:val="000000"/>
          <w:sz w:val="24"/>
          <w:szCs w:val="24"/>
          <w:lang w:val="en-GB"/>
        </w:rPr>
        <w:t>M</w:t>
      </w:r>
      <w:r w:rsidRPr="008D0CD6">
        <w:rPr>
          <w:rFonts w:ascii="Times New Roman" w:eastAsia="Calibri" w:hAnsi="Times New Roman" w:cs="Times New Roman"/>
          <w:color w:val="000000"/>
          <w:sz w:val="24"/>
          <w:szCs w:val="24"/>
          <w:lang w:val="en-GB"/>
        </w:rPr>
        <w:t xml:space="preserve"> = 2.55, </w:t>
      </w:r>
      <w:r w:rsidRPr="008D0CD6">
        <w:rPr>
          <w:rFonts w:ascii="Times New Roman" w:eastAsia="Calibri" w:hAnsi="Times New Roman" w:cs="Times New Roman"/>
          <w:i/>
          <w:color w:val="000000"/>
          <w:sz w:val="24"/>
          <w:szCs w:val="24"/>
          <w:lang w:val="en-GB"/>
        </w:rPr>
        <w:t>SD</w:t>
      </w:r>
      <w:r w:rsidRPr="008D0CD6">
        <w:rPr>
          <w:rFonts w:ascii="Times New Roman" w:eastAsia="Calibri" w:hAnsi="Times New Roman" w:cs="Times New Roman"/>
          <w:color w:val="000000"/>
          <w:sz w:val="24"/>
          <w:szCs w:val="24"/>
          <w:lang w:val="en-GB"/>
        </w:rPr>
        <w:t xml:space="preserve"> = 2.03, lesion </w:t>
      </w:r>
      <w:r w:rsidRPr="008D0CD6">
        <w:rPr>
          <w:rFonts w:ascii="Times New Roman" w:eastAsia="Calibri" w:hAnsi="Times New Roman" w:cs="Times New Roman"/>
          <w:i/>
          <w:color w:val="000000"/>
          <w:sz w:val="24"/>
          <w:szCs w:val="24"/>
          <w:lang w:val="en-GB"/>
        </w:rPr>
        <w:t>M</w:t>
      </w:r>
      <w:r w:rsidRPr="008D0CD6">
        <w:rPr>
          <w:rFonts w:ascii="Times New Roman" w:eastAsia="Calibri" w:hAnsi="Times New Roman" w:cs="Times New Roman"/>
          <w:color w:val="000000"/>
          <w:sz w:val="24"/>
          <w:szCs w:val="24"/>
          <w:lang w:val="en-GB"/>
        </w:rPr>
        <w:t xml:space="preserve"> = 2.74, </w:t>
      </w:r>
      <w:r w:rsidRPr="008D0CD6">
        <w:rPr>
          <w:rFonts w:ascii="Times New Roman" w:eastAsia="Calibri" w:hAnsi="Times New Roman" w:cs="Times New Roman"/>
          <w:i/>
          <w:color w:val="000000"/>
          <w:sz w:val="24"/>
          <w:szCs w:val="24"/>
          <w:lang w:val="en-GB"/>
        </w:rPr>
        <w:t>SD</w:t>
      </w:r>
      <w:r w:rsidRPr="008D0CD6">
        <w:rPr>
          <w:rFonts w:ascii="Times New Roman" w:eastAsia="Calibri" w:hAnsi="Times New Roman" w:cs="Times New Roman"/>
          <w:color w:val="000000"/>
          <w:sz w:val="24"/>
          <w:szCs w:val="24"/>
          <w:lang w:val="en-GB"/>
        </w:rPr>
        <w:t xml:space="preserve"> = 0.94. A mixed Group x DayBlock (6 blocks of 3 days) ANOVA on preCS responding supported this observation with only a significant main effect of DayBlock </w:t>
      </w:r>
      <w:r w:rsidRPr="008D0CD6">
        <w:rPr>
          <w:rFonts w:ascii="Times New Roman" w:eastAsia="Times New Roman" w:hAnsi="Times New Roman" w:cs="Times New Roman"/>
          <w:color w:val="000000"/>
          <w:sz w:val="24"/>
          <w:szCs w:val="24"/>
          <w:lang w:val="en-GB" w:eastAsia="en-AU"/>
        </w:rPr>
        <w:t>(</w:t>
      </w:r>
      <w:r w:rsidRPr="008D0CD6">
        <w:rPr>
          <w:rFonts w:ascii="Times New Roman" w:eastAsia="Calibri" w:hAnsi="Times New Roman" w:cs="Times New Roman"/>
          <w:i/>
          <w:iCs/>
          <w:color w:val="000000"/>
          <w:sz w:val="24"/>
          <w:szCs w:val="24"/>
          <w:lang w:val="en-GB"/>
        </w:rPr>
        <w:t>F</w:t>
      </w:r>
      <w:r w:rsidRPr="008D0CD6">
        <w:rPr>
          <w:rFonts w:ascii="Times New Roman" w:eastAsia="Calibri" w:hAnsi="Times New Roman" w:cs="Times New Roman"/>
          <w:color w:val="000000"/>
          <w:sz w:val="24"/>
          <w:szCs w:val="24"/>
          <w:vertAlign w:val="subscript"/>
          <w:lang w:val="en-GB"/>
        </w:rPr>
        <w:t>(5, 95)</w:t>
      </w:r>
      <w:r w:rsidRPr="008D0CD6">
        <w:rPr>
          <w:rFonts w:ascii="Times New Roman" w:eastAsia="Calibri" w:hAnsi="Times New Roman" w:cs="Times New Roman"/>
          <w:color w:val="000000"/>
          <w:sz w:val="24"/>
          <w:szCs w:val="24"/>
          <w:lang w:val="en-GB"/>
        </w:rPr>
        <w:t xml:space="preserve"> = 11.52,</w:t>
      </w:r>
      <w:r w:rsidRPr="008D0CD6">
        <w:rPr>
          <w:rFonts w:ascii="Times New Roman" w:eastAsia="Calibri" w:hAnsi="Times New Roman" w:cs="Times New Roman"/>
          <w:i/>
          <w:iCs/>
          <w:color w:val="000000"/>
          <w:sz w:val="24"/>
          <w:szCs w:val="24"/>
          <w:lang w:val="en-GB"/>
        </w:rPr>
        <w:t xml:space="preserve"> p</w:t>
      </w:r>
      <w:r w:rsidRPr="008D0CD6">
        <w:rPr>
          <w:rFonts w:ascii="Times New Roman" w:eastAsia="Calibri" w:hAnsi="Times New Roman" w:cs="Times New Roman"/>
          <w:color w:val="000000"/>
          <w:sz w:val="24"/>
          <w:szCs w:val="24"/>
          <w:lang w:val="en-GB"/>
        </w:rPr>
        <w:t xml:space="preserve"> &lt; .001</w:t>
      </w:r>
      <w:r w:rsidRPr="008D0CD6">
        <w:rPr>
          <w:rFonts w:ascii="Times New Roman" w:eastAsia="Times New Roman" w:hAnsi="Times New Roman" w:cs="Times New Roman"/>
          <w:color w:val="000000"/>
          <w:sz w:val="24"/>
          <w:szCs w:val="24"/>
          <w:lang w:val="en-GB"/>
        </w:rPr>
        <w:t xml:space="preserve">, effect of Group and Group x DayBlock interaction </w:t>
      </w:r>
      <w:r w:rsidRPr="008D0CD6">
        <w:rPr>
          <w:rFonts w:ascii="Times New Roman" w:eastAsia="Calibri" w:hAnsi="Times New Roman" w:cs="Times New Roman"/>
          <w:i/>
          <w:iCs/>
          <w:color w:val="000000"/>
          <w:sz w:val="24"/>
          <w:szCs w:val="24"/>
          <w:lang w:val="en-GB"/>
        </w:rPr>
        <w:t>F</w:t>
      </w:r>
      <w:r w:rsidRPr="008D0CD6">
        <w:rPr>
          <w:rFonts w:ascii="Times New Roman" w:eastAsia="Calibri" w:hAnsi="Times New Roman" w:cs="Times New Roman"/>
          <w:color w:val="000000"/>
          <w:sz w:val="24"/>
          <w:szCs w:val="24"/>
          <w:lang w:val="en-GB"/>
        </w:rPr>
        <w:t xml:space="preserve"> &lt; 1.00,</w:t>
      </w:r>
      <w:r w:rsidRPr="008D0CD6">
        <w:rPr>
          <w:rFonts w:ascii="Times New Roman" w:eastAsia="Calibri" w:hAnsi="Times New Roman" w:cs="Times New Roman"/>
          <w:i/>
          <w:iCs/>
          <w:color w:val="000000"/>
          <w:sz w:val="24"/>
          <w:szCs w:val="24"/>
          <w:lang w:val="en-GB"/>
        </w:rPr>
        <w:t xml:space="preserve"> p</w:t>
      </w:r>
      <w:r w:rsidRPr="008D0CD6">
        <w:rPr>
          <w:rFonts w:ascii="Times New Roman" w:eastAsia="Calibri" w:hAnsi="Times New Roman" w:cs="Times New Roman"/>
          <w:color w:val="000000"/>
          <w:sz w:val="24"/>
          <w:szCs w:val="24"/>
          <w:lang w:val="en-GB"/>
        </w:rPr>
        <w:t xml:space="preserve"> &gt; .81</w:t>
      </w:r>
      <w:r w:rsidRPr="008D0CD6">
        <w:rPr>
          <w:rFonts w:ascii="Times New Roman" w:eastAsia="Times New Roman" w:hAnsi="Times New Roman" w:cs="Times New Roman"/>
          <w:color w:val="000000"/>
          <w:sz w:val="24"/>
          <w:szCs w:val="24"/>
          <w:lang w:val="en-GB"/>
        </w:rPr>
        <w:t>)</w:t>
      </w:r>
      <w:r w:rsidRPr="008D0CD6">
        <w:rPr>
          <w:rFonts w:ascii="Times New Roman" w:eastAsia="Calibri" w:hAnsi="Times New Roman" w:cs="Times New Roman"/>
          <w:color w:val="000000"/>
          <w:sz w:val="24"/>
          <w:szCs w:val="24"/>
          <w:lang w:val="en-GB"/>
        </w:rPr>
        <w:t xml:space="preserve">. </w:t>
      </w:r>
    </w:p>
    <w:p w14:paraId="7CE39885" w14:textId="71A7027D" w:rsidR="00EA20A3" w:rsidRPr="008D0CD6" w:rsidRDefault="00227853" w:rsidP="00F04D98">
      <w:pPr>
        <w:pStyle w:val="BodyText"/>
        <w:spacing w:line="480" w:lineRule="auto"/>
        <w:jc w:val="center"/>
        <w:rPr>
          <w:lang w:val="en-GB"/>
        </w:rPr>
      </w:pPr>
      <w:bookmarkStart w:id="26" w:name="_Toc417305061"/>
      <w:r>
        <w:rPr>
          <w:b/>
          <w:lang w:val="en-GB"/>
        </w:rPr>
        <w:t>Supplementary Experiment 2</w:t>
      </w:r>
      <w:r w:rsidR="00EA20A3" w:rsidRPr="008D0CD6">
        <w:rPr>
          <w:b/>
          <w:lang w:val="en-GB"/>
        </w:rPr>
        <w:t>: OFC inactivation early in acquisition</w:t>
      </w:r>
    </w:p>
    <w:p w14:paraId="425F338E" w14:textId="77777777" w:rsidR="00EA20A3" w:rsidRPr="008D0CD6" w:rsidRDefault="00EA20A3" w:rsidP="00F04D98">
      <w:pPr>
        <w:spacing w:line="480" w:lineRule="auto"/>
        <w:rPr>
          <w:rFonts w:ascii="Times New Roman" w:eastAsia="Calibri" w:hAnsi="Times New Roman" w:cs="Times New Roman"/>
          <w:b/>
          <w:color w:val="000000"/>
          <w:sz w:val="24"/>
          <w:szCs w:val="24"/>
          <w:highlight w:val="yellow"/>
          <w:lang w:val="en-GB"/>
        </w:rPr>
      </w:pPr>
      <w:r w:rsidRPr="008D0CD6">
        <w:rPr>
          <w:rFonts w:ascii="Times New Roman" w:eastAsia="Calibri" w:hAnsi="Times New Roman" w:cs="Times New Roman"/>
          <w:b/>
          <w:color w:val="000000"/>
          <w:sz w:val="24"/>
          <w:szCs w:val="24"/>
          <w:lang w:val="en-GB"/>
        </w:rPr>
        <w:t>Subjects</w:t>
      </w:r>
      <w:bookmarkEnd w:id="26"/>
    </w:p>
    <w:p w14:paraId="5949B78F"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lastRenderedPageBreak/>
        <w:t xml:space="preserve">Subjects were thirty-two (total N = 16) male Long Evans rats (Monash Animal Services, Gippsland, Victoria, Australia) approximately 4 months old, weighing between 321-399 g (M = 357.4 g). </w:t>
      </w:r>
    </w:p>
    <w:p w14:paraId="7C13D524"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27" w:name="_Toc417305063"/>
      <w:r w:rsidRPr="008D0CD6">
        <w:rPr>
          <w:rFonts w:ascii="Times New Roman" w:eastAsia="Calibri" w:hAnsi="Times New Roman" w:cs="Times New Roman"/>
          <w:b/>
          <w:color w:val="000000"/>
          <w:sz w:val="24"/>
          <w:szCs w:val="24"/>
          <w:lang w:val="en-GB"/>
        </w:rPr>
        <w:t>Surgery</w:t>
      </w:r>
      <w:bookmarkEnd w:id="27"/>
    </w:p>
    <w:p w14:paraId="1FE4D15F"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Surgical implantation of cannulae occurred prior to any behavioural training.</w:t>
      </w:r>
    </w:p>
    <w:p w14:paraId="2840F6C4"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r w:rsidRPr="008D0CD6">
        <w:rPr>
          <w:rFonts w:ascii="Times New Roman" w:eastAsia="Times New Roman" w:hAnsi="Times New Roman" w:cs="Times New Roman"/>
          <w:b/>
          <w:i/>
          <w:color w:val="000000"/>
          <w:sz w:val="24"/>
          <w:szCs w:val="24"/>
          <w:lang w:val="en-GB"/>
        </w:rPr>
        <w:t>Pavlovian Acquisition</w:t>
      </w:r>
    </w:p>
    <w:p w14:paraId="5F477B18"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Animals were given 10</w:t>
      </w:r>
      <w:r w:rsidRPr="008D0CD6">
        <w:rPr>
          <w:rFonts w:ascii="Times New Roman" w:eastAsia="Calibri" w:hAnsi="Times New Roman" w:cs="Times New Roman"/>
          <w:b/>
          <w:color w:val="000000"/>
          <w:sz w:val="24"/>
          <w:szCs w:val="24"/>
          <w:lang w:val="en-GB"/>
        </w:rPr>
        <w:t xml:space="preserve"> </w:t>
      </w:r>
      <w:r w:rsidRPr="008D0CD6">
        <w:rPr>
          <w:rFonts w:ascii="Times New Roman" w:eastAsia="Calibri" w:hAnsi="Times New Roman" w:cs="Times New Roman"/>
          <w:color w:val="000000"/>
          <w:sz w:val="24"/>
          <w:szCs w:val="24"/>
          <w:lang w:val="en-GB"/>
        </w:rPr>
        <w:t>sessions, 1 session per day. Briefly, each session consisted of a VI 200s ITI with 16 trials consisting of a 10s light CS (illumination of the house light at the back of the chamber) co-terminating with a single pellet US. Subjects received mock infusions on days 3 and 4, and either Saline or Muscimol was infused prior to entering the chamber on days 5-9. On day 10 all animals received a mock infusion.</w:t>
      </w:r>
    </w:p>
    <w:p w14:paraId="544A22E8" w14:textId="77777777" w:rsidR="00EA20A3" w:rsidRPr="008D0CD6" w:rsidRDefault="00EA20A3" w:rsidP="00F04D98">
      <w:pPr>
        <w:spacing w:after="240" w:line="480" w:lineRule="auto"/>
        <w:rPr>
          <w:rFonts w:ascii="Times New Roman" w:eastAsia="Calibri" w:hAnsi="Times New Roman" w:cs="Times New Roman"/>
          <w:b/>
          <w:color w:val="000000"/>
          <w:sz w:val="24"/>
          <w:szCs w:val="24"/>
          <w:lang w:val="en-GB"/>
        </w:rPr>
      </w:pPr>
      <w:r w:rsidRPr="008D0CD6">
        <w:rPr>
          <w:rFonts w:ascii="Times New Roman" w:eastAsia="Calibri" w:hAnsi="Times New Roman" w:cs="Times New Roman"/>
          <w:b/>
          <w:color w:val="000000"/>
          <w:sz w:val="24"/>
          <w:szCs w:val="24"/>
          <w:lang w:val="en-GB"/>
        </w:rPr>
        <w:t>Histology and exclusions</w:t>
      </w:r>
    </w:p>
    <w:p w14:paraId="3B29FA4B" w14:textId="47E0EC14" w:rsidR="00EA20A3" w:rsidRPr="008D0CD6" w:rsidRDefault="00EA20A3" w:rsidP="00F04D98">
      <w:pPr>
        <w:spacing w:line="480" w:lineRule="auto"/>
        <w:rPr>
          <w:rFonts w:ascii="Times New Roman" w:eastAsia="Calibri" w:hAnsi="Times New Roman" w:cs="Times New Roman"/>
          <w:sz w:val="24"/>
          <w:szCs w:val="24"/>
          <w:lang w:val="en-GB"/>
        </w:rPr>
      </w:pPr>
      <w:r w:rsidRPr="008D0CD6">
        <w:rPr>
          <w:rFonts w:ascii="Times New Roman" w:eastAsia="Calibri" w:hAnsi="Times New Roman" w:cs="Times New Roman"/>
          <w:color w:val="000000"/>
          <w:sz w:val="24"/>
          <w:szCs w:val="24"/>
          <w:lang w:val="en-GB"/>
        </w:rPr>
        <w:t xml:space="preserve">Cannulae placements are illustrated </w:t>
      </w:r>
      <w:r w:rsidRPr="008D0CD6">
        <w:rPr>
          <w:rFonts w:ascii="Times New Roman" w:eastAsia="Calibri" w:hAnsi="Times New Roman" w:cs="Times New Roman"/>
          <w:sz w:val="24"/>
          <w:szCs w:val="24"/>
          <w:lang w:val="en-GB"/>
        </w:rPr>
        <w:t xml:space="preserve">in </w:t>
      </w:r>
      <w:r w:rsidRPr="008D0CD6">
        <w:rPr>
          <w:rFonts w:ascii="Times New Roman" w:eastAsia="Calibri" w:hAnsi="Times New Roman" w:cs="Times New Roman"/>
          <w:color w:val="000000"/>
          <w:sz w:val="24"/>
          <w:szCs w:val="24"/>
          <w:lang w:val="en-GB"/>
        </w:rPr>
        <w:t xml:space="preserve">Figure </w:t>
      </w:r>
      <w:r w:rsidR="00733FAE">
        <w:rPr>
          <w:rFonts w:ascii="Times New Roman" w:eastAsia="Calibri" w:hAnsi="Times New Roman" w:cs="Times New Roman"/>
          <w:color w:val="000000"/>
          <w:sz w:val="24"/>
          <w:szCs w:val="24"/>
          <w:lang w:val="en-GB"/>
        </w:rPr>
        <w:t>3</w:t>
      </w:r>
      <w:r w:rsidRPr="008D0CD6">
        <w:rPr>
          <w:rFonts w:ascii="Times New Roman" w:eastAsia="Calibri" w:hAnsi="Times New Roman" w:cs="Times New Roman"/>
          <w:color w:val="000000"/>
          <w:sz w:val="24"/>
          <w:szCs w:val="24"/>
          <w:lang w:val="en-GB"/>
        </w:rPr>
        <w:t xml:space="preserve">-figure supplement </w:t>
      </w:r>
      <w:r w:rsidR="002D7073">
        <w:rPr>
          <w:rFonts w:ascii="Times New Roman" w:eastAsia="Calibri" w:hAnsi="Times New Roman" w:cs="Times New Roman"/>
          <w:color w:val="000000"/>
          <w:sz w:val="24"/>
          <w:szCs w:val="24"/>
          <w:lang w:val="en-GB"/>
        </w:rPr>
        <w:t>1</w:t>
      </w:r>
      <w:r w:rsidRPr="008D0CD6">
        <w:rPr>
          <w:rFonts w:ascii="Times New Roman" w:eastAsia="Calibri" w:hAnsi="Times New Roman" w:cs="Times New Roman"/>
          <w:sz w:val="24"/>
          <w:szCs w:val="24"/>
          <w:lang w:val="en-GB"/>
        </w:rPr>
        <w:t>. One rat in the Muscimol condition had a blocked guide cannulae and was excluded from experimental analysis. Final numbers N = 15 (Muscimol n = 7, Saline n = 8).</w:t>
      </w:r>
    </w:p>
    <w:p w14:paraId="5473EB2F" w14:textId="77777777" w:rsidR="00EA20A3" w:rsidRPr="008D0CD6" w:rsidRDefault="00EA20A3" w:rsidP="00F04D98">
      <w:pPr>
        <w:spacing w:line="480" w:lineRule="auto"/>
        <w:rPr>
          <w:rFonts w:ascii="Times New Roman" w:eastAsia="Calibri" w:hAnsi="Times New Roman" w:cs="Times New Roman"/>
          <w:b/>
          <w:sz w:val="24"/>
          <w:szCs w:val="24"/>
          <w:lang w:val="en-GB"/>
        </w:rPr>
      </w:pPr>
      <w:r w:rsidRPr="008D0CD6">
        <w:rPr>
          <w:rFonts w:ascii="Times New Roman" w:eastAsia="Calibri" w:hAnsi="Times New Roman" w:cs="Times New Roman"/>
          <w:b/>
          <w:sz w:val="24"/>
          <w:szCs w:val="24"/>
          <w:lang w:val="en-GB"/>
        </w:rPr>
        <w:t>PreCS Rates</w:t>
      </w:r>
    </w:p>
    <w:p w14:paraId="7E123F0A" w14:textId="77777777" w:rsidR="00EA20A3" w:rsidRPr="008D0CD6" w:rsidRDefault="00EA20A3" w:rsidP="00F04D98">
      <w:pPr>
        <w:spacing w:line="480" w:lineRule="auto"/>
        <w:rPr>
          <w:rFonts w:ascii="Times New Roman" w:hAnsi="Times New Roman" w:cs="Times New Roman"/>
          <w:sz w:val="24"/>
          <w:szCs w:val="24"/>
          <w:lang w:val="en-GB"/>
        </w:rPr>
      </w:pPr>
      <w:r w:rsidRPr="008D0CD6">
        <w:rPr>
          <w:rFonts w:ascii="Times New Roman" w:hAnsi="Times New Roman" w:cs="Times New Roman"/>
          <w:sz w:val="24"/>
          <w:szCs w:val="24"/>
          <w:lang w:val="en-GB"/>
        </w:rPr>
        <w:t xml:space="preserve">PreCS responding did not differ between infusion groups across the 10 days of Pavlovian conditioning (Group </w:t>
      </w:r>
      <w:r w:rsidRPr="008D0CD6">
        <w:rPr>
          <w:rFonts w:ascii="Times New Roman" w:hAnsi="Times New Roman" w:cs="Times New Roman"/>
          <w:i/>
          <w:sz w:val="24"/>
          <w:szCs w:val="24"/>
          <w:lang w:val="en-GB"/>
        </w:rPr>
        <w:t>F</w:t>
      </w:r>
      <w:r w:rsidRPr="008D0CD6">
        <w:rPr>
          <w:rFonts w:ascii="Times New Roman" w:hAnsi="Times New Roman" w:cs="Times New Roman"/>
          <w:sz w:val="24"/>
          <w:szCs w:val="24"/>
          <w:vertAlign w:val="subscript"/>
          <w:lang w:val="en-GB"/>
        </w:rPr>
        <w:t>1,13</w:t>
      </w:r>
      <w:r w:rsidRPr="008D0CD6">
        <w:rPr>
          <w:rFonts w:ascii="Times New Roman" w:hAnsi="Times New Roman" w:cs="Times New Roman"/>
          <w:sz w:val="24"/>
          <w:szCs w:val="24"/>
          <w:lang w:val="en-GB"/>
        </w:rPr>
        <w:t xml:space="preserve"> = 2.72, </w:t>
      </w:r>
      <w:r w:rsidRPr="008D0CD6">
        <w:rPr>
          <w:rFonts w:ascii="Times New Roman" w:hAnsi="Times New Roman" w:cs="Times New Roman"/>
          <w:i/>
          <w:sz w:val="24"/>
          <w:szCs w:val="24"/>
          <w:lang w:val="en-GB"/>
        </w:rPr>
        <w:t>p</w:t>
      </w:r>
      <w:r w:rsidRPr="008D0CD6">
        <w:rPr>
          <w:rFonts w:ascii="Times New Roman" w:hAnsi="Times New Roman" w:cs="Times New Roman"/>
          <w:sz w:val="24"/>
          <w:szCs w:val="24"/>
          <w:lang w:val="en-GB"/>
        </w:rPr>
        <w:t xml:space="preserve"> = .12; Day </w:t>
      </w:r>
      <w:r w:rsidRPr="008D0CD6">
        <w:rPr>
          <w:rFonts w:ascii="Times New Roman" w:hAnsi="Times New Roman" w:cs="Times New Roman"/>
          <w:i/>
          <w:sz w:val="24"/>
          <w:szCs w:val="24"/>
          <w:lang w:val="en-GB"/>
        </w:rPr>
        <w:t>F</w:t>
      </w:r>
      <w:r w:rsidRPr="008D0CD6">
        <w:rPr>
          <w:rFonts w:ascii="Times New Roman" w:hAnsi="Times New Roman" w:cs="Times New Roman"/>
          <w:sz w:val="24"/>
          <w:szCs w:val="24"/>
          <w:vertAlign w:val="subscript"/>
          <w:lang w:val="en-GB"/>
        </w:rPr>
        <w:t>9,117</w:t>
      </w:r>
      <w:r w:rsidRPr="008D0CD6">
        <w:rPr>
          <w:rFonts w:ascii="Times New Roman" w:hAnsi="Times New Roman" w:cs="Times New Roman"/>
          <w:sz w:val="24"/>
          <w:szCs w:val="24"/>
          <w:lang w:val="en-GB"/>
        </w:rPr>
        <w:t xml:space="preserve"> = 1.49, </w:t>
      </w:r>
      <w:r w:rsidRPr="008D0CD6">
        <w:rPr>
          <w:rFonts w:ascii="Times New Roman" w:hAnsi="Times New Roman" w:cs="Times New Roman"/>
          <w:i/>
          <w:sz w:val="24"/>
          <w:szCs w:val="24"/>
          <w:lang w:val="en-GB"/>
        </w:rPr>
        <w:t>p</w:t>
      </w:r>
      <w:r w:rsidRPr="008D0CD6">
        <w:rPr>
          <w:rFonts w:ascii="Times New Roman" w:hAnsi="Times New Roman" w:cs="Times New Roman"/>
          <w:sz w:val="24"/>
          <w:szCs w:val="24"/>
          <w:lang w:val="en-GB"/>
        </w:rPr>
        <w:t xml:space="preserve"> = .16; Group x Day </w:t>
      </w:r>
      <w:r w:rsidRPr="008D0CD6">
        <w:rPr>
          <w:rFonts w:ascii="Times New Roman" w:hAnsi="Times New Roman" w:cs="Times New Roman"/>
          <w:i/>
          <w:sz w:val="24"/>
          <w:szCs w:val="24"/>
          <w:lang w:val="en-GB"/>
        </w:rPr>
        <w:t>F</w:t>
      </w:r>
      <w:r w:rsidRPr="008D0CD6">
        <w:rPr>
          <w:rFonts w:ascii="Times New Roman" w:hAnsi="Times New Roman" w:cs="Times New Roman"/>
          <w:sz w:val="24"/>
          <w:szCs w:val="24"/>
          <w:vertAlign w:val="subscript"/>
          <w:lang w:val="en-GB"/>
        </w:rPr>
        <w:t>9,117</w:t>
      </w:r>
      <w:r w:rsidRPr="008D0CD6">
        <w:rPr>
          <w:rFonts w:ascii="Times New Roman" w:hAnsi="Times New Roman" w:cs="Times New Roman"/>
          <w:sz w:val="24"/>
          <w:szCs w:val="24"/>
          <w:lang w:val="en-GB"/>
        </w:rPr>
        <w:t xml:space="preserve"> = 2.72, </w:t>
      </w:r>
      <w:r w:rsidRPr="008D0CD6">
        <w:rPr>
          <w:rFonts w:ascii="Times New Roman" w:hAnsi="Times New Roman" w:cs="Times New Roman"/>
          <w:i/>
          <w:sz w:val="24"/>
          <w:szCs w:val="24"/>
          <w:lang w:val="en-GB"/>
        </w:rPr>
        <w:t>p</w:t>
      </w:r>
      <w:r w:rsidRPr="008D0CD6">
        <w:rPr>
          <w:rFonts w:ascii="Times New Roman" w:hAnsi="Times New Roman" w:cs="Times New Roman"/>
          <w:sz w:val="24"/>
          <w:szCs w:val="24"/>
          <w:lang w:val="en-GB"/>
        </w:rPr>
        <w:t xml:space="preserve"> = .25).</w:t>
      </w:r>
    </w:p>
    <w:p w14:paraId="1D096217" w14:textId="1F60D9D6" w:rsidR="00EA20A3" w:rsidRPr="008D0CD6" w:rsidRDefault="00EA20A3" w:rsidP="00F04D98">
      <w:pPr>
        <w:pStyle w:val="BodyText"/>
        <w:spacing w:line="480" w:lineRule="auto"/>
        <w:jc w:val="center"/>
        <w:rPr>
          <w:lang w:val="en-GB"/>
        </w:rPr>
      </w:pPr>
      <w:r w:rsidRPr="008D0CD6">
        <w:rPr>
          <w:b/>
          <w:lang w:val="en-GB"/>
        </w:rPr>
        <w:t xml:space="preserve">Experiment </w:t>
      </w:r>
      <w:r w:rsidR="002C1FD2">
        <w:rPr>
          <w:b/>
          <w:lang w:val="en-GB"/>
        </w:rPr>
        <w:t>3</w:t>
      </w:r>
      <w:r w:rsidRPr="008D0CD6">
        <w:rPr>
          <w:b/>
          <w:lang w:val="en-GB"/>
        </w:rPr>
        <w:t>: OFC inactivation prior to associative blocking</w:t>
      </w:r>
    </w:p>
    <w:p w14:paraId="0C04BEC9" w14:textId="77777777" w:rsidR="00EA20A3" w:rsidRPr="008D0CD6" w:rsidRDefault="00EA20A3" w:rsidP="00F04D98">
      <w:pPr>
        <w:spacing w:line="480" w:lineRule="auto"/>
        <w:rPr>
          <w:rFonts w:ascii="Times New Roman" w:eastAsia="Calibri" w:hAnsi="Times New Roman" w:cs="Times New Roman"/>
          <w:b/>
          <w:color w:val="000000"/>
          <w:sz w:val="24"/>
          <w:szCs w:val="24"/>
          <w:highlight w:val="yellow"/>
          <w:lang w:val="en-GB"/>
        </w:rPr>
      </w:pPr>
      <w:r w:rsidRPr="008D0CD6">
        <w:rPr>
          <w:rFonts w:ascii="Times New Roman" w:eastAsia="Calibri" w:hAnsi="Times New Roman" w:cs="Times New Roman"/>
          <w:b/>
          <w:color w:val="000000"/>
          <w:sz w:val="24"/>
          <w:szCs w:val="24"/>
          <w:lang w:val="en-GB"/>
        </w:rPr>
        <w:lastRenderedPageBreak/>
        <w:t>Subjects</w:t>
      </w:r>
    </w:p>
    <w:p w14:paraId="2D17E1DD"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 xml:space="preserve">Subjects were thirty-two (total N = 32) male Long Evans rats (Monash Animal Services, Gippsland, Victoria, Australia) approximately 4 months old, weighing between 299-395 g (M = 331.5 g). </w:t>
      </w:r>
    </w:p>
    <w:p w14:paraId="0840A1A6"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r w:rsidRPr="008D0CD6">
        <w:rPr>
          <w:rFonts w:ascii="Times New Roman" w:eastAsia="Calibri" w:hAnsi="Times New Roman" w:cs="Times New Roman"/>
          <w:b/>
          <w:color w:val="000000"/>
          <w:sz w:val="24"/>
          <w:szCs w:val="24"/>
          <w:lang w:val="en-GB"/>
        </w:rPr>
        <w:t>Surgery</w:t>
      </w:r>
    </w:p>
    <w:p w14:paraId="3285FFEC"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Surgical implantation of cannulae occurred prior to any behavioural training.</w:t>
      </w:r>
    </w:p>
    <w:p w14:paraId="59B7D76D"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28" w:name="_Toc417305064"/>
      <w:r w:rsidRPr="008D0CD6">
        <w:rPr>
          <w:rFonts w:ascii="Times New Roman" w:eastAsia="Calibri" w:hAnsi="Times New Roman" w:cs="Times New Roman"/>
          <w:b/>
          <w:color w:val="000000"/>
          <w:sz w:val="24"/>
          <w:szCs w:val="24"/>
          <w:lang w:val="en-GB"/>
        </w:rPr>
        <w:t>Training</w:t>
      </w:r>
      <w:bookmarkEnd w:id="28"/>
    </w:p>
    <w:p w14:paraId="7CD05081"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The design of the experiment was such that 4 CSs were designated as cues A, B, C and D. Cues A and C were always visual cues, either darkness caused by extinguishing the houselight or flashing panel lights (5Hz; Figure 3A). Cues B and D were always auditory cues, either an 80dB white noise or a 5Hz train of clicks. Throughout all training sessions the house light was always illuminated unless it was extinguished to act as a visual cue. All cues lasted 10s and co-terminated with the delivery of the US, 2 pellets delivered consecutively 0.25s apart. The identity of the cues was counterbalanced between subjects except that A and C were always visual cues and B and D were always auditory cues. Simultaneous audio-visual compounds were designated as AB and CD. Pavlovian training sessions were always 56 mins long such that there were 16 trials with a vITI 200s (range 100 to 300s); animals were left in the chambers for an additional 2 mins before being removed.</w:t>
      </w:r>
    </w:p>
    <w:p w14:paraId="5EAD51E2"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29" w:name="_Toc417305065"/>
      <w:r w:rsidRPr="008D0CD6">
        <w:rPr>
          <w:rFonts w:ascii="Times New Roman" w:eastAsia="Times New Roman" w:hAnsi="Times New Roman" w:cs="Times New Roman"/>
          <w:b/>
          <w:i/>
          <w:color w:val="000000"/>
          <w:sz w:val="24"/>
          <w:szCs w:val="24"/>
          <w:lang w:val="en-GB"/>
        </w:rPr>
        <w:t>Food Restriction and Magazine Training</w:t>
      </w:r>
      <w:bookmarkEnd w:id="29"/>
    </w:p>
    <w:p w14:paraId="3A2B3008"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Magazine training sessions consisted of an RT120s reward delivery schedule for 16 rewards. Each reward consisted of 2 pellets delivered to the magazine 0.25s apart.</w:t>
      </w:r>
    </w:p>
    <w:p w14:paraId="25DE7016"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30" w:name="_Toc417305066"/>
      <w:r w:rsidRPr="008D0CD6">
        <w:rPr>
          <w:rFonts w:ascii="Times New Roman" w:eastAsia="Times New Roman" w:hAnsi="Times New Roman" w:cs="Times New Roman"/>
          <w:b/>
          <w:i/>
          <w:color w:val="000000"/>
          <w:sz w:val="24"/>
          <w:szCs w:val="24"/>
          <w:lang w:val="en-GB"/>
        </w:rPr>
        <w:lastRenderedPageBreak/>
        <w:t>Stage 1</w:t>
      </w:r>
      <w:bookmarkEnd w:id="30"/>
    </w:p>
    <w:p w14:paraId="617EB2EA"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Stage 1 acquisition involved 10 days of acquisition to cue A, 16 trials per session. On days 1-4 of training all animals received dummy infusions to familiarise them to the infusion procedure. Animals were then split into two groups with matched performance on day 4. On days 5-10 all animals received an infusion of saline or muscimol immediately prior to entering the test chambers.</w:t>
      </w:r>
    </w:p>
    <w:p w14:paraId="54A29A51"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31" w:name="_Toc417305067"/>
      <w:r w:rsidRPr="008D0CD6">
        <w:rPr>
          <w:rFonts w:ascii="Times New Roman" w:eastAsia="Times New Roman" w:hAnsi="Times New Roman" w:cs="Times New Roman"/>
          <w:b/>
          <w:i/>
          <w:color w:val="000000"/>
          <w:sz w:val="24"/>
          <w:szCs w:val="24"/>
          <w:lang w:val="en-GB"/>
        </w:rPr>
        <w:t>Pre-exposure</w:t>
      </w:r>
      <w:bookmarkEnd w:id="31"/>
    </w:p>
    <w:p w14:paraId="7D06F10F"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On day 11 all rats received pre-exposure to auditory cues B and D, 4 non-rewarded presentations of each cue vITI 200s. This was done to minimise novelty to the auditory cues during compound training in stage 2. All animals received dummy infusions prior to the session.</w:t>
      </w:r>
    </w:p>
    <w:p w14:paraId="0E5AD246"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32" w:name="_Toc417305068"/>
      <w:r w:rsidRPr="008D0CD6">
        <w:rPr>
          <w:rFonts w:ascii="Times New Roman" w:eastAsia="Times New Roman" w:hAnsi="Times New Roman" w:cs="Times New Roman"/>
          <w:b/>
          <w:i/>
          <w:color w:val="000000"/>
          <w:sz w:val="24"/>
          <w:szCs w:val="24"/>
          <w:lang w:val="en-GB"/>
        </w:rPr>
        <w:t>Stage 2</w:t>
      </w:r>
      <w:bookmarkEnd w:id="32"/>
    </w:p>
    <w:p w14:paraId="4D418ACA"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On days 12-14 all animals received stage 2 audio-visual compound training. Sessions involved 8 presentations of compound AB and 8 presentations of CD (pseudo randomly presented such that a compound was never repeated more than 2 times in a row). The compounds were rewarded with 2 pellets, the same US that was used in stage 1.  All animals received dummy infusions prior to each session.</w:t>
      </w:r>
    </w:p>
    <w:p w14:paraId="66764C89"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33" w:name="_Toc417305069"/>
      <w:r w:rsidRPr="008D0CD6">
        <w:rPr>
          <w:rFonts w:ascii="Times New Roman" w:eastAsia="Times New Roman" w:hAnsi="Times New Roman" w:cs="Times New Roman"/>
          <w:b/>
          <w:i/>
          <w:color w:val="000000"/>
          <w:sz w:val="24"/>
          <w:szCs w:val="24"/>
          <w:lang w:val="en-GB"/>
        </w:rPr>
        <w:t>Test</w:t>
      </w:r>
      <w:bookmarkEnd w:id="33"/>
    </w:p>
    <w:p w14:paraId="636305D9"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On day 15 and 16 all animals were tested in extinction for responding to the target auditory cue B and the overshadowing control cue D (8 presentations of each cue, pseudorandom trial order, vITI 200s).  All animals received dummy infusions prior to each session.</w:t>
      </w:r>
    </w:p>
    <w:p w14:paraId="68E44D1E" w14:textId="77777777" w:rsidR="00EA20A3" w:rsidRPr="008D0CD6" w:rsidRDefault="00EA20A3" w:rsidP="00F04D98">
      <w:pPr>
        <w:spacing w:after="240" w:line="480" w:lineRule="auto"/>
        <w:ind w:left="720"/>
        <w:rPr>
          <w:rFonts w:ascii="Times New Roman" w:eastAsia="Times New Roman" w:hAnsi="Times New Roman" w:cs="Times New Roman"/>
          <w:b/>
          <w:i/>
          <w:color w:val="000000"/>
          <w:sz w:val="24"/>
          <w:szCs w:val="24"/>
          <w:lang w:val="en-GB"/>
        </w:rPr>
      </w:pPr>
      <w:bookmarkStart w:id="34" w:name="_Toc417305070"/>
      <w:r w:rsidRPr="008D0CD6">
        <w:rPr>
          <w:rFonts w:ascii="Times New Roman" w:eastAsia="Times New Roman" w:hAnsi="Times New Roman" w:cs="Times New Roman"/>
          <w:b/>
          <w:i/>
          <w:color w:val="000000"/>
          <w:sz w:val="24"/>
          <w:szCs w:val="24"/>
          <w:lang w:val="en-GB"/>
        </w:rPr>
        <w:lastRenderedPageBreak/>
        <w:t>Re-acquisition</w:t>
      </w:r>
      <w:bookmarkEnd w:id="34"/>
    </w:p>
    <w:p w14:paraId="196F5855" w14:textId="77777777" w:rsidR="00EA20A3" w:rsidRPr="008D0CD6" w:rsidRDefault="00EA20A3" w:rsidP="00F04D98">
      <w:pPr>
        <w:spacing w:after="240" w:line="480" w:lineRule="auto"/>
        <w:rPr>
          <w:rFonts w:ascii="Times New Roman" w:eastAsia="Calibri" w:hAnsi="Times New Roman" w:cs="Times New Roman"/>
          <w:color w:val="000000"/>
          <w:sz w:val="24"/>
          <w:szCs w:val="24"/>
          <w:lang w:val="en-GB"/>
        </w:rPr>
      </w:pPr>
      <w:r w:rsidRPr="008D0CD6">
        <w:rPr>
          <w:rFonts w:ascii="Times New Roman" w:eastAsia="Calibri" w:hAnsi="Times New Roman" w:cs="Times New Roman"/>
          <w:color w:val="000000"/>
          <w:sz w:val="24"/>
          <w:szCs w:val="24"/>
          <w:lang w:val="en-GB"/>
        </w:rPr>
        <w:t>On days 17-19, all animals received re-acquisition training to cue B (16 trials per session) to test for differences in rates of re-acquisition to the blocked cue. On days 20-21 animals were tested for re-acquisition to cue A (16 trials per session) to test for differences in the rate of re-acquisition to the blocking cue.</w:t>
      </w:r>
    </w:p>
    <w:p w14:paraId="5F9C85F3" w14:textId="77777777" w:rsidR="00EA20A3" w:rsidRPr="008D0CD6" w:rsidRDefault="00EA20A3" w:rsidP="00F04D98">
      <w:pPr>
        <w:spacing w:line="480" w:lineRule="auto"/>
        <w:jc w:val="center"/>
        <w:rPr>
          <w:rFonts w:ascii="Times New Roman" w:eastAsia="Calibri" w:hAnsi="Times New Roman" w:cs="Times New Roman"/>
          <w:b/>
          <w:color w:val="000000"/>
          <w:sz w:val="24"/>
          <w:szCs w:val="24"/>
          <w:lang w:val="en-GB"/>
        </w:rPr>
      </w:pPr>
      <w:bookmarkStart w:id="35" w:name="_Toc417305071"/>
      <w:bookmarkStart w:id="36" w:name="_Toc417312609"/>
      <w:r w:rsidRPr="008D0CD6">
        <w:rPr>
          <w:rFonts w:ascii="Times New Roman" w:eastAsia="Calibri" w:hAnsi="Times New Roman" w:cs="Times New Roman"/>
          <w:b/>
          <w:color w:val="000000"/>
          <w:sz w:val="24"/>
          <w:szCs w:val="24"/>
          <w:lang w:val="en-GB"/>
        </w:rPr>
        <w:t>Results</w:t>
      </w:r>
      <w:bookmarkEnd w:id="35"/>
      <w:bookmarkEnd w:id="36"/>
    </w:p>
    <w:p w14:paraId="12CBA9A6" w14:textId="77777777" w:rsidR="00EA20A3" w:rsidRPr="008D0CD6" w:rsidRDefault="00EA20A3" w:rsidP="00F04D98">
      <w:pPr>
        <w:spacing w:line="480" w:lineRule="auto"/>
        <w:rPr>
          <w:rFonts w:ascii="Times New Roman" w:eastAsia="Calibri" w:hAnsi="Times New Roman" w:cs="Times New Roman"/>
          <w:b/>
          <w:color w:val="000000"/>
          <w:sz w:val="24"/>
          <w:szCs w:val="24"/>
          <w:lang w:val="en-GB"/>
        </w:rPr>
      </w:pPr>
      <w:bookmarkStart w:id="37" w:name="_Toc417305073"/>
      <w:r w:rsidRPr="008D0CD6">
        <w:rPr>
          <w:rFonts w:ascii="Times New Roman" w:eastAsia="Calibri" w:hAnsi="Times New Roman" w:cs="Times New Roman"/>
          <w:b/>
          <w:color w:val="000000"/>
          <w:sz w:val="24"/>
          <w:szCs w:val="24"/>
          <w:lang w:val="en-GB"/>
        </w:rPr>
        <w:t>Histology and Group Allocation</w:t>
      </w:r>
      <w:bookmarkEnd w:id="37"/>
    </w:p>
    <w:p w14:paraId="43831D78" w14:textId="236F2680" w:rsidR="00EA20A3" w:rsidRPr="0063312B" w:rsidRDefault="00EA20A3" w:rsidP="00F04D98">
      <w:pPr>
        <w:spacing w:after="0" w:line="480" w:lineRule="auto"/>
        <w:rPr>
          <w:rFonts w:ascii="Times New Roman" w:eastAsia="Times New Roman" w:hAnsi="Times New Roman" w:cs="Times New Roman"/>
          <w:color w:val="000000"/>
          <w:sz w:val="24"/>
          <w:szCs w:val="24"/>
          <w:lang w:val="en-GB" w:eastAsia="en-AU"/>
        </w:rPr>
      </w:pPr>
      <w:r w:rsidRPr="008D0CD6">
        <w:rPr>
          <w:rFonts w:ascii="Times New Roman" w:eastAsia="Calibri" w:hAnsi="Times New Roman" w:cs="Times New Roman"/>
          <w:color w:val="000000"/>
          <w:sz w:val="24"/>
          <w:szCs w:val="24"/>
          <w:lang w:val="en-GB"/>
        </w:rPr>
        <w:t xml:space="preserve">Cannulae placements are illustrated </w:t>
      </w:r>
      <w:r w:rsidRPr="008D0CD6">
        <w:rPr>
          <w:rFonts w:ascii="Times New Roman" w:eastAsia="Calibri" w:hAnsi="Times New Roman" w:cs="Times New Roman"/>
          <w:sz w:val="24"/>
          <w:szCs w:val="24"/>
          <w:lang w:val="en-GB"/>
        </w:rPr>
        <w:t xml:space="preserve">in </w:t>
      </w:r>
      <w:r w:rsidRPr="008D0CD6">
        <w:rPr>
          <w:rFonts w:ascii="Times New Roman" w:eastAsia="Calibri" w:hAnsi="Times New Roman" w:cs="Times New Roman"/>
          <w:color w:val="000000"/>
          <w:sz w:val="24"/>
          <w:szCs w:val="24"/>
          <w:lang w:val="en-GB"/>
        </w:rPr>
        <w:t xml:space="preserve">Figure 3-figure supplement </w:t>
      </w:r>
      <w:r w:rsidR="001D5F7B">
        <w:rPr>
          <w:rFonts w:ascii="Times New Roman" w:eastAsia="Calibri" w:hAnsi="Times New Roman" w:cs="Times New Roman"/>
          <w:color w:val="000000"/>
          <w:sz w:val="24"/>
          <w:szCs w:val="24"/>
          <w:lang w:val="en-GB"/>
        </w:rPr>
        <w:t>3</w:t>
      </w:r>
      <w:r w:rsidRPr="008D0CD6">
        <w:rPr>
          <w:rFonts w:ascii="Times New Roman" w:eastAsia="Times New Roman" w:hAnsi="Times New Roman" w:cs="Times New Roman"/>
          <w:color w:val="000000"/>
          <w:sz w:val="24"/>
          <w:szCs w:val="24"/>
          <w:lang w:val="en-GB" w:eastAsia="en-AU"/>
        </w:rPr>
        <w:t xml:space="preserve">. 1 animal failed to consume pellets throughout the experiment and was excluded from testing. One animal from the muscimol group lost its cannula assembly during the infusion period and was excluded from testing. One animal in the muscimol group was euthanized due to severe illness. A further 2 animals were excluded after histological analysis revealed that the cannulae were only unilaterally targeting DLO and LO. Therefore, a total of 6 animals were excluded leaving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26 (saline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13, muscimol </w:t>
      </w:r>
      <w:r w:rsidRPr="008D0CD6">
        <w:rPr>
          <w:rFonts w:ascii="Times New Roman" w:eastAsia="Times New Roman" w:hAnsi="Times New Roman" w:cs="Times New Roman"/>
          <w:i/>
          <w:color w:val="000000"/>
          <w:sz w:val="24"/>
          <w:szCs w:val="24"/>
          <w:lang w:val="en-GB" w:eastAsia="en-AU"/>
        </w:rPr>
        <w:t>n</w:t>
      </w:r>
      <w:r w:rsidRPr="008D0CD6">
        <w:rPr>
          <w:rFonts w:ascii="Times New Roman" w:eastAsia="Times New Roman" w:hAnsi="Times New Roman" w:cs="Times New Roman"/>
          <w:color w:val="000000"/>
          <w:sz w:val="24"/>
          <w:szCs w:val="24"/>
          <w:lang w:val="en-GB" w:eastAsia="en-AU"/>
        </w:rPr>
        <w:t xml:space="preserve"> = 13).</w:t>
      </w:r>
    </w:p>
    <w:p w14:paraId="180E6CBF" w14:textId="77777777" w:rsidR="00EA20A3" w:rsidRPr="008D0CD6" w:rsidRDefault="00EA20A3" w:rsidP="00F04D98">
      <w:pPr>
        <w:spacing w:line="480" w:lineRule="auto"/>
        <w:rPr>
          <w:rFonts w:ascii="Times New Roman" w:eastAsia="Times New Roman" w:hAnsi="Times New Roman" w:cs="Times New Roman"/>
          <w:color w:val="000000"/>
          <w:sz w:val="24"/>
          <w:szCs w:val="24"/>
          <w:lang w:val="en-GB" w:eastAsia="en-AU"/>
        </w:rPr>
      </w:pPr>
      <w:bookmarkStart w:id="38" w:name="_Toc417305074"/>
      <w:r w:rsidRPr="008D0CD6">
        <w:rPr>
          <w:rFonts w:ascii="Times New Roman" w:eastAsia="Calibri" w:hAnsi="Times New Roman" w:cs="Times New Roman"/>
          <w:b/>
          <w:color w:val="000000"/>
          <w:sz w:val="24"/>
          <w:szCs w:val="24"/>
          <w:lang w:val="en-GB"/>
        </w:rPr>
        <w:t>PreCS Responding</w:t>
      </w:r>
      <w:bookmarkEnd w:id="38"/>
    </w:p>
    <w:p w14:paraId="2C6FEC2B" w14:textId="6F42A8C2" w:rsidR="0043230E" w:rsidRPr="00873394" w:rsidRDefault="00EA20A3" w:rsidP="00F04D98">
      <w:pPr>
        <w:spacing w:line="480" w:lineRule="auto"/>
        <w:rPr>
          <w:rFonts w:ascii="Times New Roman" w:eastAsia="Calibri" w:hAnsi="Times New Roman" w:cs="Times New Roman"/>
          <w:sz w:val="24"/>
          <w:szCs w:val="24"/>
          <w:lang w:val="en-GB"/>
        </w:rPr>
      </w:pPr>
      <w:r w:rsidRPr="008D0CD6">
        <w:rPr>
          <w:rFonts w:ascii="Times New Roman" w:eastAsia="Calibri" w:hAnsi="Times New Roman" w:cs="Times New Roman"/>
          <w:color w:val="000000"/>
          <w:sz w:val="24"/>
          <w:szCs w:val="24"/>
          <w:lang w:val="en-GB"/>
        </w:rPr>
        <w:t xml:space="preserve">Baseline levels of responding did not differ between groups during training, and on the final day of infusions (day 10 of stage 1) preCS response rates (10s) were saline </w:t>
      </w:r>
      <w:r w:rsidRPr="008D0CD6">
        <w:rPr>
          <w:rFonts w:ascii="Times New Roman" w:eastAsia="Calibri" w:hAnsi="Times New Roman" w:cs="Times New Roman"/>
          <w:i/>
          <w:color w:val="000000"/>
          <w:sz w:val="24"/>
          <w:szCs w:val="24"/>
          <w:lang w:val="en-GB"/>
        </w:rPr>
        <w:t>M</w:t>
      </w:r>
      <w:r w:rsidRPr="008D0CD6">
        <w:rPr>
          <w:rFonts w:ascii="Times New Roman" w:eastAsia="Calibri" w:hAnsi="Times New Roman" w:cs="Times New Roman"/>
          <w:color w:val="000000"/>
          <w:sz w:val="24"/>
          <w:szCs w:val="24"/>
          <w:lang w:val="en-GB"/>
        </w:rPr>
        <w:t xml:space="preserve"> = 0.122, </w:t>
      </w:r>
      <w:r w:rsidRPr="008D0CD6">
        <w:rPr>
          <w:rFonts w:ascii="Times New Roman" w:eastAsia="Calibri" w:hAnsi="Times New Roman" w:cs="Times New Roman"/>
          <w:i/>
          <w:color w:val="000000"/>
          <w:sz w:val="24"/>
          <w:szCs w:val="24"/>
          <w:lang w:val="en-GB"/>
        </w:rPr>
        <w:t>SD</w:t>
      </w:r>
      <w:r w:rsidRPr="008D0CD6">
        <w:rPr>
          <w:rFonts w:ascii="Times New Roman" w:eastAsia="Calibri" w:hAnsi="Times New Roman" w:cs="Times New Roman"/>
          <w:color w:val="000000"/>
          <w:sz w:val="24"/>
          <w:szCs w:val="24"/>
          <w:lang w:val="en-GB"/>
        </w:rPr>
        <w:t xml:space="preserve"> = 0.24, muscimol </w:t>
      </w:r>
      <w:r w:rsidRPr="008D0CD6">
        <w:rPr>
          <w:rFonts w:ascii="Times New Roman" w:eastAsia="Calibri" w:hAnsi="Times New Roman" w:cs="Times New Roman"/>
          <w:i/>
          <w:color w:val="000000"/>
          <w:sz w:val="24"/>
          <w:szCs w:val="24"/>
          <w:lang w:val="en-GB"/>
        </w:rPr>
        <w:t>M</w:t>
      </w:r>
      <w:r w:rsidRPr="008D0CD6">
        <w:rPr>
          <w:rFonts w:ascii="Times New Roman" w:eastAsia="Calibri" w:hAnsi="Times New Roman" w:cs="Times New Roman"/>
          <w:color w:val="000000"/>
          <w:sz w:val="24"/>
          <w:szCs w:val="24"/>
          <w:lang w:val="en-GB"/>
        </w:rPr>
        <w:t xml:space="preserve"> = 0.67, </w:t>
      </w:r>
      <w:r w:rsidRPr="008D0CD6">
        <w:rPr>
          <w:rFonts w:ascii="Times New Roman" w:eastAsia="Calibri" w:hAnsi="Times New Roman" w:cs="Times New Roman"/>
          <w:i/>
          <w:color w:val="000000"/>
          <w:sz w:val="24"/>
          <w:szCs w:val="24"/>
          <w:lang w:val="en-GB"/>
        </w:rPr>
        <w:t>SD</w:t>
      </w:r>
      <w:r w:rsidRPr="008D0CD6">
        <w:rPr>
          <w:rFonts w:ascii="Times New Roman" w:eastAsia="Calibri" w:hAnsi="Times New Roman" w:cs="Times New Roman"/>
          <w:color w:val="000000"/>
          <w:sz w:val="24"/>
          <w:szCs w:val="24"/>
          <w:lang w:val="en-GB"/>
        </w:rPr>
        <w:t xml:space="preserve"> = 0.87. These observations were supported by mixed Group x Day ANOVAs on preCS responding in stage1 suggesting that there were no group differences on days 1-4 prior to infusion (all </w:t>
      </w:r>
      <w:r w:rsidRPr="008D0CD6">
        <w:rPr>
          <w:rFonts w:ascii="Times New Roman" w:eastAsia="Calibri" w:hAnsi="Times New Roman" w:cs="Times New Roman"/>
          <w:i/>
          <w:color w:val="000000"/>
          <w:sz w:val="24"/>
          <w:szCs w:val="24"/>
          <w:lang w:val="en-GB"/>
        </w:rPr>
        <w:t xml:space="preserve">F </w:t>
      </w:r>
      <w:r w:rsidRPr="008D0CD6">
        <w:rPr>
          <w:rFonts w:ascii="Times New Roman" w:eastAsia="Calibri" w:hAnsi="Times New Roman" w:cs="Times New Roman"/>
          <w:color w:val="000000"/>
          <w:sz w:val="24"/>
          <w:szCs w:val="24"/>
          <w:lang w:val="en-GB"/>
        </w:rPr>
        <w:t xml:space="preserve">&lt; 1.69, </w:t>
      </w:r>
      <w:r w:rsidRPr="008D0CD6">
        <w:rPr>
          <w:rFonts w:ascii="Times New Roman" w:eastAsia="Calibri" w:hAnsi="Times New Roman" w:cs="Times New Roman"/>
          <w:i/>
          <w:color w:val="000000"/>
          <w:sz w:val="24"/>
          <w:szCs w:val="24"/>
          <w:lang w:val="en-GB"/>
        </w:rPr>
        <w:t>p</w:t>
      </w:r>
      <w:r w:rsidRPr="008D0CD6">
        <w:rPr>
          <w:rFonts w:ascii="Times New Roman" w:eastAsia="Calibri" w:hAnsi="Times New Roman" w:cs="Times New Roman"/>
          <w:color w:val="000000"/>
          <w:sz w:val="24"/>
          <w:szCs w:val="24"/>
          <w:lang w:val="en-GB"/>
        </w:rPr>
        <w:t xml:space="preserve"> &gt; .21) or on days 5-10 during infusions (significant main effect of Day </w:t>
      </w:r>
      <w:r w:rsidRPr="008D0CD6">
        <w:rPr>
          <w:rFonts w:ascii="Times New Roman" w:eastAsia="Calibri" w:hAnsi="Times New Roman" w:cs="Times New Roman"/>
          <w:i/>
          <w:iCs/>
          <w:color w:val="000000"/>
          <w:sz w:val="24"/>
          <w:szCs w:val="24"/>
          <w:lang w:val="en-GB"/>
        </w:rPr>
        <w:t>F</w:t>
      </w:r>
      <w:r w:rsidRPr="008D0CD6">
        <w:rPr>
          <w:rFonts w:ascii="Times New Roman" w:eastAsia="Calibri" w:hAnsi="Times New Roman" w:cs="Times New Roman"/>
          <w:color w:val="000000"/>
          <w:sz w:val="24"/>
          <w:szCs w:val="24"/>
          <w:vertAlign w:val="subscript"/>
          <w:lang w:val="en-GB"/>
        </w:rPr>
        <w:t>(5, 120)</w:t>
      </w:r>
      <w:r w:rsidRPr="008D0CD6">
        <w:rPr>
          <w:rFonts w:ascii="Times New Roman" w:eastAsia="Calibri" w:hAnsi="Times New Roman" w:cs="Times New Roman"/>
          <w:color w:val="000000"/>
          <w:sz w:val="24"/>
          <w:szCs w:val="24"/>
          <w:lang w:val="en-GB"/>
        </w:rPr>
        <w:t xml:space="preserve"> = 15.21,</w:t>
      </w:r>
      <w:r w:rsidRPr="008D0CD6">
        <w:rPr>
          <w:rFonts w:ascii="Times New Roman" w:eastAsia="Calibri" w:hAnsi="Times New Roman" w:cs="Times New Roman"/>
          <w:i/>
          <w:iCs/>
          <w:color w:val="000000"/>
          <w:sz w:val="24"/>
          <w:szCs w:val="24"/>
          <w:lang w:val="en-GB"/>
        </w:rPr>
        <w:t xml:space="preserve"> p</w:t>
      </w:r>
      <w:r w:rsidRPr="008D0CD6">
        <w:rPr>
          <w:rFonts w:ascii="Times New Roman" w:eastAsia="Calibri" w:hAnsi="Times New Roman" w:cs="Times New Roman"/>
          <w:color w:val="000000"/>
          <w:sz w:val="24"/>
          <w:szCs w:val="24"/>
          <w:lang w:val="en-GB"/>
        </w:rPr>
        <w:t xml:space="preserve"> &lt; .001, all </w:t>
      </w:r>
      <w:r w:rsidRPr="008D0CD6">
        <w:rPr>
          <w:rFonts w:ascii="Times New Roman" w:eastAsia="Calibri" w:hAnsi="Times New Roman" w:cs="Times New Roman"/>
          <w:sz w:val="24"/>
          <w:szCs w:val="24"/>
          <w:lang w:val="en-GB"/>
        </w:rPr>
        <w:t xml:space="preserve">remaining </w:t>
      </w:r>
      <w:r w:rsidRPr="008D0CD6">
        <w:rPr>
          <w:rFonts w:ascii="Times New Roman" w:eastAsia="Calibri" w:hAnsi="Times New Roman" w:cs="Times New Roman"/>
          <w:i/>
          <w:sz w:val="24"/>
          <w:szCs w:val="24"/>
          <w:lang w:val="en-GB"/>
        </w:rPr>
        <w:t xml:space="preserve">F </w:t>
      </w:r>
      <w:r w:rsidRPr="008D0CD6">
        <w:rPr>
          <w:rFonts w:ascii="Times New Roman" w:eastAsia="Calibri" w:hAnsi="Times New Roman" w:cs="Times New Roman"/>
          <w:sz w:val="24"/>
          <w:szCs w:val="24"/>
          <w:lang w:val="en-GB"/>
        </w:rPr>
        <w:t xml:space="preserve">&lt; 1.00, </w:t>
      </w:r>
      <w:r w:rsidRPr="008D0CD6">
        <w:rPr>
          <w:rFonts w:ascii="Times New Roman" w:eastAsia="Calibri" w:hAnsi="Times New Roman" w:cs="Times New Roman"/>
          <w:i/>
          <w:sz w:val="24"/>
          <w:szCs w:val="24"/>
          <w:lang w:val="en-GB"/>
        </w:rPr>
        <w:t>p</w:t>
      </w:r>
      <w:r w:rsidRPr="008D0CD6">
        <w:rPr>
          <w:rFonts w:ascii="Times New Roman" w:eastAsia="Calibri" w:hAnsi="Times New Roman" w:cs="Times New Roman"/>
          <w:sz w:val="24"/>
          <w:szCs w:val="24"/>
          <w:lang w:val="en-GB"/>
        </w:rPr>
        <w:t xml:space="preserve"> &gt; .50).</w:t>
      </w:r>
    </w:p>
    <w:sectPr w:rsidR="0043230E" w:rsidRPr="0087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53"/>
    <w:rsid w:val="00000602"/>
    <w:rsid w:val="00010707"/>
    <w:rsid w:val="00013082"/>
    <w:rsid w:val="000138A9"/>
    <w:rsid w:val="00014210"/>
    <w:rsid w:val="00034449"/>
    <w:rsid w:val="00034929"/>
    <w:rsid w:val="000421F5"/>
    <w:rsid w:val="00054192"/>
    <w:rsid w:val="000546A3"/>
    <w:rsid w:val="0006340D"/>
    <w:rsid w:val="00070894"/>
    <w:rsid w:val="0008038B"/>
    <w:rsid w:val="00082090"/>
    <w:rsid w:val="000823B3"/>
    <w:rsid w:val="00086177"/>
    <w:rsid w:val="00096AB1"/>
    <w:rsid w:val="00097F82"/>
    <w:rsid w:val="000A6F1C"/>
    <w:rsid w:val="000B7F36"/>
    <w:rsid w:val="000C0F98"/>
    <w:rsid w:val="000C3947"/>
    <w:rsid w:val="000D4D18"/>
    <w:rsid w:val="000D5EB8"/>
    <w:rsid w:val="000E07DF"/>
    <w:rsid w:val="000E75D6"/>
    <w:rsid w:val="000F511E"/>
    <w:rsid w:val="001005BA"/>
    <w:rsid w:val="001203D8"/>
    <w:rsid w:val="00137D91"/>
    <w:rsid w:val="001479B4"/>
    <w:rsid w:val="00155B6D"/>
    <w:rsid w:val="00164B32"/>
    <w:rsid w:val="0017534B"/>
    <w:rsid w:val="00181C26"/>
    <w:rsid w:val="0018779C"/>
    <w:rsid w:val="001A5160"/>
    <w:rsid w:val="001A68A7"/>
    <w:rsid w:val="001B11FA"/>
    <w:rsid w:val="001B52E5"/>
    <w:rsid w:val="001B71AE"/>
    <w:rsid w:val="001D5F7B"/>
    <w:rsid w:val="001E7F0F"/>
    <w:rsid w:val="001F06F9"/>
    <w:rsid w:val="00227853"/>
    <w:rsid w:val="00233B2B"/>
    <w:rsid w:val="00234420"/>
    <w:rsid w:val="0024781A"/>
    <w:rsid w:val="002741CC"/>
    <w:rsid w:val="002800FD"/>
    <w:rsid w:val="002B4824"/>
    <w:rsid w:val="002C1FD2"/>
    <w:rsid w:val="002C3CC2"/>
    <w:rsid w:val="002C59AB"/>
    <w:rsid w:val="002C5BA1"/>
    <w:rsid w:val="002D1186"/>
    <w:rsid w:val="002D602B"/>
    <w:rsid w:val="002D7073"/>
    <w:rsid w:val="002E4B64"/>
    <w:rsid w:val="002F1014"/>
    <w:rsid w:val="00305542"/>
    <w:rsid w:val="00311884"/>
    <w:rsid w:val="0032309D"/>
    <w:rsid w:val="0032469E"/>
    <w:rsid w:val="00333B58"/>
    <w:rsid w:val="00334182"/>
    <w:rsid w:val="00340F9D"/>
    <w:rsid w:val="00362515"/>
    <w:rsid w:val="003638D9"/>
    <w:rsid w:val="003A0122"/>
    <w:rsid w:val="003A1D65"/>
    <w:rsid w:val="003A29DA"/>
    <w:rsid w:val="003A2BED"/>
    <w:rsid w:val="003B2588"/>
    <w:rsid w:val="003B74A4"/>
    <w:rsid w:val="003C0429"/>
    <w:rsid w:val="003C05AF"/>
    <w:rsid w:val="003E73BC"/>
    <w:rsid w:val="003F1B21"/>
    <w:rsid w:val="003F53B9"/>
    <w:rsid w:val="004003BA"/>
    <w:rsid w:val="00411855"/>
    <w:rsid w:val="00416693"/>
    <w:rsid w:val="0043230E"/>
    <w:rsid w:val="00454E31"/>
    <w:rsid w:val="004617D6"/>
    <w:rsid w:val="00471AD1"/>
    <w:rsid w:val="00474FEF"/>
    <w:rsid w:val="004810C4"/>
    <w:rsid w:val="00484236"/>
    <w:rsid w:val="00492286"/>
    <w:rsid w:val="004B0216"/>
    <w:rsid w:val="004B3F8F"/>
    <w:rsid w:val="004B640C"/>
    <w:rsid w:val="00500651"/>
    <w:rsid w:val="0051136C"/>
    <w:rsid w:val="00515AD3"/>
    <w:rsid w:val="005168BF"/>
    <w:rsid w:val="00541242"/>
    <w:rsid w:val="00545B11"/>
    <w:rsid w:val="00547881"/>
    <w:rsid w:val="005531ED"/>
    <w:rsid w:val="00577AD9"/>
    <w:rsid w:val="00581C05"/>
    <w:rsid w:val="005B16B7"/>
    <w:rsid w:val="005C5C64"/>
    <w:rsid w:val="005D1CF9"/>
    <w:rsid w:val="005D7251"/>
    <w:rsid w:val="005E6F84"/>
    <w:rsid w:val="0060368C"/>
    <w:rsid w:val="00622F74"/>
    <w:rsid w:val="0063312B"/>
    <w:rsid w:val="006460C1"/>
    <w:rsid w:val="006466A1"/>
    <w:rsid w:val="00655C8A"/>
    <w:rsid w:val="0067799B"/>
    <w:rsid w:val="0068482A"/>
    <w:rsid w:val="00686D47"/>
    <w:rsid w:val="006950DC"/>
    <w:rsid w:val="006A24BC"/>
    <w:rsid w:val="006B0B09"/>
    <w:rsid w:val="006B24E7"/>
    <w:rsid w:val="006B6A85"/>
    <w:rsid w:val="006B76E3"/>
    <w:rsid w:val="006E2444"/>
    <w:rsid w:val="006E2E82"/>
    <w:rsid w:val="006E63CD"/>
    <w:rsid w:val="006F3958"/>
    <w:rsid w:val="006F3C36"/>
    <w:rsid w:val="006F5719"/>
    <w:rsid w:val="006F7DC9"/>
    <w:rsid w:val="00733FAE"/>
    <w:rsid w:val="00747447"/>
    <w:rsid w:val="007532E7"/>
    <w:rsid w:val="0075381C"/>
    <w:rsid w:val="00756785"/>
    <w:rsid w:val="00764CF6"/>
    <w:rsid w:val="00775B5B"/>
    <w:rsid w:val="00780429"/>
    <w:rsid w:val="007A5618"/>
    <w:rsid w:val="007B3FF1"/>
    <w:rsid w:val="007D5B9B"/>
    <w:rsid w:val="007D70F5"/>
    <w:rsid w:val="007E3BEE"/>
    <w:rsid w:val="007E4CE1"/>
    <w:rsid w:val="007F12A9"/>
    <w:rsid w:val="007F2F62"/>
    <w:rsid w:val="007F3739"/>
    <w:rsid w:val="00803AC9"/>
    <w:rsid w:val="008247D1"/>
    <w:rsid w:val="00826E00"/>
    <w:rsid w:val="00840929"/>
    <w:rsid w:val="00851A0E"/>
    <w:rsid w:val="00855F3C"/>
    <w:rsid w:val="00857720"/>
    <w:rsid w:val="008650FB"/>
    <w:rsid w:val="00873394"/>
    <w:rsid w:val="008761B1"/>
    <w:rsid w:val="00883551"/>
    <w:rsid w:val="00893C52"/>
    <w:rsid w:val="008A12A1"/>
    <w:rsid w:val="008A2476"/>
    <w:rsid w:val="008A41A7"/>
    <w:rsid w:val="008A6A22"/>
    <w:rsid w:val="008B13D4"/>
    <w:rsid w:val="008C0345"/>
    <w:rsid w:val="008C4349"/>
    <w:rsid w:val="008D0CD6"/>
    <w:rsid w:val="008D77D0"/>
    <w:rsid w:val="008E1084"/>
    <w:rsid w:val="008E35AE"/>
    <w:rsid w:val="008E4543"/>
    <w:rsid w:val="008E5AC0"/>
    <w:rsid w:val="00901011"/>
    <w:rsid w:val="0092451D"/>
    <w:rsid w:val="00925532"/>
    <w:rsid w:val="0093008D"/>
    <w:rsid w:val="009355EF"/>
    <w:rsid w:val="0093685E"/>
    <w:rsid w:val="00945730"/>
    <w:rsid w:val="00981BCA"/>
    <w:rsid w:val="00987025"/>
    <w:rsid w:val="009879CD"/>
    <w:rsid w:val="009A5A53"/>
    <w:rsid w:val="009B3288"/>
    <w:rsid w:val="009C1C4B"/>
    <w:rsid w:val="009C62F0"/>
    <w:rsid w:val="009D5F15"/>
    <w:rsid w:val="009D7A59"/>
    <w:rsid w:val="009F2F9E"/>
    <w:rsid w:val="009F5AC3"/>
    <w:rsid w:val="009F75B9"/>
    <w:rsid w:val="00A00B8B"/>
    <w:rsid w:val="00A06C66"/>
    <w:rsid w:val="00A21F34"/>
    <w:rsid w:val="00A40D84"/>
    <w:rsid w:val="00A4483A"/>
    <w:rsid w:val="00A463CC"/>
    <w:rsid w:val="00A72A6B"/>
    <w:rsid w:val="00A866ED"/>
    <w:rsid w:val="00A87893"/>
    <w:rsid w:val="00A90288"/>
    <w:rsid w:val="00AA3743"/>
    <w:rsid w:val="00AC2B1B"/>
    <w:rsid w:val="00AE240D"/>
    <w:rsid w:val="00AF2A51"/>
    <w:rsid w:val="00AF495E"/>
    <w:rsid w:val="00B12669"/>
    <w:rsid w:val="00B12723"/>
    <w:rsid w:val="00B13D6A"/>
    <w:rsid w:val="00B15F1C"/>
    <w:rsid w:val="00B21DA7"/>
    <w:rsid w:val="00B27092"/>
    <w:rsid w:val="00B4140B"/>
    <w:rsid w:val="00B70268"/>
    <w:rsid w:val="00B71472"/>
    <w:rsid w:val="00B94AA1"/>
    <w:rsid w:val="00BC20E6"/>
    <w:rsid w:val="00BD1176"/>
    <w:rsid w:val="00BD54A1"/>
    <w:rsid w:val="00BF368B"/>
    <w:rsid w:val="00C07B99"/>
    <w:rsid w:val="00C07D9E"/>
    <w:rsid w:val="00C43B0F"/>
    <w:rsid w:val="00C458E3"/>
    <w:rsid w:val="00C5225F"/>
    <w:rsid w:val="00C52E84"/>
    <w:rsid w:val="00C8188B"/>
    <w:rsid w:val="00C9406F"/>
    <w:rsid w:val="00CA560B"/>
    <w:rsid w:val="00CA6952"/>
    <w:rsid w:val="00CC02A5"/>
    <w:rsid w:val="00D161F9"/>
    <w:rsid w:val="00D448AF"/>
    <w:rsid w:val="00D46F7E"/>
    <w:rsid w:val="00D53432"/>
    <w:rsid w:val="00D551F0"/>
    <w:rsid w:val="00D60F2E"/>
    <w:rsid w:val="00D7602D"/>
    <w:rsid w:val="00D77C48"/>
    <w:rsid w:val="00D81959"/>
    <w:rsid w:val="00D954FA"/>
    <w:rsid w:val="00DA224B"/>
    <w:rsid w:val="00DB5126"/>
    <w:rsid w:val="00DB790F"/>
    <w:rsid w:val="00DD6FD2"/>
    <w:rsid w:val="00DF27E0"/>
    <w:rsid w:val="00E1318C"/>
    <w:rsid w:val="00E568F5"/>
    <w:rsid w:val="00E64E7F"/>
    <w:rsid w:val="00E7081A"/>
    <w:rsid w:val="00E72A30"/>
    <w:rsid w:val="00E85D1D"/>
    <w:rsid w:val="00EA20A3"/>
    <w:rsid w:val="00EB272D"/>
    <w:rsid w:val="00EC5BF5"/>
    <w:rsid w:val="00EC67A4"/>
    <w:rsid w:val="00ED6F26"/>
    <w:rsid w:val="00ED7C35"/>
    <w:rsid w:val="00F04D98"/>
    <w:rsid w:val="00F05F87"/>
    <w:rsid w:val="00F0785D"/>
    <w:rsid w:val="00F1254B"/>
    <w:rsid w:val="00F22175"/>
    <w:rsid w:val="00F274AC"/>
    <w:rsid w:val="00F31ECA"/>
    <w:rsid w:val="00F32D55"/>
    <w:rsid w:val="00F42B0C"/>
    <w:rsid w:val="00F44375"/>
    <w:rsid w:val="00F6134B"/>
    <w:rsid w:val="00F668FB"/>
    <w:rsid w:val="00F70381"/>
    <w:rsid w:val="00F7340A"/>
    <w:rsid w:val="00F7746E"/>
    <w:rsid w:val="00F8152B"/>
    <w:rsid w:val="00FA3108"/>
    <w:rsid w:val="00FA33F7"/>
    <w:rsid w:val="00FA6E1C"/>
    <w:rsid w:val="00FC73FC"/>
    <w:rsid w:val="00FE295D"/>
    <w:rsid w:val="00FE4BF9"/>
    <w:rsid w:val="00FF3D74"/>
    <w:rsid w:val="00FF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AF8E"/>
  <w15:chartTrackingRefBased/>
  <w15:docId w15:val="{E42C8A98-69F6-4013-BC32-616DB3FB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2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0A3"/>
    <w:rPr>
      <w:rFonts w:ascii="Segoe UI" w:hAnsi="Segoe UI" w:cs="Segoe UI"/>
      <w:sz w:val="18"/>
      <w:szCs w:val="18"/>
    </w:rPr>
  </w:style>
  <w:style w:type="paragraph" w:styleId="BodyText">
    <w:name w:val="Body Text"/>
    <w:basedOn w:val="Normal"/>
    <w:link w:val="BodyTextChar"/>
    <w:unhideWhenUsed/>
    <w:qFormat/>
    <w:rsid w:val="00EA20A3"/>
    <w:pPr>
      <w:spacing w:before="180" w:after="180" w:line="240" w:lineRule="auto"/>
    </w:pPr>
    <w:rPr>
      <w:sz w:val="24"/>
      <w:szCs w:val="24"/>
    </w:rPr>
  </w:style>
  <w:style w:type="character" w:customStyle="1" w:styleId="BodyTextChar">
    <w:name w:val="Body Text Char"/>
    <w:basedOn w:val="DefaultParagraphFont"/>
    <w:link w:val="BodyText"/>
    <w:rsid w:val="00EA20A3"/>
    <w:rPr>
      <w:sz w:val="24"/>
      <w:szCs w:val="24"/>
    </w:rPr>
  </w:style>
  <w:style w:type="paragraph" w:customStyle="1" w:styleId="2Marioslevel2">
    <w:name w:val="2_Marios_level2"/>
    <w:basedOn w:val="Normal"/>
    <w:next w:val="Normal"/>
    <w:qFormat/>
    <w:rsid w:val="00EA20A3"/>
    <w:pPr>
      <w:spacing w:line="360" w:lineRule="auto"/>
    </w:pPr>
    <w:rPr>
      <w:rFonts w:ascii="Times New Roman" w:hAnsi="Times New Roman" w:cs="Times New Roman"/>
      <w:b/>
      <w:color w:val="000000" w:themeColor="text1"/>
      <w:sz w:val="24"/>
      <w:lang w:val="en-AU"/>
    </w:rPr>
  </w:style>
  <w:style w:type="paragraph" w:styleId="NormalWeb">
    <w:name w:val="Normal (Web)"/>
    <w:basedOn w:val="Normal"/>
    <w:uiPriority w:val="99"/>
    <w:unhideWhenUsed/>
    <w:rsid w:val="00EA20A3"/>
    <w:pPr>
      <w:spacing w:before="100" w:beforeAutospacing="1" w:after="100" w:afterAutospacing="1" w:line="240" w:lineRule="auto"/>
    </w:pPr>
    <w:rPr>
      <w:rFonts w:ascii="Times New Roman" w:eastAsia="Times New Roman" w:hAnsi="Times New Roman" w:cs="Times New Roman"/>
      <w:color w:val="000000" w:themeColor="text1"/>
      <w:sz w:val="24"/>
      <w:szCs w:val="24"/>
      <w:lang w:val="en-AU" w:eastAsia="en-AU"/>
    </w:rPr>
  </w:style>
  <w:style w:type="paragraph" w:customStyle="1" w:styleId="3MariosLevel3">
    <w:name w:val="3_Marios Level 3"/>
    <w:basedOn w:val="Normal"/>
    <w:link w:val="3MariosLevel3Char"/>
    <w:qFormat/>
    <w:rsid w:val="00EA20A3"/>
    <w:pPr>
      <w:spacing w:after="240" w:line="360" w:lineRule="auto"/>
      <w:ind w:left="720"/>
    </w:pPr>
    <w:rPr>
      <w:rFonts w:ascii="Times New Roman" w:eastAsiaTheme="minorEastAsia" w:hAnsi="Times New Roman" w:cs="Times New Roman"/>
      <w:b/>
      <w:i/>
      <w:color w:val="000000" w:themeColor="text1"/>
      <w:sz w:val="24"/>
      <w:szCs w:val="24"/>
      <w:lang w:val="en-AU"/>
    </w:rPr>
  </w:style>
  <w:style w:type="character" w:customStyle="1" w:styleId="3MariosLevel3Char">
    <w:name w:val="3_Marios Level 3 Char"/>
    <w:basedOn w:val="DefaultParagraphFont"/>
    <w:link w:val="3MariosLevel3"/>
    <w:rsid w:val="00EA20A3"/>
    <w:rPr>
      <w:rFonts w:ascii="Times New Roman" w:eastAsiaTheme="minorEastAsia" w:hAnsi="Times New Roman" w:cs="Times New Roman"/>
      <w:b/>
      <w:i/>
      <w:color w:val="000000" w:themeColor="text1"/>
      <w:sz w:val="24"/>
      <w:szCs w:val="24"/>
      <w:lang w:val="en-AU"/>
    </w:rPr>
  </w:style>
  <w:style w:type="character" w:styleId="CommentReference">
    <w:name w:val="annotation reference"/>
    <w:basedOn w:val="DefaultParagraphFont"/>
    <w:uiPriority w:val="99"/>
    <w:semiHidden/>
    <w:unhideWhenUsed/>
    <w:rsid w:val="006E2E82"/>
    <w:rPr>
      <w:sz w:val="16"/>
      <w:szCs w:val="16"/>
    </w:rPr>
  </w:style>
  <w:style w:type="paragraph" w:styleId="CommentText">
    <w:name w:val="annotation text"/>
    <w:basedOn w:val="Normal"/>
    <w:link w:val="CommentTextChar"/>
    <w:uiPriority w:val="99"/>
    <w:semiHidden/>
    <w:unhideWhenUsed/>
    <w:rsid w:val="006E2E82"/>
    <w:pPr>
      <w:spacing w:line="240" w:lineRule="auto"/>
    </w:pPr>
    <w:rPr>
      <w:sz w:val="20"/>
      <w:szCs w:val="20"/>
    </w:rPr>
  </w:style>
  <w:style w:type="character" w:customStyle="1" w:styleId="CommentTextChar">
    <w:name w:val="Comment Text Char"/>
    <w:basedOn w:val="DefaultParagraphFont"/>
    <w:link w:val="CommentText"/>
    <w:uiPriority w:val="99"/>
    <w:semiHidden/>
    <w:rsid w:val="006E2E82"/>
    <w:rPr>
      <w:sz w:val="20"/>
      <w:szCs w:val="20"/>
    </w:rPr>
  </w:style>
  <w:style w:type="paragraph" w:styleId="CommentSubject">
    <w:name w:val="annotation subject"/>
    <w:basedOn w:val="CommentText"/>
    <w:next w:val="CommentText"/>
    <w:link w:val="CommentSubjectChar"/>
    <w:uiPriority w:val="99"/>
    <w:semiHidden/>
    <w:unhideWhenUsed/>
    <w:rsid w:val="002B4824"/>
    <w:rPr>
      <w:b/>
      <w:bCs/>
    </w:rPr>
  </w:style>
  <w:style w:type="character" w:customStyle="1" w:styleId="CommentSubjectChar">
    <w:name w:val="Comment Subject Char"/>
    <w:basedOn w:val="CommentTextChar"/>
    <w:link w:val="CommentSubject"/>
    <w:uiPriority w:val="99"/>
    <w:semiHidden/>
    <w:rsid w:val="002B4824"/>
    <w:rPr>
      <w:b/>
      <w:bCs/>
      <w:sz w:val="20"/>
      <w:szCs w:val="20"/>
    </w:rPr>
  </w:style>
  <w:style w:type="character" w:styleId="Hyperlink">
    <w:name w:val="Hyperlink"/>
    <w:basedOn w:val="DefaultParagraphFont"/>
    <w:uiPriority w:val="99"/>
    <w:unhideWhenUsed/>
    <w:rsid w:val="0008038B"/>
    <w:rPr>
      <w:color w:val="0563C1" w:themeColor="hyperlink"/>
      <w:u w:val="single"/>
    </w:rPr>
  </w:style>
  <w:style w:type="character" w:styleId="UnresolvedMention">
    <w:name w:val="Unresolved Mention"/>
    <w:basedOn w:val="DefaultParagraphFont"/>
    <w:uiPriority w:val="99"/>
    <w:semiHidden/>
    <w:unhideWhenUsed/>
    <w:rsid w:val="00080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4098">
      <w:bodyDiv w:val="1"/>
      <w:marLeft w:val="0"/>
      <w:marRight w:val="0"/>
      <w:marTop w:val="0"/>
      <w:marBottom w:val="0"/>
      <w:divBdr>
        <w:top w:val="none" w:sz="0" w:space="0" w:color="auto"/>
        <w:left w:val="none" w:sz="0" w:space="0" w:color="auto"/>
        <w:bottom w:val="none" w:sz="0" w:space="0" w:color="auto"/>
        <w:right w:val="none" w:sz="0" w:space="0" w:color="auto"/>
      </w:divBdr>
    </w:div>
    <w:div w:id="1332827507">
      <w:bodyDiv w:val="1"/>
      <w:marLeft w:val="0"/>
      <w:marRight w:val="0"/>
      <w:marTop w:val="0"/>
      <w:marBottom w:val="0"/>
      <w:divBdr>
        <w:top w:val="none" w:sz="0" w:space="0" w:color="auto"/>
        <w:left w:val="none" w:sz="0" w:space="0" w:color="auto"/>
        <w:bottom w:val="none" w:sz="0" w:space="0" w:color="auto"/>
        <w:right w:val="none" w:sz="0" w:space="0" w:color="auto"/>
      </w:divBdr>
    </w:div>
    <w:div w:id="15144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panayi@unsw.edu.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tnbh7/?view_only=fe9f8762e1e54ca3be7e84e13b95c1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7B4F6-DB22-4DAA-8E3D-856DB82B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57</Pages>
  <Words>48208</Words>
  <Characters>274788</Characters>
  <Application>Microsoft Office Word</Application>
  <DocSecurity>0</DocSecurity>
  <Lines>2289</Lines>
  <Paragraphs>644</Paragraphs>
  <ScaleCrop>false</ScaleCrop>
  <Company/>
  <LinksUpToDate>false</LinksUpToDate>
  <CharactersWithSpaces>322352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285</cp:revision>
  <dcterms:created xsi:type="dcterms:W3CDTF">2020-09-22T14:41:00Z</dcterms:created>
  <dcterms:modified xsi:type="dcterms:W3CDTF">2020-09-28T16:55:00Z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http://www.zotero.org/styles/journal-of-molecular-psychiatry</vt:lpwstr>
  </property>
  <property fmtid="{D5CDD505-2E9C-101B-9397-08002B2CF9AE}" pid="18" name="Mendeley Recent Style Name 6_1">
    <vt:lpwstr>Journal of Molecular Psychiatry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