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B768A" w14:textId="77777777" w:rsidR="000905E4" w:rsidRDefault="000905E4" w:rsidP="000905E4">
      <w:pPr>
        <w:jc w:val="both"/>
        <w:rPr>
          <w:rStyle w:val="FiguresChar"/>
        </w:rPr>
      </w:pPr>
    </w:p>
    <w:p w14:paraId="31EA9C4C" w14:textId="488C427E" w:rsidR="000905E4" w:rsidRDefault="00C05D73" w:rsidP="000905E4">
      <w:pPr>
        <w:jc w:val="both"/>
        <w:rPr>
          <w:rStyle w:val="FiguresChar"/>
        </w:rPr>
      </w:pPr>
      <w:r>
        <w:rPr>
          <w:rFonts w:asciiTheme="minorHAnsi" w:hAnsiTheme="minorHAnsi"/>
          <w:sz w:val="22"/>
          <w:lang w:val="en-US"/>
        </w:rPr>
        <w:object w:dxaOrig="9345" w:dyaOrig="3960" w14:anchorId="2AACF6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197.85pt" o:ole="" filled="t">
            <v:imagedata r:id="rId4" o:title=""/>
          </v:shape>
          <o:OLEObject Type="Embed" ProgID="Prism8.Document" ShapeID="_x0000_i1025" DrawAspect="Content" ObjectID="_1616831779" r:id="rId5"/>
        </w:object>
      </w:r>
    </w:p>
    <w:p w14:paraId="5324976F" w14:textId="77777777" w:rsidR="000905E4" w:rsidRDefault="000905E4" w:rsidP="000905E4">
      <w:pPr>
        <w:jc w:val="both"/>
        <w:rPr>
          <w:rStyle w:val="FiguresChar"/>
        </w:rPr>
      </w:pPr>
    </w:p>
    <w:p w14:paraId="4D7D08DB" w14:textId="77777777" w:rsidR="000905E4" w:rsidRDefault="000905E4" w:rsidP="000905E4">
      <w:pPr>
        <w:jc w:val="both"/>
        <w:rPr>
          <w:rStyle w:val="FiguresChar"/>
        </w:rPr>
      </w:pPr>
    </w:p>
    <w:p w14:paraId="227429B1" w14:textId="5D70296A" w:rsidR="0077449F" w:rsidRDefault="00CC24DF" w:rsidP="000905E4">
      <w:pPr>
        <w:jc w:val="both"/>
        <w:rPr>
          <w:rStyle w:val="FiguresChar"/>
        </w:rPr>
      </w:pPr>
      <w:r>
        <w:rPr>
          <w:rStyle w:val="FiguresChar"/>
        </w:rPr>
        <w:t>Figure</w:t>
      </w:r>
      <w:r w:rsidR="0077449F">
        <w:rPr>
          <w:rStyle w:val="FiguresChar"/>
        </w:rPr>
        <w:t xml:space="preserve"> </w:t>
      </w:r>
      <w:r>
        <w:rPr>
          <w:rStyle w:val="FiguresChar"/>
        </w:rPr>
        <w:t>2-Figure supplement 1</w:t>
      </w:r>
    </w:p>
    <w:p w14:paraId="0661B8B0" w14:textId="58CE17A8" w:rsidR="000905E4" w:rsidRDefault="000905E4" w:rsidP="000905E4">
      <w:pPr>
        <w:jc w:val="both"/>
        <w:rPr>
          <w:rFonts w:cs="Times New Roman"/>
          <w:color w:val="auto"/>
          <w:szCs w:val="24"/>
        </w:rPr>
      </w:pPr>
      <w:r w:rsidRPr="0077449F">
        <w:rPr>
          <w:rStyle w:val="FiguresChar"/>
          <w:b w:val="0"/>
        </w:rPr>
        <w:t>Model predictions of LO lesions as a partial loss of outcome expectancy</w:t>
      </w:r>
      <w:r w:rsidR="00C216D6" w:rsidRPr="00C216D6">
        <w:rPr>
          <w:rStyle w:val="FiguresChar"/>
          <w:b w:val="0"/>
        </w:rPr>
        <w:t>.</w:t>
      </w:r>
      <w:r w:rsidR="00C216D6">
        <w:rPr>
          <w:rStyle w:val="FiguresChar"/>
          <w:b w:val="0"/>
        </w:rPr>
        <w:t xml:space="preserve"> </w:t>
      </w:r>
      <w:r w:rsidR="00C216D6" w:rsidRPr="00C216D6">
        <w:rPr>
          <w:rStyle w:val="FiguresChar"/>
        </w:rPr>
        <w:t>(A)</w:t>
      </w:r>
      <w:r w:rsidRPr="008E2763">
        <w:rPr>
          <w:rFonts w:cs="Times New Roman"/>
          <w:szCs w:val="24"/>
          <w:lang w:val="en-US"/>
        </w:rPr>
        <w:t xml:space="preserve"> The model predictions for simple Pavlovian acquisition using a standard Rescorla-Wagner learning </w:t>
      </w:r>
      <w:proofErr w:type="gramStart"/>
      <w:r w:rsidRPr="008E2763">
        <w:rPr>
          <w:rFonts w:cs="Times New Roman"/>
          <w:szCs w:val="24"/>
          <w:lang w:val="en-US"/>
        </w:rPr>
        <w:t>rule, and</w:t>
      </w:r>
      <w:proofErr w:type="gramEnd"/>
      <w:r w:rsidRPr="008E2763">
        <w:rPr>
          <w:rFonts w:cs="Times New Roman"/>
          <w:szCs w:val="24"/>
          <w:lang w:val="en-US"/>
        </w:rPr>
        <w:t xml:space="preserve"> following modelled lesion deficits as a partial loss of outcome expectancy information specific to </w:t>
      </w:r>
      <w:r w:rsidRPr="004228B5">
        <w:rPr>
          <w:rFonts w:cs="Times New Roman"/>
          <w:color w:val="auto"/>
          <w:szCs w:val="24"/>
          <w:lang w:val="en-US"/>
        </w:rPr>
        <w:t xml:space="preserve">learning. Using the following update rule: </w:t>
      </w:r>
      <m:oMath>
        <m:r>
          <w:rPr>
            <w:rFonts w:ascii="Cambria Math" w:hAnsi="Cambria Math" w:cs="Times New Roman"/>
            <w:color w:val="auto"/>
            <w:szCs w:val="24"/>
          </w:rPr>
          <m:t>∆V= αβ</m:t>
        </m:r>
        <m:d>
          <m:dPr>
            <m:ctrlPr>
              <w:rPr>
                <w:rFonts w:ascii="Cambria Math" w:hAnsi="Cambria Math" w:cs="Times New Roman"/>
                <w:i/>
                <w:color w:val="auto"/>
                <w:szCs w:val="24"/>
              </w:rPr>
            </m:ctrlPr>
          </m:dPr>
          <m:e>
            <m:r>
              <w:rPr>
                <w:rFonts w:ascii="Cambria Math" w:hAnsi="Cambria Math" w:cs="Times New Roman"/>
                <w:color w:val="auto"/>
                <w:szCs w:val="24"/>
              </w:rPr>
              <m:t>λ-</m:t>
            </m:r>
            <m:r>
              <m:rPr>
                <m:sty m:val="p"/>
              </m:rPr>
              <w:rPr>
                <w:rFonts w:ascii="Cambria Math" w:hAnsi="Cambria Math" w:cs="Times New Roman"/>
                <w:color w:val="auto"/>
                <w:szCs w:val="24"/>
              </w:rPr>
              <m:t>γΣV</m:t>
            </m:r>
          </m:e>
        </m:d>
      </m:oMath>
      <w:r w:rsidRPr="004228B5">
        <w:rPr>
          <w:rFonts w:cs="Times New Roman"/>
          <w:color w:val="auto"/>
          <w:szCs w:val="24"/>
          <w:lang w:val="en-US"/>
        </w:rPr>
        <w:t>, the change in associative strength (V) was calculated on a trial by trial basis for the CS and the context (preCS) periods. Parameters used were</w:t>
      </w:r>
      <m:oMath>
        <m:r>
          <w:rPr>
            <w:rFonts w:ascii="Cambria Math" w:hAnsi="Cambria Math" w:cs="Times New Roman"/>
            <w:color w:val="auto"/>
            <w:szCs w:val="24"/>
          </w:rPr>
          <m:t xml:space="preserve"> αβ</m:t>
        </m:r>
      </m:oMath>
      <w:r w:rsidRPr="004228B5">
        <w:rPr>
          <w:rFonts w:eastAsiaTheme="minorEastAsia" w:cs="Times New Roman"/>
          <w:color w:val="auto"/>
          <w:szCs w:val="24"/>
        </w:rPr>
        <w:t xml:space="preserve"> = .05 for the context and .2 for the CS, </w:t>
      </w:r>
      <m:oMath>
        <m:r>
          <w:rPr>
            <w:rFonts w:ascii="Cambria Math" w:hAnsi="Cambria Math" w:cs="Times New Roman"/>
            <w:color w:val="auto"/>
            <w:szCs w:val="24"/>
          </w:rPr>
          <m:t>λ</m:t>
        </m:r>
      </m:oMath>
      <w:r w:rsidRPr="004228B5">
        <w:rPr>
          <w:rFonts w:eastAsiaTheme="minorEastAsia" w:cs="Times New Roman"/>
          <w:color w:val="auto"/>
          <w:szCs w:val="24"/>
        </w:rPr>
        <w:t xml:space="preserve"> = 1, and </w:t>
      </w:r>
      <w:r w:rsidRPr="004228B5">
        <w:rPr>
          <w:rFonts w:cs="Times New Roman"/>
          <w:color w:val="auto"/>
          <w:szCs w:val="24"/>
        </w:rPr>
        <w:t xml:space="preserve">γ = 0.8 for lesions and γ = 1.0 for the control condition. </w:t>
      </w:r>
      <w:r w:rsidRPr="004228B5">
        <w:rPr>
          <w:rFonts w:cs="Times New Roman"/>
          <w:b/>
          <w:color w:val="auto"/>
          <w:szCs w:val="24"/>
        </w:rPr>
        <w:t>(</w:t>
      </w:r>
      <w:r w:rsidR="00C216D6">
        <w:rPr>
          <w:rFonts w:cs="Times New Roman"/>
          <w:b/>
          <w:color w:val="auto"/>
          <w:szCs w:val="24"/>
        </w:rPr>
        <w:t>B</w:t>
      </w:r>
      <w:r w:rsidRPr="004228B5">
        <w:rPr>
          <w:rFonts w:cs="Times New Roman"/>
          <w:b/>
          <w:color w:val="auto"/>
          <w:szCs w:val="24"/>
        </w:rPr>
        <w:t>)</w:t>
      </w:r>
      <w:r w:rsidRPr="004228B5">
        <w:rPr>
          <w:rFonts w:cs="Times New Roman"/>
          <w:color w:val="auto"/>
          <w:szCs w:val="24"/>
        </w:rPr>
        <w:t xml:space="preserve"> Modelled performance following pre-training sham or LO lesions. </w:t>
      </w:r>
      <w:r w:rsidRPr="004228B5">
        <w:rPr>
          <w:rFonts w:cs="Times New Roman"/>
          <w:b/>
          <w:color w:val="auto"/>
          <w:szCs w:val="24"/>
        </w:rPr>
        <w:t>(</w:t>
      </w:r>
      <w:r w:rsidR="00C216D6">
        <w:rPr>
          <w:rFonts w:cs="Times New Roman"/>
          <w:b/>
          <w:color w:val="auto"/>
          <w:szCs w:val="24"/>
        </w:rPr>
        <w:t>C</w:t>
      </w:r>
      <w:r w:rsidRPr="004228B5">
        <w:rPr>
          <w:rFonts w:cs="Times New Roman"/>
          <w:b/>
          <w:color w:val="auto"/>
          <w:szCs w:val="24"/>
        </w:rPr>
        <w:t>)</w:t>
      </w:r>
      <w:r w:rsidRPr="004228B5">
        <w:rPr>
          <w:rFonts w:cs="Times New Roman"/>
          <w:color w:val="auto"/>
          <w:szCs w:val="24"/>
        </w:rPr>
        <w:t xml:space="preserve"> Modelled performance following temporary LO inactivation via muscimol after initial training.</w:t>
      </w:r>
    </w:p>
    <w:p w14:paraId="16550AAD" w14:textId="237BAAA2" w:rsidR="009B34E7" w:rsidRPr="006A14B1" w:rsidRDefault="009B34E7" w:rsidP="009B34E7">
      <w:pPr>
        <w:ind w:firstLine="720"/>
        <w:rPr>
          <w:rFonts w:cs="Times New Roman"/>
          <w:szCs w:val="24"/>
        </w:rPr>
      </w:pPr>
      <w:bookmarkStart w:id="0" w:name="_GoBack"/>
      <w:bookmarkEnd w:id="0"/>
      <w:r w:rsidRPr="006A14B1">
        <w:rPr>
          <w:rFonts w:cs="Times New Roman"/>
          <w:szCs w:val="24"/>
        </w:rPr>
        <w:t xml:space="preserve">One potential account of the heightened </w:t>
      </w:r>
      <w:r>
        <w:rPr>
          <w:rFonts w:cs="Times New Roman"/>
          <w:szCs w:val="24"/>
        </w:rPr>
        <w:t>responding</w:t>
      </w:r>
      <w:r w:rsidRPr="006A14B1">
        <w:rPr>
          <w:rFonts w:cs="Times New Roman"/>
          <w:szCs w:val="24"/>
        </w:rPr>
        <w:t xml:space="preserve"> observed during simple acquisition following LO lesions is enhanced </w:t>
      </w:r>
      <w:r>
        <w:rPr>
          <w:rFonts w:cs="Times New Roman"/>
          <w:szCs w:val="24"/>
        </w:rPr>
        <w:t>cue-outcome</w:t>
      </w:r>
      <w:r w:rsidRPr="006A14B1">
        <w:rPr>
          <w:rFonts w:cs="Times New Roman"/>
          <w:szCs w:val="24"/>
        </w:rPr>
        <w:t xml:space="preserve"> learning. However, given the hypothesised role of the OFC in the representation of outcome expectancy value </w:t>
      </w:r>
      <w:r>
        <w:rPr>
          <w:rFonts w:cs="Times New Roman"/>
          <w:noProof/>
          <w:szCs w:val="24"/>
        </w:rPr>
        <w:t>(</w:t>
      </w:r>
      <w:r w:rsidRPr="00E86FDD">
        <w:rPr>
          <w:rFonts w:cs="Times New Roman"/>
          <w:noProof/>
          <w:szCs w:val="24"/>
          <w:highlight w:val="yellow"/>
        </w:rPr>
        <w:t>Baxter et al., 2000; Pears, Parkinson, Hopewell, Everitt, &amp; Roberts, 2003; Schoenbaum et al., 1999; Schoenbaum &amp; Roesch, 2005; Takahashi, Roesch, Stalnaker, Haney, Calu, et al., 2009</w:t>
      </w:r>
      <w:r>
        <w:rPr>
          <w:rFonts w:cs="Times New Roman"/>
          <w:noProof/>
          <w:szCs w:val="24"/>
        </w:rPr>
        <w:t>)</w:t>
      </w:r>
      <w:r w:rsidRPr="006A14B1">
        <w:rPr>
          <w:rFonts w:cs="Times New Roman"/>
          <w:szCs w:val="24"/>
        </w:rPr>
        <w:t xml:space="preserve">, it is not immediately clear how this could be the case. The Rescorla-Wagner model of the acquisition of associative value suggests that in the absence of a representation of the expected value of an outcome, no </w:t>
      </w:r>
      <w:r w:rsidR="00E86FDD">
        <w:rPr>
          <w:rFonts w:cs="Times New Roman"/>
          <w:szCs w:val="24"/>
        </w:rPr>
        <w:lastRenderedPageBreak/>
        <w:t xml:space="preserve">conditioned responses </w:t>
      </w:r>
      <w:r w:rsidRPr="006A14B1">
        <w:rPr>
          <w:rFonts w:cs="Times New Roman"/>
          <w:szCs w:val="24"/>
        </w:rPr>
        <w:t xml:space="preserve">should be expressed. In fact, in most associative learning theories the rules that govern performance are some function of the expected value of the outcome </w:t>
      </w:r>
      <w:r>
        <w:rPr>
          <w:rFonts w:cs="Times New Roman"/>
          <w:noProof/>
          <w:szCs w:val="24"/>
        </w:rPr>
        <w:t>(</w:t>
      </w:r>
      <w:r w:rsidRPr="00E86FDD">
        <w:rPr>
          <w:rFonts w:cs="Times New Roman"/>
          <w:noProof/>
          <w:szCs w:val="24"/>
          <w:highlight w:val="yellow"/>
        </w:rPr>
        <w:t>LePelley, 2004; Mackintosh, 1975; Pearce &amp; Hall, 1980; Rescorla &amp; Bouton, 2002; Rescorla &amp; Wagner, 1972</w:t>
      </w:r>
      <w:r>
        <w:rPr>
          <w:rFonts w:cs="Times New Roman"/>
          <w:noProof/>
          <w:szCs w:val="24"/>
        </w:rPr>
        <w:t>)</w:t>
      </w:r>
      <w:r w:rsidRPr="006A14B1">
        <w:rPr>
          <w:rFonts w:cs="Times New Roman"/>
          <w:szCs w:val="24"/>
        </w:rPr>
        <w:t>. However,</w:t>
      </w:r>
      <w:r w:rsidR="00E86FDD">
        <w:rPr>
          <w:rFonts w:cs="Times New Roman"/>
          <w:szCs w:val="24"/>
        </w:rPr>
        <w:t xml:space="preserve"> OFC</w:t>
      </w:r>
      <w:r w:rsidRPr="006A14B1">
        <w:rPr>
          <w:rFonts w:cs="Times New Roman"/>
          <w:szCs w:val="24"/>
        </w:rPr>
        <w:t xml:space="preserve"> damage may not abolish all outcome expectancy information but instead degrades some aspect (e.g. sensory specific properties) of the outcome expectancy information made available at the time of calculating the prediction error </w:t>
      </w:r>
      <w:r w:rsidRPr="006A14B1">
        <w:rPr>
          <w:rFonts w:cs="Times New Roman"/>
          <w:noProof/>
          <w:szCs w:val="24"/>
        </w:rPr>
        <w:t xml:space="preserve">(e.g. mid brain Dopamine neurons; </w:t>
      </w:r>
      <w:r w:rsidRPr="00E86FDD">
        <w:rPr>
          <w:rFonts w:cs="Times New Roman"/>
          <w:noProof/>
          <w:szCs w:val="24"/>
          <w:highlight w:val="yellow"/>
        </w:rPr>
        <w:t>Takahashi et al., 2011</w:t>
      </w:r>
      <w:r w:rsidRPr="006A14B1">
        <w:rPr>
          <w:rFonts w:cs="Times New Roman"/>
          <w:noProof/>
          <w:szCs w:val="24"/>
        </w:rPr>
        <w:t>)</w:t>
      </w:r>
      <w:r w:rsidRPr="006A14B1">
        <w:rPr>
          <w:rFonts w:cs="Times New Roman"/>
          <w:szCs w:val="24"/>
        </w:rPr>
        <w:t>. This would assume that the expected value used in prediction error learning may not necessarily be the same as the full expected value used to govern performance. To model this mathematically, a constant (γ) is used to represent the proportion of the outcome expectancy information that was available for learning</w:t>
      </w:r>
      <w:r>
        <w:rPr>
          <w:rFonts w:cs="Times New Roman"/>
          <w:szCs w:val="24"/>
        </w:rPr>
        <w:t xml:space="preserve"> (Figure 2</w:t>
      </w:r>
      <w:r w:rsidR="00557789">
        <w:rPr>
          <w:rFonts w:cs="Times New Roman"/>
          <w:szCs w:val="24"/>
        </w:rPr>
        <w:t>-Figure supplement 1</w:t>
      </w:r>
      <w:r>
        <w:rPr>
          <w:rFonts w:cs="Times New Roman"/>
          <w:szCs w:val="24"/>
        </w:rPr>
        <w:t>A)</w:t>
      </w:r>
      <w:r w:rsidRPr="006A14B1">
        <w:rPr>
          <w:rFonts w:cs="Times New Roman"/>
          <w:szCs w:val="24"/>
        </w:rPr>
        <w:t>. The strength/value (V) of the learned association changes in the following manner:</w:t>
      </w:r>
    </w:p>
    <w:p w14:paraId="578752CE" w14:textId="77777777" w:rsidR="009B34E7" w:rsidRPr="006A14B1" w:rsidRDefault="009B34E7" w:rsidP="009B34E7">
      <w:pPr>
        <w:ind w:firstLine="720"/>
        <w:rPr>
          <w:rFonts w:cs="Times New Roman"/>
          <w:szCs w:val="24"/>
        </w:rPr>
      </w:pPr>
      <m:oMathPara>
        <m:oMath>
          <m:r>
            <w:rPr>
              <w:rFonts w:ascii="Cambria Math" w:hAnsi="Cambria Math" w:cs="Times New Roman"/>
              <w:szCs w:val="24"/>
            </w:rPr>
            <m:t>∆V= αβ</m:t>
          </m:r>
          <m:d>
            <m:dPr>
              <m:ctrlPr>
                <w:rPr>
                  <w:rFonts w:ascii="Cambria Math" w:hAnsi="Cambria Math" w:cs="Times New Roman"/>
                  <w:i/>
                  <w:szCs w:val="24"/>
                </w:rPr>
              </m:ctrlPr>
            </m:dPr>
            <m:e>
              <m:r>
                <w:rPr>
                  <w:rFonts w:ascii="Cambria Math" w:hAnsi="Cambria Math" w:cs="Times New Roman"/>
                  <w:szCs w:val="24"/>
                </w:rPr>
                <m:t>λ-</m:t>
              </m:r>
              <m:r>
                <m:rPr>
                  <m:sty m:val="p"/>
                </m:rPr>
                <w:rPr>
                  <w:rFonts w:ascii="Cambria Math" w:hAnsi="Cambria Math" w:cs="Times New Roman"/>
                  <w:szCs w:val="24"/>
                </w:rPr>
                <m:t>γΣV</m:t>
              </m:r>
            </m:e>
          </m:d>
        </m:oMath>
      </m:oMathPara>
    </w:p>
    <w:p w14:paraId="7D809F5E" w14:textId="35FC16B0" w:rsidR="009B34E7" w:rsidRPr="006A14B1" w:rsidRDefault="009B34E7" w:rsidP="009B34E7">
      <w:pPr>
        <w:spacing w:after="240"/>
        <w:rPr>
          <w:rFonts w:eastAsiaTheme="minorEastAsia" w:cs="Times New Roman"/>
          <w:szCs w:val="24"/>
        </w:rPr>
      </w:pPr>
      <w:r w:rsidRPr="006A14B1">
        <w:rPr>
          <w:rFonts w:cs="Times New Roman"/>
          <w:szCs w:val="24"/>
        </w:rPr>
        <w:t xml:space="preserve">Such that </w:t>
      </w:r>
      <m:oMath>
        <m:r>
          <w:rPr>
            <w:rFonts w:ascii="Cambria Math" w:hAnsi="Cambria Math" w:cs="Times New Roman"/>
            <w:szCs w:val="24"/>
          </w:rPr>
          <m:t>∆V</m:t>
        </m:r>
      </m:oMath>
      <w:r w:rsidRPr="006A14B1">
        <w:rPr>
          <w:rFonts w:eastAsiaTheme="minorEastAsia" w:cs="Times New Roman"/>
          <w:szCs w:val="24"/>
        </w:rPr>
        <w:t xml:space="preserve"> is the change in associative strength on a given trial; </w:t>
      </w:r>
      <m:oMath>
        <m:r>
          <w:rPr>
            <w:rFonts w:ascii="Cambria Math" w:hAnsi="Cambria Math" w:cs="Times New Roman"/>
            <w:szCs w:val="24"/>
          </w:rPr>
          <m:t>αβ</m:t>
        </m:r>
      </m:oMath>
      <w:r w:rsidRPr="006A14B1">
        <w:rPr>
          <w:rFonts w:eastAsiaTheme="minorEastAsia" w:cs="Times New Roman"/>
          <w:szCs w:val="24"/>
        </w:rPr>
        <w:t xml:space="preserve"> are learning rate parameters based on the properties of the </w:t>
      </w:r>
      <w:r w:rsidR="00FA3E99">
        <w:rPr>
          <w:rFonts w:eastAsiaTheme="minorEastAsia" w:cs="Times New Roman"/>
          <w:szCs w:val="24"/>
        </w:rPr>
        <w:t>cue</w:t>
      </w:r>
      <w:r w:rsidRPr="006A14B1">
        <w:rPr>
          <w:rFonts w:eastAsiaTheme="minorEastAsia" w:cs="Times New Roman"/>
          <w:szCs w:val="24"/>
        </w:rPr>
        <w:t xml:space="preserve"> and</w:t>
      </w:r>
      <w:r w:rsidR="00FA3E99">
        <w:rPr>
          <w:rFonts w:eastAsiaTheme="minorEastAsia" w:cs="Times New Roman"/>
          <w:szCs w:val="24"/>
        </w:rPr>
        <w:t xml:space="preserve"> outcome</w:t>
      </w:r>
      <w:r w:rsidRPr="006A14B1">
        <w:rPr>
          <w:rFonts w:eastAsiaTheme="minorEastAsia" w:cs="Times New Roman"/>
          <w:szCs w:val="24"/>
        </w:rPr>
        <w:t xml:space="preserve"> respectively such that </w:t>
      </w:r>
      <m:oMath>
        <m:r>
          <w:rPr>
            <w:rFonts w:ascii="Cambria Math" w:eastAsiaTheme="minorEastAsia" w:hAnsi="Cambria Math" w:cs="Times New Roman"/>
            <w:szCs w:val="24"/>
          </w:rPr>
          <m:t>0≤</m:t>
        </m:r>
        <m:r>
          <w:rPr>
            <w:rFonts w:ascii="Cambria Math" w:hAnsi="Cambria Math" w:cs="Times New Roman"/>
            <w:szCs w:val="24"/>
          </w:rPr>
          <m:t>α≤</m:t>
        </m:r>
        <m:r>
          <w:rPr>
            <w:rFonts w:ascii="Cambria Math" w:eastAsiaTheme="minorEastAsia" w:hAnsi="Cambria Math" w:cs="Times New Roman"/>
            <w:szCs w:val="24"/>
          </w:rPr>
          <m:t>1</m:t>
        </m:r>
      </m:oMath>
      <w:r w:rsidRPr="006A14B1">
        <w:rPr>
          <w:rFonts w:eastAsiaTheme="minorEastAsia" w:cs="Times New Roman"/>
          <w:szCs w:val="24"/>
        </w:rPr>
        <w:t xml:space="preserve"> and </w:t>
      </w:r>
      <m:oMath>
        <m:r>
          <w:rPr>
            <w:rFonts w:ascii="Cambria Math" w:eastAsiaTheme="minorEastAsia" w:hAnsi="Cambria Math" w:cs="Times New Roman"/>
            <w:szCs w:val="24"/>
          </w:rPr>
          <m:t>0≤</m:t>
        </m:r>
        <m:r>
          <w:rPr>
            <w:rFonts w:ascii="Cambria Math" w:hAnsi="Cambria Math" w:cs="Times New Roman"/>
            <w:szCs w:val="24"/>
          </w:rPr>
          <m:t>β≤</m:t>
        </m:r>
        <m:r>
          <w:rPr>
            <w:rFonts w:ascii="Cambria Math" w:eastAsiaTheme="minorEastAsia" w:hAnsi="Cambria Math" w:cs="Times New Roman"/>
            <w:szCs w:val="24"/>
          </w:rPr>
          <m:t>1</m:t>
        </m:r>
      </m:oMath>
      <w:r w:rsidRPr="006A14B1">
        <w:rPr>
          <w:rFonts w:eastAsiaTheme="minorEastAsia" w:cs="Times New Roman"/>
          <w:szCs w:val="24"/>
        </w:rPr>
        <w:t xml:space="preserve">; </w:t>
      </w:r>
      <m:oMath>
        <m:r>
          <w:rPr>
            <w:rFonts w:ascii="Cambria Math" w:hAnsi="Cambria Math" w:cs="Times New Roman"/>
            <w:szCs w:val="24"/>
          </w:rPr>
          <m:t>λ</m:t>
        </m:r>
      </m:oMath>
      <w:r w:rsidRPr="006A14B1">
        <w:rPr>
          <w:rFonts w:eastAsiaTheme="minorEastAsia" w:cs="Times New Roman"/>
          <w:szCs w:val="24"/>
        </w:rPr>
        <w:t xml:space="preserve"> is the experienced value of the </w:t>
      </w:r>
      <w:r w:rsidR="00FA3E99">
        <w:rPr>
          <w:rFonts w:eastAsiaTheme="minorEastAsia" w:cs="Times New Roman"/>
          <w:szCs w:val="24"/>
        </w:rPr>
        <w:t>outcome</w:t>
      </w:r>
      <w:r w:rsidRPr="006A14B1">
        <w:rPr>
          <w:rFonts w:eastAsiaTheme="minorEastAsia" w:cs="Times New Roman"/>
          <w:szCs w:val="24"/>
        </w:rPr>
        <w:t xml:space="preserve"> on a given trial; </w:t>
      </w:r>
      <m:oMath>
        <m:r>
          <m:rPr>
            <m:sty m:val="p"/>
          </m:rPr>
          <w:rPr>
            <w:rFonts w:ascii="Cambria Math" w:hAnsi="Cambria Math" w:cs="Times New Roman"/>
            <w:szCs w:val="24"/>
          </w:rPr>
          <m:t>ΣV</m:t>
        </m:r>
      </m:oMath>
      <w:r w:rsidRPr="006A14B1">
        <w:rPr>
          <w:rFonts w:eastAsiaTheme="minorEastAsia" w:cs="Times New Roman"/>
          <w:szCs w:val="24"/>
        </w:rPr>
        <w:t xml:space="preserve"> is the sum of the associative strength i.e. the expected value. </w:t>
      </w:r>
      <w:r w:rsidRPr="006A14B1">
        <w:rPr>
          <w:rFonts w:cs="Times New Roman"/>
          <w:szCs w:val="24"/>
        </w:rPr>
        <w:t xml:space="preserve">The constant γ represents the proportion of </w:t>
      </w:r>
      <m:oMath>
        <m:r>
          <m:rPr>
            <m:sty m:val="p"/>
          </m:rPr>
          <w:rPr>
            <w:rFonts w:ascii="Cambria Math" w:hAnsi="Cambria Math" w:cs="Times New Roman"/>
            <w:szCs w:val="24"/>
          </w:rPr>
          <m:t>ΣV</m:t>
        </m:r>
      </m:oMath>
      <w:r w:rsidRPr="006A14B1">
        <w:rPr>
          <w:rFonts w:cs="Times New Roman"/>
          <w:szCs w:val="24"/>
        </w:rPr>
        <w:t xml:space="preserve"> available for learning such that </w:t>
      </w:r>
      <m:oMath>
        <m:r>
          <w:rPr>
            <w:rFonts w:ascii="Cambria Math" w:eastAsiaTheme="minorEastAsia" w:hAnsi="Cambria Math" w:cs="Times New Roman"/>
            <w:szCs w:val="24"/>
          </w:rPr>
          <m:t>0≤</m:t>
        </m:r>
        <m:r>
          <m:rPr>
            <m:sty m:val="p"/>
          </m:rPr>
          <w:rPr>
            <w:rFonts w:ascii="Cambria Math" w:hAnsi="Cambria Math" w:cs="Times New Roman"/>
            <w:szCs w:val="24"/>
          </w:rPr>
          <m:t>γ</m:t>
        </m:r>
        <m:r>
          <w:rPr>
            <w:rFonts w:ascii="Cambria Math" w:hAnsi="Cambria Math" w:cs="Times New Roman"/>
            <w:szCs w:val="24"/>
          </w:rPr>
          <m:t>≤</m:t>
        </m:r>
        <m:r>
          <w:rPr>
            <w:rFonts w:ascii="Cambria Math" w:eastAsiaTheme="minorEastAsia" w:hAnsi="Cambria Math" w:cs="Times New Roman"/>
            <w:szCs w:val="24"/>
          </w:rPr>
          <m:t>1</m:t>
        </m:r>
      </m:oMath>
      <w:r w:rsidRPr="006A14B1">
        <w:rPr>
          <w:rFonts w:eastAsiaTheme="minorEastAsia" w:cs="Times New Roman"/>
          <w:szCs w:val="24"/>
        </w:rPr>
        <w:t xml:space="preserve">. </w:t>
      </w:r>
      <w:r w:rsidRPr="006A14B1">
        <w:rPr>
          <w:rFonts w:cs="Times New Roman"/>
          <w:szCs w:val="24"/>
        </w:rPr>
        <w:t xml:space="preserve">In a healthy control animal 100% (γ = 1) of the available outcome expectancy information is available to guide learning. Consequently, further learning will stop once </w:t>
      </w:r>
      <m:oMath>
        <m:r>
          <w:rPr>
            <w:rFonts w:ascii="Cambria Math" w:hAnsi="Cambria Math" w:cs="Times New Roman"/>
            <w:szCs w:val="24"/>
          </w:rPr>
          <m:t>λ=</m:t>
        </m:r>
        <m:r>
          <m:rPr>
            <m:sty m:val="p"/>
          </m:rPr>
          <w:rPr>
            <w:rFonts w:ascii="Cambria Math" w:hAnsi="Cambria Math" w:cs="Times New Roman"/>
            <w:szCs w:val="24"/>
          </w:rPr>
          <m:t>ΣV</m:t>
        </m:r>
      </m:oMath>
      <w:r w:rsidRPr="006A14B1">
        <w:rPr>
          <w:rFonts w:eastAsiaTheme="minorEastAsia" w:cs="Times New Roman"/>
          <w:szCs w:val="24"/>
        </w:rPr>
        <w:t xml:space="preserve"> as the current expected value of the outcome fully accounts for the actual value of the outcome. </w:t>
      </w:r>
      <w:r w:rsidRPr="006A14B1">
        <w:rPr>
          <w:rFonts w:cs="Times New Roman"/>
          <w:szCs w:val="24"/>
        </w:rPr>
        <w:t xml:space="preserve">Following </w:t>
      </w:r>
      <w:r w:rsidR="001E59A5">
        <w:rPr>
          <w:rFonts w:cs="Times New Roman"/>
          <w:szCs w:val="24"/>
        </w:rPr>
        <w:t>OFC</w:t>
      </w:r>
      <w:r w:rsidRPr="006A14B1">
        <w:rPr>
          <w:rFonts w:cs="Times New Roman"/>
          <w:szCs w:val="24"/>
        </w:rPr>
        <w:t xml:space="preserve"> lesions some of this information is lost and, for example, 80% (γ = 0.8) of the available outcome expectancy information is available to guide learning. Therefore, learning will continue beyond the point at which </w:t>
      </w:r>
      <m:oMath>
        <m:r>
          <w:rPr>
            <w:rFonts w:ascii="Cambria Math" w:hAnsi="Cambria Math" w:cs="Times New Roman"/>
            <w:szCs w:val="24"/>
          </w:rPr>
          <m:t>λ=</m:t>
        </m:r>
        <m:r>
          <m:rPr>
            <m:sty m:val="p"/>
          </m:rPr>
          <w:rPr>
            <w:rFonts w:ascii="Cambria Math" w:hAnsi="Cambria Math" w:cs="Times New Roman"/>
            <w:szCs w:val="24"/>
          </w:rPr>
          <m:t>ΣV</m:t>
        </m:r>
      </m:oMath>
      <w:r w:rsidRPr="006A14B1">
        <w:rPr>
          <w:rFonts w:eastAsiaTheme="minorEastAsia" w:cs="Times New Roman"/>
          <w:szCs w:val="24"/>
        </w:rPr>
        <w:t xml:space="preserve"> and will only stop once </w:t>
      </w:r>
      <m:oMath>
        <m:r>
          <w:rPr>
            <w:rFonts w:ascii="Cambria Math" w:hAnsi="Cambria Math" w:cs="Times New Roman"/>
            <w:szCs w:val="24"/>
          </w:rPr>
          <m:t>λ=</m:t>
        </m:r>
        <m:r>
          <m:rPr>
            <m:sty m:val="p"/>
          </m:rPr>
          <w:rPr>
            <w:rFonts w:ascii="Cambria Math" w:hAnsi="Cambria Math" w:cs="Times New Roman"/>
            <w:szCs w:val="24"/>
          </w:rPr>
          <m:t>γΣV</m:t>
        </m:r>
      </m:oMath>
      <w:r w:rsidRPr="006A14B1">
        <w:rPr>
          <w:rFonts w:eastAsiaTheme="minorEastAsia" w:cs="Times New Roman"/>
          <w:szCs w:val="24"/>
        </w:rPr>
        <w:t xml:space="preserve">. Therefore, the asymptote of conditioned behaviour (expressed as some function of </w:t>
      </w:r>
      <m:oMath>
        <m:r>
          <m:rPr>
            <m:sty m:val="p"/>
          </m:rPr>
          <w:rPr>
            <w:rFonts w:ascii="Cambria Math" w:hAnsi="Cambria Math" w:cs="Times New Roman"/>
            <w:szCs w:val="24"/>
          </w:rPr>
          <m:t>ΣV</m:t>
        </m:r>
      </m:oMath>
      <w:r w:rsidRPr="006A14B1">
        <w:rPr>
          <w:rFonts w:eastAsiaTheme="minorEastAsia" w:cs="Times New Roman"/>
          <w:szCs w:val="24"/>
        </w:rPr>
        <w:t xml:space="preserve">) will be determined by </w:t>
      </w:r>
      <m:oMath>
        <m:r>
          <m:rPr>
            <m:sty m:val="p"/>
          </m:rPr>
          <w:rPr>
            <w:rFonts w:ascii="Cambria Math" w:hAnsi="Cambria Math" w:cs="Times New Roman"/>
            <w:szCs w:val="24"/>
          </w:rPr>
          <m:t>ΣV</m:t>
        </m:r>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hAnsi="Cambria Math" w:cs="Times New Roman"/>
                <w:szCs w:val="24"/>
              </w:rPr>
              <m:t>λ</m:t>
            </m:r>
          </m:num>
          <m:den>
            <m:r>
              <m:rPr>
                <m:sty m:val="p"/>
              </m:rPr>
              <w:rPr>
                <w:rFonts w:ascii="Cambria Math" w:hAnsi="Cambria Math" w:cs="Times New Roman"/>
                <w:szCs w:val="24"/>
              </w:rPr>
              <m:t>γ</m:t>
            </m:r>
          </m:den>
        </m:f>
      </m:oMath>
      <w:r w:rsidRPr="006A14B1">
        <w:rPr>
          <w:rFonts w:eastAsiaTheme="minorEastAsia" w:cs="Times New Roman"/>
          <w:szCs w:val="24"/>
        </w:rPr>
        <w:t>, therefore asymptotic conditioned behaviour will be higher following a lesion in this model (</w:t>
      </w:r>
      <m:oMath>
        <m:r>
          <m:rPr>
            <m:sty m:val="p"/>
          </m:rPr>
          <w:rPr>
            <w:rFonts w:ascii="Cambria Math" w:hAnsi="Cambria Math" w:cs="Times New Roman"/>
            <w:szCs w:val="24"/>
          </w:rPr>
          <m:t>γ&lt;1)</m:t>
        </m:r>
      </m:oMath>
      <w:r w:rsidRPr="006A14B1">
        <w:rPr>
          <w:rFonts w:eastAsiaTheme="minorEastAsia" w:cs="Times New Roman"/>
          <w:szCs w:val="24"/>
        </w:rPr>
        <w:t xml:space="preserve"> than an intact </w:t>
      </w:r>
      <w:r w:rsidR="001E59A5">
        <w:rPr>
          <w:rFonts w:eastAsiaTheme="minorEastAsia" w:cs="Times New Roman"/>
          <w:szCs w:val="24"/>
        </w:rPr>
        <w:t>OFC</w:t>
      </w:r>
      <w:r w:rsidRPr="006A14B1">
        <w:rPr>
          <w:rFonts w:eastAsiaTheme="minorEastAsia" w:cs="Times New Roman"/>
          <w:szCs w:val="24"/>
        </w:rPr>
        <w:t xml:space="preserve"> (</w:t>
      </w:r>
      <m:oMath>
        <m:r>
          <m:rPr>
            <m:sty m:val="p"/>
          </m:rPr>
          <w:rPr>
            <w:rFonts w:ascii="Cambria Math" w:hAnsi="Cambria Math" w:cs="Times New Roman"/>
            <w:szCs w:val="24"/>
          </w:rPr>
          <m:t>γ=1)</m:t>
        </m:r>
      </m:oMath>
      <w:r w:rsidRPr="006A14B1">
        <w:rPr>
          <w:rFonts w:eastAsiaTheme="minorEastAsia" w:cs="Times New Roman"/>
          <w:szCs w:val="24"/>
        </w:rPr>
        <w:t>.</w:t>
      </w:r>
    </w:p>
    <w:p w14:paraId="4A6EE6FD" w14:textId="20BA2787" w:rsidR="009B34E7" w:rsidRDefault="009B34E7" w:rsidP="009B34E7">
      <w:pPr>
        <w:spacing w:after="240"/>
        <w:rPr>
          <w:rFonts w:cs="Times New Roman"/>
          <w:szCs w:val="24"/>
        </w:rPr>
      </w:pPr>
      <w:r w:rsidRPr="006A14B1">
        <w:rPr>
          <w:rFonts w:eastAsiaTheme="minorEastAsia" w:cs="Times New Roman"/>
          <w:szCs w:val="24"/>
        </w:rPr>
        <w:tab/>
        <w:t xml:space="preserve">The following simulation of this model (with the lesion parameter set at </w:t>
      </w:r>
      <w:r w:rsidRPr="006A14B1">
        <w:rPr>
          <w:rFonts w:cs="Times New Roman"/>
          <w:szCs w:val="24"/>
        </w:rPr>
        <w:t>γ = 0.8</w:t>
      </w:r>
      <w:r w:rsidRPr="006A14B1">
        <w:rPr>
          <w:rFonts w:eastAsiaTheme="minorEastAsia" w:cs="Times New Roman"/>
          <w:szCs w:val="24"/>
        </w:rPr>
        <w:t xml:space="preserve">) reveals a pattern of acquisition that is similar at the start of acquisition but diverges considerably towards the end of acquisition. This pattern strongly resembles the findings </w:t>
      </w:r>
      <w:r w:rsidR="00E35A08">
        <w:rPr>
          <w:rFonts w:eastAsiaTheme="minorEastAsia" w:cs="Times New Roman"/>
          <w:szCs w:val="24"/>
        </w:rPr>
        <w:t xml:space="preserve">in </w:t>
      </w:r>
      <w:r w:rsidR="00E35A08" w:rsidRPr="00E35A08">
        <w:rPr>
          <w:rFonts w:eastAsiaTheme="minorEastAsia" w:cs="Times New Roman"/>
          <w:szCs w:val="24"/>
          <w:highlight w:val="yellow"/>
        </w:rPr>
        <w:t>Figure 1B</w:t>
      </w:r>
      <w:r w:rsidR="00E35A08">
        <w:rPr>
          <w:rFonts w:eastAsiaTheme="minorEastAsia" w:cs="Times New Roman"/>
          <w:szCs w:val="24"/>
        </w:rPr>
        <w:t xml:space="preserve"> </w:t>
      </w:r>
      <w:r w:rsidRPr="006A14B1">
        <w:rPr>
          <w:rFonts w:eastAsiaTheme="minorEastAsia" w:cs="Times New Roman"/>
          <w:szCs w:val="24"/>
        </w:rPr>
        <w:t xml:space="preserve">with a range of values of </w:t>
      </w:r>
      <w:r w:rsidRPr="006A14B1">
        <w:rPr>
          <w:rFonts w:cs="Times New Roman"/>
          <w:szCs w:val="24"/>
        </w:rPr>
        <w:t xml:space="preserve">γ &gt; 0.6. This provides prima facie evidence of how well the model accounts for the present </w:t>
      </w:r>
      <w:proofErr w:type="gramStart"/>
      <w:r w:rsidRPr="006A14B1">
        <w:rPr>
          <w:rFonts w:cs="Times New Roman"/>
          <w:szCs w:val="24"/>
        </w:rPr>
        <w:t>data,</w:t>
      </w:r>
      <w:proofErr w:type="gramEnd"/>
      <w:r w:rsidRPr="006A14B1">
        <w:rPr>
          <w:rFonts w:cs="Times New Roman"/>
          <w:szCs w:val="24"/>
        </w:rPr>
        <w:t xml:space="preserve"> however the most valid test of the model would be an experimental test of a hypothesis generated from the model. This model predicts that if acquisition initially occurs with a functional LO until asymptote (</w:t>
      </w:r>
      <w:r w:rsidRPr="006A14B1">
        <w:rPr>
          <w:rFonts w:eastAsiaTheme="minorEastAsia" w:cs="Times New Roman"/>
          <w:szCs w:val="24"/>
        </w:rPr>
        <w:t xml:space="preserve">i.e. </w:t>
      </w:r>
      <m:oMath>
        <m:r>
          <m:rPr>
            <m:sty m:val="p"/>
          </m:rPr>
          <w:rPr>
            <w:rFonts w:ascii="Cambria Math" w:hAnsi="Cambria Math" w:cs="Times New Roman"/>
            <w:szCs w:val="24"/>
          </w:rPr>
          <m:t>ΣV=</m:t>
        </m:r>
        <m:r>
          <w:rPr>
            <w:rFonts w:ascii="Cambria Math" w:hAnsi="Cambria Math" w:cs="Times New Roman"/>
            <w:szCs w:val="24"/>
          </w:rPr>
          <m:t>λ</m:t>
        </m:r>
      </m:oMath>
      <w:r w:rsidRPr="006A14B1">
        <w:rPr>
          <w:rFonts w:eastAsiaTheme="minorEastAsia" w:cs="Times New Roman"/>
          <w:szCs w:val="24"/>
        </w:rPr>
        <w:t>) a</w:t>
      </w:r>
      <w:proofErr w:type="spellStart"/>
      <w:r w:rsidRPr="006A14B1">
        <w:rPr>
          <w:rFonts w:eastAsiaTheme="minorEastAsia" w:cs="Times New Roman"/>
          <w:szCs w:val="24"/>
        </w:rPr>
        <w:t>nd</w:t>
      </w:r>
      <w:proofErr w:type="spellEnd"/>
      <w:r w:rsidRPr="006A14B1">
        <w:rPr>
          <w:rFonts w:eastAsiaTheme="minorEastAsia" w:cs="Times New Roman"/>
          <w:szCs w:val="24"/>
        </w:rPr>
        <w:t xml:space="preserve"> no more learning is evident, inactivation of </w:t>
      </w:r>
      <w:r w:rsidR="00980139">
        <w:rPr>
          <w:rFonts w:eastAsiaTheme="minorEastAsia" w:cs="Times New Roman"/>
          <w:szCs w:val="24"/>
        </w:rPr>
        <w:t>OFC</w:t>
      </w:r>
      <w:r w:rsidRPr="006A14B1">
        <w:rPr>
          <w:rFonts w:eastAsiaTheme="minorEastAsia" w:cs="Times New Roman"/>
          <w:szCs w:val="24"/>
        </w:rPr>
        <w:t xml:space="preserve"> should allow learning to temporarily increase above asymptote because </w:t>
      </w:r>
      <m:oMath>
        <m:r>
          <w:rPr>
            <w:rFonts w:ascii="Cambria Math" w:hAnsi="Cambria Math" w:cs="Times New Roman"/>
            <w:szCs w:val="24"/>
          </w:rPr>
          <m:t>λ&lt;</m:t>
        </m:r>
        <m:r>
          <m:rPr>
            <m:sty m:val="p"/>
          </m:rPr>
          <w:rPr>
            <w:rFonts w:ascii="Cambria Math" w:hAnsi="Cambria Math" w:cs="Times New Roman"/>
            <w:szCs w:val="24"/>
          </w:rPr>
          <m:t>γΣV</m:t>
        </m:r>
      </m:oMath>
      <w:r w:rsidRPr="006A14B1">
        <w:rPr>
          <w:rFonts w:eastAsiaTheme="minorEastAsia" w:cs="Times New Roman"/>
          <w:szCs w:val="24"/>
        </w:rPr>
        <w:t>. Informally, the inactivation of LO will cause the outcome to no longer be fully predicted by the CS because only part of this i</w:t>
      </w:r>
      <w:proofErr w:type="spellStart"/>
      <w:r w:rsidRPr="006A14B1">
        <w:rPr>
          <w:rFonts w:eastAsiaTheme="minorEastAsia" w:cs="Times New Roman"/>
          <w:szCs w:val="24"/>
        </w:rPr>
        <w:t>nformation</w:t>
      </w:r>
      <w:proofErr w:type="spellEnd"/>
      <w:r w:rsidRPr="006A14B1">
        <w:rPr>
          <w:rFonts w:eastAsiaTheme="minorEastAsia" w:cs="Times New Roman"/>
          <w:szCs w:val="24"/>
        </w:rPr>
        <w:t xml:space="preserve"> is being used. Similarly, if the function of LO is returned, then any new learning will extinguish until </w:t>
      </w:r>
      <m:oMath>
        <m:r>
          <w:rPr>
            <w:rFonts w:ascii="Cambria Math" w:hAnsi="Cambria Math" w:cs="Times New Roman"/>
            <w:szCs w:val="24"/>
          </w:rPr>
          <m:t>λ=</m:t>
        </m:r>
        <m:r>
          <m:rPr>
            <m:sty m:val="p"/>
          </m:rPr>
          <w:rPr>
            <w:rFonts w:ascii="Cambria Math" w:hAnsi="Cambria Math" w:cs="Times New Roman"/>
            <w:szCs w:val="24"/>
          </w:rPr>
          <m:t>ΣV</m:t>
        </m:r>
      </m:oMath>
      <w:r w:rsidRPr="006A14B1">
        <w:rPr>
          <w:rFonts w:cs="Times New Roman"/>
          <w:szCs w:val="24"/>
        </w:rPr>
        <w:t xml:space="preserve"> again. Thi</w:t>
      </w:r>
      <w:r>
        <w:rPr>
          <w:rFonts w:cs="Times New Roman"/>
          <w:szCs w:val="24"/>
        </w:rPr>
        <w:t xml:space="preserve">s prediction is modelled in </w:t>
      </w:r>
      <w:r w:rsidR="00C04623">
        <w:rPr>
          <w:rFonts w:cs="Times New Roman"/>
          <w:szCs w:val="24"/>
        </w:rPr>
        <w:t>(</w:t>
      </w:r>
      <w:r w:rsidR="00C04623" w:rsidRPr="00C04623">
        <w:rPr>
          <w:rFonts w:cs="Times New Roman"/>
          <w:b/>
          <w:szCs w:val="24"/>
        </w:rPr>
        <w:t>C</w:t>
      </w:r>
      <w:r w:rsidR="00C04623">
        <w:rPr>
          <w:rFonts w:cs="Times New Roman"/>
          <w:szCs w:val="24"/>
        </w:rPr>
        <w:t>)</w:t>
      </w:r>
      <w:r w:rsidRPr="006A14B1">
        <w:rPr>
          <w:rFonts w:cs="Times New Roman"/>
          <w:szCs w:val="24"/>
        </w:rPr>
        <w:t xml:space="preserve">. It is noteworthy that modelling the effect of LO damage in this way produces identical predictions in </w:t>
      </w:r>
      <w:proofErr w:type="gramStart"/>
      <w:r w:rsidRPr="006A14B1">
        <w:rPr>
          <w:rFonts w:cs="Times New Roman"/>
          <w:szCs w:val="24"/>
        </w:rPr>
        <w:t>a number of</w:t>
      </w:r>
      <w:proofErr w:type="gramEnd"/>
      <w:r w:rsidRPr="006A14B1">
        <w:rPr>
          <w:rFonts w:cs="Times New Roman"/>
          <w:szCs w:val="24"/>
        </w:rPr>
        <w:t xml:space="preserve"> other associative learning models </w:t>
      </w:r>
      <w:r>
        <w:rPr>
          <w:rFonts w:cs="Times New Roman"/>
          <w:noProof/>
          <w:szCs w:val="24"/>
        </w:rPr>
        <w:t>(Esber &amp; Haselgrove, 2011; Mackintosh, 1975; Pearce &amp; Hall, 1980; Rescorla &amp; Wagner, 1972)</w:t>
      </w:r>
      <w:r w:rsidRPr="006A14B1">
        <w:rPr>
          <w:rFonts w:cs="Times New Roman"/>
          <w:szCs w:val="24"/>
        </w:rPr>
        <w:t xml:space="preserve"> and therefore may also affect other aspects of learning such as attention. Furthermore, even though the hypothesis was generated using the current mathematical model, the prediction and underlying mechanism would be the same for any interpretation of the increased responding in </w:t>
      </w:r>
      <w:r w:rsidR="00980139" w:rsidRPr="00980139">
        <w:rPr>
          <w:rFonts w:cs="Times New Roman"/>
          <w:szCs w:val="24"/>
          <w:highlight w:val="yellow"/>
        </w:rPr>
        <w:t>Figure 1B</w:t>
      </w:r>
      <w:r w:rsidRPr="006A14B1">
        <w:rPr>
          <w:rFonts w:cs="Times New Roman"/>
          <w:szCs w:val="24"/>
        </w:rPr>
        <w:t xml:space="preserve"> as increased </w:t>
      </w:r>
      <w:r w:rsidR="00980139">
        <w:rPr>
          <w:rFonts w:cs="Times New Roman"/>
          <w:szCs w:val="24"/>
        </w:rPr>
        <w:t>cue-outcome</w:t>
      </w:r>
      <w:r w:rsidRPr="006A14B1">
        <w:rPr>
          <w:rFonts w:cs="Times New Roman"/>
          <w:szCs w:val="24"/>
        </w:rPr>
        <w:t xml:space="preserve"> learning. If </w:t>
      </w:r>
      <w:r w:rsidR="00980139">
        <w:rPr>
          <w:rFonts w:cs="Times New Roman"/>
          <w:szCs w:val="24"/>
        </w:rPr>
        <w:t>OFC</w:t>
      </w:r>
      <w:r w:rsidRPr="006A14B1">
        <w:rPr>
          <w:rFonts w:cs="Times New Roman"/>
          <w:szCs w:val="24"/>
        </w:rPr>
        <w:t xml:space="preserve"> damage increases learning, then transient inactivation of </w:t>
      </w:r>
      <w:r w:rsidR="00980139">
        <w:rPr>
          <w:rFonts w:cs="Times New Roman"/>
          <w:szCs w:val="24"/>
        </w:rPr>
        <w:t>OFC</w:t>
      </w:r>
      <w:r w:rsidRPr="006A14B1">
        <w:rPr>
          <w:rFonts w:cs="Times New Roman"/>
          <w:szCs w:val="24"/>
        </w:rPr>
        <w:t xml:space="preserve"> should temporarily allow learning to increase. Therefore, the following experiment explicitly tested this model.</w:t>
      </w:r>
    </w:p>
    <w:p w14:paraId="795A3FF8" w14:textId="77777777" w:rsidR="009B34E7" w:rsidRPr="004228B5" w:rsidRDefault="009B34E7" w:rsidP="000905E4">
      <w:pPr>
        <w:jc w:val="both"/>
        <w:rPr>
          <w:rFonts w:cs="Times New Roman"/>
          <w:color w:val="auto"/>
          <w:szCs w:val="24"/>
          <w:lang w:val="en-US"/>
        </w:rPr>
      </w:pPr>
    </w:p>
    <w:p w14:paraId="4CE307D0" w14:textId="77777777" w:rsidR="00551425" w:rsidRDefault="00551425"/>
    <w:sectPr w:rsidR="00551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790"/>
    <w:rsid w:val="000905E4"/>
    <w:rsid w:val="001E59A5"/>
    <w:rsid w:val="003E2DFF"/>
    <w:rsid w:val="00551425"/>
    <w:rsid w:val="00557789"/>
    <w:rsid w:val="0077449F"/>
    <w:rsid w:val="008631D6"/>
    <w:rsid w:val="00980139"/>
    <w:rsid w:val="009B34E7"/>
    <w:rsid w:val="00AF3790"/>
    <w:rsid w:val="00C04623"/>
    <w:rsid w:val="00C05D73"/>
    <w:rsid w:val="00C216D6"/>
    <w:rsid w:val="00CC24DF"/>
    <w:rsid w:val="00E35A08"/>
    <w:rsid w:val="00E86FDD"/>
    <w:rsid w:val="00FA3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3A98"/>
  <w15:chartTrackingRefBased/>
  <w15:docId w15:val="{265E7A62-7853-45B0-8DDD-584D5FFD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5E4"/>
    <w:pPr>
      <w:spacing w:line="360" w:lineRule="auto"/>
    </w:pPr>
    <w:rPr>
      <w:rFonts w:ascii="Times New Roman" w:hAnsi="Times New Roman"/>
      <w:color w:val="000000" w:themeColor="text1"/>
      <w:sz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s">
    <w:name w:val="Figures"/>
    <w:basedOn w:val="Normal"/>
    <w:link w:val="FiguresChar"/>
    <w:qFormat/>
    <w:rsid w:val="000905E4"/>
    <w:pPr>
      <w:keepNext/>
      <w:keepLines/>
      <w:spacing w:before="240" w:after="240"/>
      <w:contextualSpacing/>
      <w:jc w:val="both"/>
      <w:outlineLvl w:val="0"/>
    </w:pPr>
    <w:rPr>
      <w:rFonts w:eastAsiaTheme="majorEastAsia" w:cstheme="majorBidi"/>
      <w:b/>
      <w:noProof/>
      <w:szCs w:val="32"/>
      <w:lang w:eastAsia="en-AU"/>
    </w:rPr>
  </w:style>
  <w:style w:type="character" w:customStyle="1" w:styleId="FiguresChar">
    <w:name w:val="Figures Char"/>
    <w:basedOn w:val="DefaultParagraphFont"/>
    <w:link w:val="Figures"/>
    <w:rsid w:val="000905E4"/>
    <w:rPr>
      <w:rFonts w:ascii="Times New Roman" w:eastAsiaTheme="majorEastAsia" w:hAnsi="Times New Roman" w:cstheme="majorBidi"/>
      <w:b/>
      <w:noProof/>
      <w:color w:val="000000" w:themeColor="text1"/>
      <w:sz w:val="24"/>
      <w:szCs w:val="3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817</Words>
  <Characters>4658</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15</cp:revision>
  <dcterms:created xsi:type="dcterms:W3CDTF">2019-04-15T09:38:00Z</dcterms:created>
  <dcterms:modified xsi:type="dcterms:W3CDTF">2019-04-15T10:09:00Z</dcterms:modified>
</cp:coreProperties>
</file>