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2577" w14:textId="77777777" w:rsidR="00AB203C" w:rsidRDefault="00AB203C" w:rsidP="00AB203C">
      <w:pPr>
        <w:rPr>
          <w:rFonts w:cs="Times New Roman"/>
          <w:b/>
          <w:szCs w:val="24"/>
        </w:rPr>
      </w:pPr>
      <w:r w:rsidRPr="00646DD8">
        <w:rPr>
          <w:rFonts w:cs="Times New Roman"/>
          <w:b/>
          <w:szCs w:val="24"/>
        </w:rPr>
        <w:t>Methods</w:t>
      </w:r>
    </w:p>
    <w:p w14:paraId="6E8109BD" w14:textId="54FB23B2" w:rsidR="00AB203C" w:rsidRDefault="00AB203C" w:rsidP="00AB203C">
      <w:pPr>
        <w:spacing w:line="480" w:lineRule="auto"/>
        <w:ind w:firstLine="720"/>
      </w:pPr>
      <w:r>
        <w:rPr>
          <w:i/>
        </w:rPr>
        <w:t>Animals.</w:t>
      </w:r>
      <w:r>
        <w:t xml:space="preserve"> Rats were housed four per cage in ventilated Plexiglass cages in a temperature regulated (22 ± 1</w:t>
      </w:r>
      <w: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 Subjects were and one hundred and twelve male Wistar rats (BRC Laboratory Animal Service, University of Adelaide, South Australia, Australia) approximately 4 months old (</w:t>
      </w:r>
      <w:r w:rsidRPr="00AB203C">
        <w:rPr>
          <w:highlight w:val="yellow"/>
        </w:rPr>
        <w:t xml:space="preserve">Experiment </w:t>
      </w:r>
      <w:r w:rsidRPr="00AB203C">
        <w:rPr>
          <w:highlight w:val="yellow"/>
        </w:rPr>
        <w:t>1</w:t>
      </w:r>
      <w:r w:rsidRPr="00AB203C">
        <w:rPr>
          <w:highlight w:val="yellow"/>
        </w:rPr>
        <w:t xml:space="preserve">, N = 32, weighing between 343-452 g, M = 403.6 g; Experiment </w:t>
      </w:r>
      <w:r w:rsidRPr="00AB203C">
        <w:rPr>
          <w:highlight w:val="yellow"/>
        </w:rPr>
        <w:t>2</w:t>
      </w:r>
      <w:r w:rsidRPr="00AB203C">
        <w:rPr>
          <w:highlight w:val="yellow"/>
        </w:rPr>
        <w:t>, N = 64, weighing between 343-452 g, M = 403.6 g</w:t>
      </w:r>
      <w:r>
        <w:t>).</w:t>
      </w:r>
    </w:p>
    <w:p w14:paraId="02891FA9" w14:textId="77777777" w:rsidR="00AB203C" w:rsidRDefault="00AB203C" w:rsidP="00AB203C">
      <w:pPr>
        <w:spacing w:line="480" w:lineRule="auto"/>
        <w:ind w:firstLine="720"/>
      </w:pPr>
      <w:r>
        <w:rPr>
          <w:i/>
        </w:rPr>
        <w:t>Apparatus.</w:t>
      </w:r>
      <w: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w:t>
      </w:r>
      <w:proofErr w:type="gramStart"/>
      <w:r>
        <w:lastRenderedPageBreak/>
        <w:t>back right</w:t>
      </w:r>
      <w:proofErr w:type="gramEnd"/>
      <w:r>
        <w:t xml:space="preserve"> corner of the cabinet was used as an auditory stimulus. The chambers were wiped down with ethanol (80% v/v) between each session. A computer equipped with Med-PC software </w:t>
      </w:r>
      <w:r>
        <w:rPr>
          <w:color w:val="000000"/>
        </w:rPr>
        <w:t>(Med Associates Inc., St. Albans, VT, USA)</w:t>
      </w:r>
      <w:r>
        <w:t xml:space="preserve"> was used to control the experimental procedures and record data.</w:t>
      </w:r>
    </w:p>
    <w:p w14:paraId="1BC244C0" w14:textId="364B84BC" w:rsidR="00AB203C" w:rsidRDefault="00AB203C" w:rsidP="00AB203C">
      <w:pPr>
        <w:spacing w:line="480" w:lineRule="auto"/>
        <w:ind w:firstLine="720"/>
      </w:pPr>
      <w:r>
        <w:rPr>
          <w:i/>
        </w:rPr>
        <w:t>Devaluation chambers.</w:t>
      </w:r>
      <w:r>
        <w:t xml:space="preserve"> To provide individual access to reinforcers during the devaluation procedure, rats were individually placed into a mouse cage (33 x 18 x 14 cm clear Perspex cage with a wireframe top). Pellet reinforcers were presented in small glass ramekins inside the box and liquid reinforcers were presented in water bottles with a sipper tube. 1 day prior to the start of the devaluation period, all rats were exposed to the mouse cages and given 30 mins of free access to home cage food and water to reduce novelty to the context and consuming from the ramekin and water bottles.</w:t>
      </w:r>
    </w:p>
    <w:p w14:paraId="69D32DF8" w14:textId="1F08304E" w:rsidR="00AB203C" w:rsidRDefault="00AB203C" w:rsidP="00AB203C">
      <w:pPr>
        <w:spacing w:line="480" w:lineRule="auto"/>
        <w:ind w:firstLine="720"/>
        <w:rPr>
          <w:rFonts w:eastAsiaTheme="minorEastAsia"/>
          <w:b/>
          <w:i/>
        </w:rPr>
      </w:pPr>
      <w:r>
        <w:rPr>
          <w:i/>
        </w:rPr>
        <w:t>Reinforcers</w:t>
      </w:r>
      <w:r>
        <w:rPr>
          <w:b/>
        </w:rPr>
        <w:t xml:space="preserve">. </w:t>
      </w:r>
      <w:r>
        <w:t>The reinforcers used were a single grain pellet (45 mg dustless precision grain-based pellets; Bio-serv, Frenchtown, NJ, USA), 20% w/v sucrose solution and 20% w/v maltodextrin solution (</w:t>
      </w:r>
      <w:proofErr w:type="spellStart"/>
      <w:r>
        <w:t>Myopure</w:t>
      </w:r>
      <w:proofErr w:type="spellEnd"/>
      <w:r>
        <w:t xml:space="preserve">, Petersham, NSW, Australia). Liquid reinforcers were flavoured with either 0.4% v/v concentrated lemon juice (Berri, Melbourne, Victoria, Australia) or 0.2% v/v peppermint extract (Queen Fine Foods, Alderley, QLD, Australia) to provide unique sensory properties to each reinforcer. Liquids were delivered over a period of 0.33 s via a peristaltic pump corresponding to a volume of 0.2 </w:t>
      </w:r>
      <w:proofErr w:type="spellStart"/>
      <w:r>
        <w:t>mL.</w:t>
      </w:r>
      <w:proofErr w:type="spellEnd"/>
      <w:r>
        <w:t xml:space="preserve"> The volume and concentration of liquid reinforcers was chosen to match the calorific value of the corresponding grain pellet </w:t>
      </w:r>
      <w:proofErr w:type="gramStart"/>
      <w:r>
        <w:t>reward, and</w:t>
      </w:r>
      <w:proofErr w:type="gramEnd"/>
      <w:r>
        <w:t xml:space="preserve">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w:t>
      </w:r>
      <w:r>
        <w:lastRenderedPageBreak/>
        <w:t>sessions all animals were pre-exposed to the reinforcers (10 g of pellets per animal and 25 ml of liquid reinforcer per animal) in their home cage.</w:t>
      </w:r>
      <w:r>
        <w:rPr>
          <w:rFonts w:eastAsiaTheme="minorEastAsia"/>
          <w:b/>
          <w:i/>
        </w:rPr>
        <w:t xml:space="preserve"> </w:t>
      </w:r>
    </w:p>
    <w:p w14:paraId="4EA8356B" w14:textId="77777777" w:rsidR="00AB203C" w:rsidRDefault="00AB203C" w:rsidP="00AB203C">
      <w:pPr>
        <w:spacing w:line="480" w:lineRule="auto"/>
        <w:ind w:firstLine="720"/>
      </w:pPr>
      <w:r>
        <w:rPr>
          <w:i/>
        </w:rPr>
        <w:t xml:space="preserve">Magazine training. </w:t>
      </w:r>
      <w:r>
        <w:t>In all experiments, animals received two sessions of magazine training, one for each reinforcer with the following parameters: reward delivery was on an RT60 s schedule for 16 rewards with the house light and fan kept on throughout the session. Sessions were separated by at least 2 hours.</w:t>
      </w:r>
    </w:p>
    <w:p w14:paraId="05689FB2" w14:textId="77777777" w:rsidR="00AB203C" w:rsidRDefault="00AB203C" w:rsidP="002B5549">
      <w:pPr>
        <w:pStyle w:val="3MariosLevel3"/>
        <w:spacing w:line="480" w:lineRule="auto"/>
        <w:ind w:left="0"/>
        <w:rPr>
          <w:i w:val="0"/>
        </w:rPr>
      </w:pPr>
    </w:p>
    <w:p w14:paraId="45E573B6" w14:textId="7D3EB2C0" w:rsidR="002B5549" w:rsidRDefault="002B5549" w:rsidP="002B5549">
      <w:pPr>
        <w:pStyle w:val="3MariosLevel3"/>
        <w:spacing w:line="480" w:lineRule="auto"/>
        <w:ind w:left="0"/>
        <w:rPr>
          <w:i w:val="0"/>
        </w:rPr>
      </w:pPr>
      <w:r w:rsidRPr="00646DD8">
        <w:rPr>
          <w:i w:val="0"/>
        </w:rPr>
        <w:t xml:space="preserve">Experiment </w:t>
      </w:r>
      <w:r w:rsidR="0051241D">
        <w:rPr>
          <w:i w:val="0"/>
        </w:rPr>
        <w:t>2</w:t>
      </w:r>
      <w:r w:rsidRPr="00646DD8">
        <w:rPr>
          <w:i w:val="0"/>
        </w:rPr>
        <w:t xml:space="preserve">. Sensory Specific </w:t>
      </w:r>
      <w:r>
        <w:rPr>
          <w:i w:val="0"/>
        </w:rPr>
        <w:t xml:space="preserve">Satiety and </w:t>
      </w:r>
      <w:r w:rsidRPr="00646DD8">
        <w:rPr>
          <w:i w:val="0"/>
        </w:rPr>
        <w:t>Pavlovian to Instrumental Transfer</w:t>
      </w:r>
      <w:r w:rsidR="0051241D">
        <w:rPr>
          <w:i w:val="0"/>
        </w:rPr>
        <w:t xml:space="preserve"> Single Lever</w:t>
      </w:r>
    </w:p>
    <w:p w14:paraId="0E94D9B2" w14:textId="77777777" w:rsidR="002B5549" w:rsidRDefault="002B5549" w:rsidP="002B5549">
      <w:pPr>
        <w:pStyle w:val="3MariosLevel3"/>
        <w:spacing w:line="480" w:lineRule="auto"/>
        <w:rPr>
          <w:lang w:val="en-US"/>
        </w:rPr>
      </w:pPr>
      <w:r>
        <w:rPr>
          <w:lang w:val="en-US"/>
        </w:rPr>
        <w:t>Acquisition Training</w:t>
      </w:r>
    </w:p>
    <w:p w14:paraId="7F704D90" w14:textId="77777777" w:rsidR="002B5549" w:rsidRDefault="002B5549" w:rsidP="002B5549">
      <w:pPr>
        <w:pStyle w:val="NormalWeb"/>
        <w:spacing w:before="0" w:beforeAutospacing="0" w:after="0" w:afterAutospacing="0" w:line="480" w:lineRule="auto"/>
        <w:rPr>
          <w:color w:val="000000"/>
          <w:lang w:val="en-US"/>
        </w:rPr>
      </w:pPr>
      <w:r>
        <w:rPr>
          <w:color w:val="000000"/>
          <w:lang w:val="en-US"/>
        </w:rPr>
        <w:t>On each day all animals received either a single Pavlovian training session, or two instrumental training sessions. The order of Pavlovian and instrumental sessions alternated each day.</w:t>
      </w:r>
    </w:p>
    <w:p w14:paraId="125C8D98" w14:textId="77777777" w:rsidR="002B5549" w:rsidRDefault="002B5549" w:rsidP="002B5549">
      <w:pPr>
        <w:pStyle w:val="NormalWeb"/>
        <w:spacing w:before="0" w:beforeAutospacing="0" w:after="0" w:afterAutospacing="0" w:line="480" w:lineRule="auto"/>
        <w:rPr>
          <w:color w:val="000000"/>
          <w:lang w:val="en-US"/>
        </w:rPr>
      </w:pPr>
    </w:p>
    <w:p w14:paraId="03B0B280" w14:textId="77777777" w:rsidR="002B5549" w:rsidRDefault="002B5549" w:rsidP="002B5549">
      <w:pPr>
        <w:pStyle w:val="3MariosLevel3"/>
        <w:spacing w:line="480" w:lineRule="auto"/>
        <w:rPr>
          <w:lang w:val="en-US"/>
        </w:rPr>
      </w:pPr>
      <w:r>
        <w:rPr>
          <w:lang w:val="en-US"/>
        </w:rPr>
        <w:t>Pavlovian Training</w:t>
      </w:r>
    </w:p>
    <w:p w14:paraId="2CBC8768" w14:textId="77777777" w:rsidR="002B5549" w:rsidRDefault="002B5549" w:rsidP="002B5549">
      <w:pPr>
        <w:pStyle w:val="NormalWeb"/>
        <w:spacing w:before="0" w:beforeAutospacing="0" w:after="0" w:afterAutospacing="0" w:line="480" w:lineRule="auto"/>
        <w:rPr>
          <w:color w:val="000000"/>
          <w:lang w:val="en-US"/>
        </w:rPr>
      </w:pPr>
      <w:r>
        <w:rPr>
          <w:color w:val="000000"/>
          <w:lang w:val="en-US"/>
        </w:rPr>
        <w:t xml:space="preserve">All animals received a total of 6 days of Pavlovian training. Pavlovian training sessions consisted of 3 CSs, a 2800 Hz, 80 dB tone, 78 dB white noise and a 5 Hz train of clicks. There were 4 presentations of each cue (i.e. a total of 12 cues presented within a session) each lasting 2 mins with a variable ITI of 300s. Reward was delivered throughout the cue period on a RT 30s schedule. Each cue was paired with a unique outcome (grain pellet, lemon sucrose, and peppermint maltodextrin) and the identity of that outcome remained constant. All unique cue-outcome combinations were counterbalanced across animals and within groups. </w:t>
      </w:r>
    </w:p>
    <w:p w14:paraId="57A36F61" w14:textId="77777777" w:rsidR="002B5549" w:rsidRDefault="002B5549" w:rsidP="002B5549">
      <w:pPr>
        <w:pStyle w:val="NormalWeb"/>
        <w:spacing w:before="0" w:beforeAutospacing="0" w:after="0" w:afterAutospacing="0" w:line="480" w:lineRule="auto"/>
        <w:rPr>
          <w:color w:val="000000"/>
          <w:lang w:val="en-US"/>
        </w:rPr>
      </w:pPr>
    </w:p>
    <w:p w14:paraId="33F4CAD5" w14:textId="77777777" w:rsidR="002B5549" w:rsidRDefault="002B5549" w:rsidP="002B5549">
      <w:pPr>
        <w:pStyle w:val="3MariosLevel3"/>
        <w:spacing w:line="480" w:lineRule="auto"/>
        <w:rPr>
          <w:lang w:val="en-US"/>
        </w:rPr>
      </w:pPr>
      <w:r>
        <w:rPr>
          <w:lang w:val="en-US"/>
        </w:rPr>
        <w:t>Instrumental Training</w:t>
      </w:r>
    </w:p>
    <w:p w14:paraId="51162B1D" w14:textId="77777777" w:rsidR="002B5549" w:rsidRDefault="002B5549" w:rsidP="002B5549">
      <w:pPr>
        <w:pStyle w:val="NormalWeb"/>
        <w:spacing w:before="0" w:beforeAutospacing="0" w:after="0" w:afterAutospacing="0" w:line="480" w:lineRule="auto"/>
        <w:ind w:firstLine="720"/>
        <w:rPr>
          <w:color w:val="000000"/>
          <w:lang w:val="en-US"/>
        </w:rPr>
      </w:pPr>
      <w:r>
        <w:rPr>
          <w:color w:val="000000"/>
          <w:lang w:val="en-US"/>
        </w:rPr>
        <w:t xml:space="preserve">Prior to Pavlovian and instrumental acquisition training all animals were given 2 days of lever training on a continuous reinforcement schedule (each lever press was rewarded) using the same parameters as the instrumental training sessions. </w:t>
      </w:r>
    </w:p>
    <w:p w14:paraId="5A80DA4A" w14:textId="77777777" w:rsidR="002B5549" w:rsidRDefault="002B5549" w:rsidP="002B5549">
      <w:pPr>
        <w:pStyle w:val="NormalWeb"/>
        <w:spacing w:before="0" w:beforeAutospacing="0" w:after="0" w:afterAutospacing="0" w:line="480" w:lineRule="auto"/>
        <w:rPr>
          <w:color w:val="000000"/>
          <w:lang w:val="en-US"/>
        </w:rPr>
      </w:pPr>
    </w:p>
    <w:p w14:paraId="1C433229" w14:textId="77777777" w:rsidR="002B5549" w:rsidRDefault="002B5549" w:rsidP="002B5549">
      <w:pPr>
        <w:pStyle w:val="NormalWeb"/>
        <w:spacing w:before="0" w:beforeAutospacing="0" w:after="0" w:afterAutospacing="0" w:line="480" w:lineRule="auto"/>
        <w:ind w:firstLine="720"/>
        <w:rPr>
          <w:color w:val="000000"/>
          <w:lang w:val="en-US"/>
        </w:rPr>
      </w:pPr>
      <w:r>
        <w:rPr>
          <w:color w:val="000000"/>
          <w:lang w:val="en-US"/>
        </w:rPr>
        <w:t xml:space="preserve">All animals received a total of 6 days of instrumental training. Instrumental training involved two sessions per day, separated by at least one hour. During the session a single lever was </w:t>
      </w:r>
      <w:proofErr w:type="gramStart"/>
      <w:r>
        <w:rPr>
          <w:color w:val="000000"/>
          <w:lang w:val="en-US"/>
        </w:rPr>
        <w:t>extended</w:t>
      </w:r>
      <w:proofErr w:type="gramEnd"/>
      <w:r>
        <w:rPr>
          <w:color w:val="000000"/>
          <w:lang w:val="en-US"/>
        </w:rPr>
        <w:t xml:space="preserve"> and lever pressing was rewarded with a unique liquid outcome, either lemon sucrose or peppermint maltodextrin. During the second instrumental session of the day, a different lever was </w:t>
      </w:r>
      <w:proofErr w:type="gramStart"/>
      <w:r>
        <w:rPr>
          <w:color w:val="000000"/>
          <w:lang w:val="en-US"/>
        </w:rPr>
        <w:t>extended</w:t>
      </w:r>
      <w:proofErr w:type="gramEnd"/>
      <w:r>
        <w:rPr>
          <w:color w:val="000000"/>
          <w:lang w:val="en-US"/>
        </w:rPr>
        <w:t xml:space="preserve"> and lever pressing was rewarded with the unique liquid outcome that was not paired with the earlier lever. The identity of the lever outcome pairings was kept constant throughout training and was counterbalanced between subjects and within groups. Training sessions lasted until a maximum of 20 rewards was earned or until 30 mins had elapsed. On the first two days, reinforcement was delivered on a random ratio 5 schedule (RR5) such that on average a reward was delivered every 5 lever presses, followed by four days of RR10.</w:t>
      </w:r>
    </w:p>
    <w:p w14:paraId="172964C0" w14:textId="77777777" w:rsidR="002B5549" w:rsidRDefault="002B5549" w:rsidP="002B5549">
      <w:pPr>
        <w:pStyle w:val="NormalWeb"/>
        <w:spacing w:before="0" w:beforeAutospacing="0" w:after="0" w:afterAutospacing="0" w:line="480" w:lineRule="auto"/>
        <w:rPr>
          <w:color w:val="000000"/>
          <w:lang w:val="en-US"/>
        </w:rPr>
      </w:pPr>
    </w:p>
    <w:p w14:paraId="2A0ACD01" w14:textId="77777777" w:rsidR="002B5549" w:rsidRDefault="002B5549" w:rsidP="002B5549">
      <w:pPr>
        <w:pStyle w:val="3MariosLevel3"/>
        <w:spacing w:line="480" w:lineRule="auto"/>
        <w:ind w:left="0" w:firstLine="720"/>
      </w:pPr>
      <w:r>
        <w:t>Devaluation</w:t>
      </w:r>
    </w:p>
    <w:p w14:paraId="7B675C20" w14:textId="77777777" w:rsidR="002B5549" w:rsidRDefault="002B5549" w:rsidP="002B5549">
      <w:pPr>
        <w:spacing w:after="240" w:line="480" w:lineRule="auto"/>
        <w:ind w:firstLine="720"/>
        <w:rPr>
          <w:rFonts w:cs="Times New Roman"/>
          <w:szCs w:val="24"/>
        </w:rPr>
      </w:pPr>
      <w:r>
        <w:rPr>
          <w:rFonts w:cs="Times New Roman"/>
          <w:szCs w:val="24"/>
        </w:rPr>
        <w:t xml:space="preserve">Satiety devaluation was achieved by providing rats with 1 hour of free access to one of the liquid reinforcers in the devaluation chamber. At the end of the </w:t>
      </w:r>
      <w:proofErr w:type="gramStart"/>
      <w:r>
        <w:rPr>
          <w:rFonts w:cs="Times New Roman"/>
          <w:szCs w:val="24"/>
        </w:rPr>
        <w:t>1 hour</w:t>
      </w:r>
      <w:proofErr w:type="gramEnd"/>
      <w:r>
        <w:rPr>
          <w:rFonts w:cs="Times New Roman"/>
          <w:szCs w:val="24"/>
        </w:rPr>
        <w:t xml:space="preserve"> period animals were removed from the devaluation chamber and put back in their home cage and immediately transferred to the test chambers. One of the liquid reinforcers was devalued using this method on two consecutive days to allow a test on each lever. Following 2 further days of Pavlovian and </w:t>
      </w:r>
      <w:r>
        <w:rPr>
          <w:rFonts w:cs="Times New Roman"/>
          <w:szCs w:val="24"/>
        </w:rPr>
        <w:lastRenderedPageBreak/>
        <w:t>instrumental training, the alternative liquid reinforcer was devalued for two days. This resulted in both liquid reinforcers being devalued and tested with each lever.</w:t>
      </w:r>
    </w:p>
    <w:p w14:paraId="474643BE" w14:textId="77777777" w:rsidR="002B5549" w:rsidRDefault="002B5549" w:rsidP="002B5549">
      <w:pPr>
        <w:pStyle w:val="3MariosLevel3"/>
        <w:spacing w:line="480" w:lineRule="auto"/>
        <w:rPr>
          <w:lang w:val="en-US"/>
        </w:rPr>
      </w:pPr>
      <w:r>
        <w:rPr>
          <w:lang w:val="en-US"/>
        </w:rPr>
        <w:t>PIT Test</w:t>
      </w:r>
    </w:p>
    <w:p w14:paraId="6DA19D46" w14:textId="7F8297B4" w:rsidR="002B5549" w:rsidRDefault="002B5549" w:rsidP="002B5549">
      <w:pPr>
        <w:pStyle w:val="NormalWeb"/>
        <w:spacing w:before="0" w:beforeAutospacing="0" w:after="0" w:afterAutospacing="0" w:line="480" w:lineRule="auto"/>
        <w:ind w:firstLine="720"/>
        <w:rPr>
          <w:color w:val="000000"/>
          <w:lang w:val="en-US"/>
        </w:rPr>
      </w:pPr>
      <w:r>
        <w:rPr>
          <w:color w:val="000000"/>
          <w:lang w:val="en-US"/>
        </w:rPr>
        <w:t xml:space="preserve">The PIT test involved a single lever presented at the start of the session for 10 mins with no programmed consequences to extinguish lever pressing behavior to a low baseline rate (this allows for clearer demonstration of the potential rate-enhancing effect of CS presentations). Then the CSs were played for 2 min with a fixed 2 min inter-stimulus interval. Each CS was played three times (a total of 9 CS presentations) and the order of CS presentation was randomized. Throughout the session no rewards were delivered and lever </w:t>
      </w:r>
      <w:proofErr w:type="gramStart"/>
      <w:r>
        <w:rPr>
          <w:color w:val="000000"/>
          <w:lang w:val="en-US"/>
        </w:rPr>
        <w:t>pressing</w:t>
      </w:r>
      <w:proofErr w:type="gramEnd"/>
      <w:r>
        <w:rPr>
          <w:color w:val="000000"/>
          <w:lang w:val="en-US"/>
        </w:rPr>
        <w:t xml:space="preserve"> and magazine entry were recorded with no programmed consequences. A second identical test session was conducted on the following day using the lever that had yet to be tested. Order of lever presentation was counterbalanced. This pattern of tests was repeated once after 4 days of retraining on Pavlovian and instrumental sessions. </w:t>
      </w:r>
    </w:p>
    <w:p w14:paraId="15CB322E" w14:textId="77777777" w:rsidR="002B5549" w:rsidRPr="000779E4" w:rsidRDefault="002B5549" w:rsidP="002B5549">
      <w:pPr>
        <w:spacing w:after="240" w:line="480" w:lineRule="auto"/>
        <w:rPr>
          <w:rFonts w:cs="Times New Roman"/>
          <w:szCs w:val="24"/>
        </w:rPr>
      </w:pPr>
      <w:r w:rsidRPr="000779E4">
        <w:rPr>
          <w:rFonts w:cs="Times New Roman"/>
          <w:b/>
          <w:szCs w:val="24"/>
        </w:rPr>
        <w:t>The effect of sensory specific satiety on Pavlovian cue representations</w:t>
      </w:r>
    </w:p>
    <w:p w14:paraId="2F50BA05" w14:textId="77777777" w:rsidR="002B5549" w:rsidRPr="000779E4" w:rsidRDefault="002B5549" w:rsidP="002B5549">
      <w:pPr>
        <w:spacing w:line="480" w:lineRule="auto"/>
        <w:ind w:firstLine="720"/>
        <w:rPr>
          <w:rFonts w:cs="Times New Roman"/>
          <w:szCs w:val="24"/>
        </w:rPr>
      </w:pPr>
      <w:r w:rsidRPr="0051241D">
        <w:rPr>
          <w:rFonts w:cs="Times New Roman"/>
          <w:szCs w:val="24"/>
          <w:highlight w:val="yellow"/>
        </w:rPr>
        <w:t>The rodent OFC appears to be critical to updating cue-guided behaviour when the value of the outcome is devalued by taste aversion but not by specific satiety processes.</w:t>
      </w:r>
      <w:bookmarkStart w:id="0" w:name="_GoBack"/>
      <w:bookmarkEnd w:id="0"/>
      <w:r w:rsidRPr="000779E4">
        <w:rPr>
          <w:rFonts w:cs="Times New Roman"/>
          <w:szCs w:val="24"/>
        </w:rPr>
        <w:t xml:space="preserve"> Both methods of devaluation are used interchangeably to probe an organism’s ability to update behaviour the value of an outcome changes, and to establish learning about associations between cues and specific outcome identities </w:t>
      </w:r>
      <w:r w:rsidRPr="000779E4">
        <w:rPr>
          <w:rFonts w:cs="Times New Roman"/>
          <w:szCs w:val="24"/>
        </w:rPr>
        <w:fldChar w:fldCharType="begin" w:fldLock="1"/>
      </w:r>
      <w:r>
        <w:rPr>
          <w:rFonts w:cs="Times New Roman"/>
          <w:szCs w:val="24"/>
        </w:rPr>
        <w:instrText>ADDIN CSL_CITATION { "citationItems" : [ { "id" : "ITEM-1", "itemData" : { "ISBN" : "1529-2401 (Electronic)\r0270-6474 (Linking)", "PMID" : "12533626", "abstract" : "In three experiments, we assessed the effect of lesions of the amygdala basolateral complex (BLA) on instrumental conditioning in rats. In experiment 1, the lesion had no effect on the acquisition of either lever pressing or chain pulling in food-deprived rats whether these actions earned food pellets or a maltodextrin solution. The lesion did attenuate, however, the impact of outcome devaluation, induced by sensory-specific satiety, on instrumental performance both when assessed in extinction and when reward was delivered contingent on instrumental performance. In experiment 2, evidence was found to suggest that the lesioned rats differed from shams in their ability to encode the specific action-outcome contingencies to which they were exposed during training: lesioned rats failed to adjust their performance appropriately when the action-outcome contingency was degraded. These effects were not caused by an inability of BLA lesioned rats to discriminate the two instrumental actions; these rats were similar to shams in their acquisition of a heterogeneous instrumental chain involving lever pressing and chain pulling (experiment 3). In experiment 4, however, lesions of the BLA were found to produce a deficit in the ability of rats to use the specific properties of the instrumental outcomes used in the previous experiments to discriminate rewarded from unrewarded actions in a free operant discrimination situation. Together these results suggest that in instrumental conditioning, the BLA mediates outcome encoding, specifically relating the sensory features of nutritive commodities to the emotional consequences induced by their consumption.", "author" : [ { "dropping-particle" : "", "family" : "Balleine", "given" : "B W", "non-dropping-particle" : "", "parse-names" : false, "suffix" : "" }, { "dropping-particle" : "", "family" : "Killcross", "given" : "A S", "non-dropping-particle" : "", "parse-names" : false, "suffix" : "" }, { "dropping-particle" : "", "family" : "Dickinson", "given" : "A", "non-dropping-particle" : "", "parse-names" : false, "suffix" : "" } ], "container-title" : "Journal of Neuroscience", "id" : "ITEM-1", "issue" : "2", "issued" : { "date-parts" : [ [ "2003" ] ] }, "note" : "Balleine, Bernard W\nKillcross, A Simon\nDickinson, Anthony\neng\nMH56446/MH/NIMH NIH HHS/\nResearch Support, Non-U.S. Gov't\nResearch Support, U.S. Gov't, P.H.S.\n2003/01/21 04:00\nJ Neurosci. 2003 Jan 15;23(2):666-75.", "page" : "666-675", "title" : "The effect of lesions of the basolateral amygdala on instrumental conditioning", "type" : "article-journal", "volume" : "23" }, "uris" : [ "http://www.mendeley.com/documents/?uuid=5af6e3c3-0499-4324-8adb-0b3c9b9f0412" ] }, { "id" : "ITEM-2", "itemData" : { "ISBN" : "9027251681", "author" : [ { "dropping-particle" : "", "family" : "Killcross", "given" : "A S", "non-dropping-particle" : "", "parse-names" : false, "suffix" : "" }, { "dropping-particle" : "", "family" : "Blundell", "given" : "P", "non-dropping-particle" : "", "parse-names" : false, "suffix" : "" } ], "chapter-number" : "3", "container-title" : "Emotional Cognition: From brain to behaviour", "editor" : [ { "dropping-particle" : "", "family" : "Moore", "given" : "S C", "non-dropping-particle" : "", "parse-names" : false, "suffix" : "" }, { "dropping-particle" : "", "family" : "Oaksford", "given" : "M", "non-dropping-particle" : "", "parse-names" : false, "suffix" : "" } ], "id" : "ITEM-2", "issued" : { "date-parts" : [ [ "2002" ] ] }, "page" : "35-74", "publisher" : "John Benjamins Publishing Company", "publisher-place" : "Amsterdam", "title" : "Associative representations of emotionally significant outcomes", "type" : "chapter", "volume" : "44" }, "uris" : [ "http://www.mendeley.com/documents/?uuid=130942ee-36ba-4d18-b6e9-a76afdf8bb00" ] } ], "mendeley" : { "formattedCitation" : "(Balleine, Killcross, &amp; Dickinson, 2003; Killcross &amp; Blundell, 2002)", "plainTextFormattedCitation" : "(Balleine, Killcross, &amp; Dickinson, 2003; Killcross &amp; Blundell, 2002)", "previouslyFormattedCitation" : "(Balleine, Killcross, &amp; Dickinson, 2003; Killcross &amp; Blundell, 2002)" }, "properties" : {  }, "schema" : "https://github.com/citation-style-language/schema/raw/master/csl-citation.json" }</w:instrText>
      </w:r>
      <w:r w:rsidRPr="000779E4">
        <w:rPr>
          <w:rFonts w:cs="Times New Roman"/>
          <w:szCs w:val="24"/>
        </w:rPr>
        <w:fldChar w:fldCharType="separate"/>
      </w:r>
      <w:r w:rsidRPr="000779E4">
        <w:rPr>
          <w:rFonts w:cs="Times New Roman"/>
          <w:noProof/>
          <w:szCs w:val="24"/>
        </w:rPr>
        <w:t>(Balleine, Killcross, &amp; Dickinson, 2003; Killcross &amp; Blundell, 2002)</w:t>
      </w:r>
      <w:r w:rsidRPr="000779E4">
        <w:rPr>
          <w:rFonts w:cs="Times New Roman"/>
          <w:szCs w:val="24"/>
        </w:rPr>
        <w:fldChar w:fldCharType="end"/>
      </w:r>
      <w:r w:rsidRPr="000779E4">
        <w:rPr>
          <w:rFonts w:cs="Times New Roman"/>
          <w:szCs w:val="24"/>
        </w:rPr>
        <w:t xml:space="preserve">. However, </w:t>
      </w:r>
      <w:r>
        <w:rPr>
          <w:rFonts w:cs="Times New Roman"/>
          <w:szCs w:val="24"/>
        </w:rPr>
        <w:t xml:space="preserve">while </w:t>
      </w:r>
      <w:r w:rsidRPr="000779E4">
        <w:rPr>
          <w:rFonts w:cs="Times New Roman"/>
          <w:szCs w:val="24"/>
        </w:rPr>
        <w:t xml:space="preserve">these two devaluation methods are often used interchangeably, </w:t>
      </w:r>
      <w:r>
        <w:rPr>
          <w:rFonts w:cs="Times New Roman"/>
          <w:szCs w:val="24"/>
        </w:rPr>
        <w:t xml:space="preserve">it is unclear </w:t>
      </w:r>
      <w:r w:rsidRPr="000779E4">
        <w:rPr>
          <w:rFonts w:cs="Times New Roman"/>
          <w:szCs w:val="24"/>
        </w:rPr>
        <w:t xml:space="preserve">whether they engage </w:t>
      </w:r>
      <w:r>
        <w:rPr>
          <w:rFonts w:cs="Times New Roman"/>
          <w:szCs w:val="24"/>
        </w:rPr>
        <w:t xml:space="preserve">the same or </w:t>
      </w:r>
      <w:r w:rsidRPr="000779E4">
        <w:rPr>
          <w:rFonts w:cs="Times New Roman"/>
          <w:szCs w:val="24"/>
        </w:rPr>
        <w:t xml:space="preserve">different associative mechanisms. It is possible that sensory specific satiety procedures provide multiple mechanisms for reducing behaviour to the devalued </w:t>
      </w:r>
      <w:r w:rsidRPr="000779E4">
        <w:rPr>
          <w:rFonts w:cs="Times New Roman"/>
          <w:szCs w:val="24"/>
        </w:rPr>
        <w:lastRenderedPageBreak/>
        <w:t xml:space="preserve">cue which are not available in taste aversion procedures. One difference between these two methods of devaluation is that sensory specific satiety involves the reduction of value by satiation, but also by habituation of the sensory representation of the outcome i.e. specific satiety not only reduces the value of the expected outcome but also the ability to excite the representation of an outcome’s sensory properties. In contrast taste aversion has been argued to leave the sensory identity of the predicted outcome intact, and only modifies its associated value </w:t>
      </w:r>
      <w:r w:rsidRPr="000779E4">
        <w:rPr>
          <w:rFonts w:cs="Times New Roman"/>
          <w:szCs w:val="24"/>
        </w:rPr>
        <w:fldChar w:fldCharType="begin" w:fldLock="1"/>
      </w:r>
      <w:r>
        <w:rPr>
          <w:rFonts w:cs="Times New Roman"/>
          <w:szCs w:val="24"/>
        </w:rPr>
        <w:instrText>ADDIN CSL_CITATION { "citationItems" : [ { "id" : "ITEM-1", "itemData" : { "DOI" : "Doi 10.3758/Bf03205241", "ISBN" : "0090-4996", "author" : [ { "dropping-particle" : "", "family" : "Colwill", "given" : "R M", "non-dropping-particle" : "", "parse-names" : false, "suffix" : "" }, { "dropping-particle" : "", "family" : "Rescorla", "given" : "R A", "non-dropping-particle" : "", "parse-names" : false, "suffix" : "" } ], "container-title" : "Animal Learning &amp; Behavior", "id" : "ITEM-1", "issue" : "1", "issued" : { "date-parts" : [ [ "1990" ] ] }, "language" : "English", "note" : "Df250\nTimes Cited:68\nCited References Count:39", "page" : "71-82", "title" : "Evidence for the Hierarchical Structure of Instrumental Learning", "type" : "article-journal", "volume" : "18" }, "uris" : [ "http://www.mendeley.com/documents/?uuid=b1e5fc17-a58b-4210-a72f-eb5d1eb37c9f" ] }, { "id" : "ITEM-2", "itemData" : { "DOI" : "Doi 10.1037/0097-7403.14.2.155", "ISBN" : "0097-7403", "author" : [ { "dropping-particle" : "", "family" : "Colwill", "given" : "R M", "non-dropping-particle" : "", "parse-names" : false, "suffix" : "" }, { "dropping-particle" : "", "family" : "Rescorla", "given" : "R A", "non-dropping-particle" : "", "parse-names" : false, "suffix" : "" } ], "container-title" : "Journal of Experimental Psychology-Animal Behavior Processes", "id" : "ITEM-2", "issue" : "2", "issued" : { "date-parts" : [ [ "1988" ] ] }, "language" : "English", "note" : "M7564\nTimes Cited:110\nCited References Count:45", "page" : "155-164", "title" : "Associations between the Discriminative Stimulus and the Reinforcer in Instrumental Learning", "type" : "article-journal", "volume" : "14" }, "uris" : [ "http://www.mendeley.com/documents/?uuid=cc293c22-1a13-4cbb-bd4a-bc7f221bd574" ] }, { "id" : "ITEM-3", "itemData" : { "DOI" : "10.1037/0097-7403.30.2.104", "ISBN" : "0097-7403 (Print)\r0097-7403", "PMID" : "15078120", "abstract" : "Relations between posttraining reinforcer devaluation and Pavlovian-instrumental transfer were examined in 2 experiments. When a single reinforcer was used, extended training of the instrumental response increased transfer but reduced devaluation effects. When multiple instrumental reinforcers were used, both reinforcer-specific transfer and devaluation effects were less influenced by the amount of instrumental training. Finally, although reinforcer devaluation decreased both Pavlovian conditioned responses and baseline instrumental responding, it had no effect on either single-reinforcer or reinforcer-specific transfer. These results indicate that transfer and reinforcer devaluation can reflect different aspects of associative learning and that the nature of associative learning can be influenced by parameters such as the amount of training and the use of multiple reinforcers.", "author" : [ { "dropping-particle" : "", "family" : "Holland", "given" : "P C", "non-dropping-particle" : "", "parse-names" : false, "suffix" : "" } ], "container-title" : "J Exp Psychol Anim Behav Process", "edition" : "2004/04/14", "id" : "ITEM-3", "issue" : "2", "issued" : { "date-parts" : [ [ "2004" ] ] }, "language" : "eng", "note" : "Holland, Peter C\nMH 60179/MH/NIMH NIH HHS/United States\nMH 65879/MH/NIMH NIH HHS/United States\nComparative Study\nJournal Article\nResearch Support, U.S. Gov't, P.H.S.\nUnited States\nJ Exp Psychol Anim Behav Process. 2004 Apr;30(2):104-17.", "page" : "104-117", "title" : "Relations between Pavlovian-instrumental transfer and reinforcer devaluation", "type" : "article-journal", "volume" : "30" }, "uris" : [ "http://www.mendeley.com/documents/?uuid=3f0bd26e-a9f5-4178-b6ba-de4679d9b2c2" ] } ], "mendeley" : { "formattedCitation" : "(Colwill &amp; Rescorla, 1988, 1990; Holland, 2004)", "plainTextFormattedCitation" : "(Colwill &amp; Rescorla, 1988, 1990; Holland, 2004)", "previouslyFormattedCitation" : "(Colwill &amp; Rescorla, 1988, 1990; Holland, 2004)" }, "properties" : {  }, "schema" : "https://github.com/citation-style-language/schema/raw/master/csl-citation.json" }</w:instrText>
      </w:r>
      <w:r w:rsidRPr="000779E4">
        <w:rPr>
          <w:rFonts w:cs="Times New Roman"/>
          <w:szCs w:val="24"/>
        </w:rPr>
        <w:fldChar w:fldCharType="separate"/>
      </w:r>
      <w:r w:rsidRPr="000779E4">
        <w:rPr>
          <w:rFonts w:cs="Times New Roman"/>
          <w:noProof/>
          <w:szCs w:val="24"/>
        </w:rPr>
        <w:t>(Colwill &amp; Rescorla, 1988, 1990; Holland, 2004)</w:t>
      </w:r>
      <w:r w:rsidRPr="000779E4">
        <w:rPr>
          <w:rFonts w:cs="Times New Roman"/>
          <w:szCs w:val="24"/>
        </w:rPr>
        <w:fldChar w:fldCharType="end"/>
      </w:r>
      <w:r w:rsidRPr="000779E4">
        <w:rPr>
          <w:rFonts w:cs="Times New Roman"/>
          <w:szCs w:val="24"/>
        </w:rPr>
        <w:t xml:space="preserve">. </w:t>
      </w:r>
    </w:p>
    <w:p w14:paraId="46FD2B35" w14:textId="77777777" w:rsidR="002B5549" w:rsidRPr="000779E4" w:rsidRDefault="002B5549" w:rsidP="002B5549">
      <w:pPr>
        <w:spacing w:line="480" w:lineRule="auto"/>
        <w:ind w:firstLine="720"/>
        <w:rPr>
          <w:rFonts w:cs="Times New Roman"/>
          <w:szCs w:val="24"/>
        </w:rPr>
      </w:pPr>
      <w:r w:rsidRPr="000779E4">
        <w:rPr>
          <w:rFonts w:cs="Times New Roman"/>
          <w:szCs w:val="24"/>
        </w:rPr>
        <w:t xml:space="preserve">Taste aversion devaluation mechanisms have been successfully explored using Pavlovian-to-instrumental transfer procedures (PIT) </w:t>
      </w:r>
      <w:r w:rsidRPr="000779E4">
        <w:rPr>
          <w:rFonts w:cs="Times New Roman"/>
          <w:szCs w:val="24"/>
        </w:rPr>
        <w:fldChar w:fldCharType="begin" w:fldLock="1"/>
      </w:r>
      <w:r>
        <w:rPr>
          <w:rFonts w:cs="Times New Roman"/>
          <w:szCs w:val="24"/>
        </w:rPr>
        <w:instrText>ADDIN CSL_CITATION { "citationItems" : [ { "id" : "ITEM-1", "itemData" : { "DOI" : "Doi 10.3758/Bf03205241", "ISBN" : "0090-4996", "author" : [ { "dropping-particle" : "", "family" : "Colwill", "given" : "R M", "non-dropping-particle" : "", "parse-names" : false, "suffix" : "" }, { "dropping-particle" : "", "family" : "Rescorla", "given" : "R A", "non-dropping-particle" : "", "parse-names" : false, "suffix" : "" } ], "container-title" : "Animal Learning &amp; Behavior", "id" : "ITEM-1", "issue" : "1", "issued" : { "date-parts" : [ [ "1990" ] ] }, "language" : "English", "note" : "Df250\nTimes Cited:68\nCited References Count:39", "page" : "71-82", "title" : "Evidence for the Hierarchical Structure of Instrumental Learning", "type" : "article-journal", "volume" : "18" }, "uris" : [ "http://www.mendeley.com/documents/?uuid=b1e5fc17-a58b-4210-a72f-eb5d1eb37c9f" ] }, { "id" : "ITEM-2", "itemData" : { "DOI" : "Doi 10.1037/0097-7403.14.2.155", "ISBN" : "0097-7403", "author" : [ { "dropping-particle" : "", "family" : "Colwill", "given" : "R M", "non-dropping-particle" : "", "parse-names" : false, "suffix" : "" }, { "dropping-particle" : "", "family" : "Rescorla", "given" : "R A", "non-dropping-particle" : "", "parse-names" : false, "suffix" : "" } ], "container-title" : "Journal of Experimental Psychology-Animal Behavior Processes", "id" : "ITEM-2", "issue" : "2", "issued" : { "date-parts" : [ [ "1988" ] ] }, "language" : "English", "note" : "M7564\nTimes Cited:110\nCited References Count:45", "page" : "155-164", "title" : "Associations between the Discriminative Stimulus and the Reinforcer in Instrumental Learning", "type" : "article-journal", "volume" : "14" }, "uris" : [ "http://www.mendeley.com/documents/?uuid=cc293c22-1a13-4cbb-bd4a-bc7f221bd574" ] }, { "id" : "ITEM-3", "itemData" : { "DOI" : "10.1037/0097-7403.30.2.104", "ISBN" : "0097-7403 (Print)\r0097-7403", "PMID" : "15078120", "abstract" : "Relations between posttraining reinforcer devaluation and Pavlovian-instrumental transfer were examined in 2 experiments. When a single reinforcer was used, extended training of the instrumental response increased transfer but reduced devaluation effects. When multiple instrumental reinforcers were used, both reinforcer-specific transfer and devaluation effects were less influenced by the amount of instrumental training. Finally, although reinforcer devaluation decreased both Pavlovian conditioned responses and baseline instrumental responding, it had no effect on either single-reinforcer or reinforcer-specific transfer. These results indicate that transfer and reinforcer devaluation can reflect different aspects of associative learning and that the nature of associative learning can be influenced by parameters such as the amount of training and the use of multiple reinforcers.", "author" : [ { "dropping-particle" : "", "family" : "Holland", "given" : "P C", "non-dropping-particle" : "", "parse-names" : false, "suffix" : "" } ], "container-title" : "J Exp Psychol Anim Behav Process", "edition" : "2004/04/14", "id" : "ITEM-3", "issue" : "2", "issued" : { "date-parts" : [ [ "2004" ] ] }, "language" : "eng", "note" : "Holland, Peter C\nMH 60179/MH/NIMH NIH HHS/United States\nMH 65879/MH/NIMH NIH HHS/United States\nComparative Study\nJournal Article\nResearch Support, U.S. Gov't, P.H.S.\nUnited States\nJ Exp Psychol Anim Behav Process. 2004 Apr;30(2):104-17.", "page" : "104-117", "title" : "Relations between Pavlovian-instrumental transfer and reinforcer devaluation", "type" : "article-journal", "volume" : "30" }, "uris" : [ "http://www.mendeley.com/documents/?uuid=3f0bd26e-a9f5-4178-b6ba-de4679d9b2c2" ] } ], "mendeley" : { "formattedCitation" : "(Colwill &amp; Rescorla, 1988, 1990; Holland, 2004)", "plainTextFormattedCitation" : "(Colwill &amp; Rescorla, 1988, 1990; Holland, 2004)", "previouslyFormattedCitation" : "(Colwill &amp; Rescorla, 1988, 1990; Holland, 2004)" }, "properties" : {  }, "schema" : "https://github.com/citation-style-language/schema/raw/master/csl-citation.json" }</w:instrText>
      </w:r>
      <w:r w:rsidRPr="000779E4">
        <w:rPr>
          <w:rFonts w:cs="Times New Roman"/>
          <w:szCs w:val="24"/>
        </w:rPr>
        <w:fldChar w:fldCharType="separate"/>
      </w:r>
      <w:r w:rsidRPr="000779E4">
        <w:rPr>
          <w:rFonts w:cs="Times New Roman"/>
          <w:noProof/>
          <w:szCs w:val="24"/>
        </w:rPr>
        <w:t>(Colwill &amp; Rescorla, 1988, 1990; Holland, 2004)</w:t>
      </w:r>
      <w:r w:rsidRPr="000779E4">
        <w:rPr>
          <w:rFonts w:cs="Times New Roman"/>
          <w:szCs w:val="24"/>
        </w:rPr>
        <w:fldChar w:fldCharType="end"/>
      </w:r>
      <w:r w:rsidRPr="000779E4">
        <w:rPr>
          <w:rFonts w:cs="Times New Roman"/>
          <w:szCs w:val="24"/>
        </w:rPr>
        <w:t>, in which Pavlovian cues selectively increase instrumental responding when both cue and response predict the same outcome, i.e. the specific PIT effect. In conditioning, cues and instrumental responses can form independent association</w:t>
      </w:r>
      <w:r>
        <w:rPr>
          <w:rFonts w:cs="Times New Roman"/>
          <w:szCs w:val="24"/>
        </w:rPr>
        <w:t>s</w:t>
      </w:r>
      <w:r w:rsidRPr="000779E4">
        <w:rPr>
          <w:rFonts w:cs="Times New Roman"/>
          <w:szCs w:val="24"/>
        </w:rPr>
        <w:t xml:space="preserve"> with both the sensory and the general motivational properties of an outcome </w:t>
      </w:r>
      <w:r w:rsidRPr="000779E4">
        <w:rPr>
          <w:rFonts w:cs="Times New Roman"/>
          <w:szCs w:val="24"/>
        </w:rPr>
        <w:fldChar w:fldCharType="begin" w:fldLock="1"/>
      </w:r>
      <w:r>
        <w:rPr>
          <w:rFonts w:cs="Times New Roman"/>
          <w:szCs w:val="24"/>
        </w:rPr>
        <w:instrText>ADDIN CSL_CITATION { "citationItems" : [ { "id" : "ITEM-1", "itemData" : { "ISBN" : "2168-3344", "abstract" : "One experiment with rats used Pavlovian-to-instrumental transfer (PIT) tests to explore potential competitive interactions between Pavlovian and instrumental processes during instrumental learning. Two instrumental response-outcome relations (e.g., left lever \u2013 grain pellets, right lever \u2013 sucrose pellets) were first trained in distinct contexts for one group of rats (Group Differential) or in each of two contexts for a second group (Group Non-Differential).\u00a0 Both of these groups then received training with two Pavlovian stimulus-outcome relations in a third experimental context.\u00a0 Selective PIT tests conducted in both the Pavlovian and instrumental contexts revealed greater selective PIT in Group Non-Differential than in Group Differential subjects.\u00a0 This result is discussed in terms of the roles played by context-outcome, response-outcome, and outcome-response associations during instrumental learning. The results further help us understand the nature of Pavlovian-instrumental interactions in specific PIT tasks.", "author" : [ { "dropping-particle" : "", "family" : "Gilroy", "given" : "K E", "non-dropping-particle" : "", "parse-names" : false, "suffix" : "" }, { "dropping-particle" : "", "family" : "Everett", "given" : "E M", "non-dropping-particle" : "", "parse-names" : false, "suffix" : "" }, { "dropping-particle" : "", "family" : "Delamater", "given" : "A R", "non-dropping-particle" : "", "parse-names" : false, "suffix" : "" } ], "container-title" : "International Journal of Comparative Psychology", "id" : "ITEM-1", "issue" : "4", "issued" : { "date-parts" : [ [ "2014" ] ] }, "title" : "Response-Outcome versus Outcome-Response Associations in Pavlovian-to-Instrumental Transfer: Effects of Instrumental Training Context", "type" : "article-journal", "volume" : "27" }, "uris" : [ "http://www.mendeley.com/documents/?uuid=a630164a-259f-4d48-9286-17a88a0a3a53" ] } ], "mendeley" : { "formattedCitation" : "(Gilroy, Everett, &amp; Delamater, 2014)", "plainTextFormattedCitation" : "(Gilroy, Everett, &amp; Delamater, 2014)", "previouslyFormattedCitation" : "(Gilroy, Everett, &amp; Delamater, 2014)" }, "properties" : {  }, "schema" : "https://github.com/citation-style-language/schema/raw/master/csl-citation.json" }</w:instrText>
      </w:r>
      <w:r w:rsidRPr="000779E4">
        <w:rPr>
          <w:rFonts w:cs="Times New Roman"/>
          <w:szCs w:val="24"/>
        </w:rPr>
        <w:fldChar w:fldCharType="separate"/>
      </w:r>
      <w:r w:rsidRPr="000779E4">
        <w:rPr>
          <w:rFonts w:cs="Times New Roman"/>
          <w:noProof/>
          <w:szCs w:val="24"/>
        </w:rPr>
        <w:t>(Gilroy, Everett, &amp; Delamater, 2014)</w:t>
      </w:r>
      <w:r w:rsidRPr="000779E4">
        <w:rPr>
          <w:rFonts w:cs="Times New Roman"/>
          <w:szCs w:val="24"/>
        </w:rPr>
        <w:fldChar w:fldCharType="end"/>
      </w:r>
      <w:r w:rsidRPr="000779E4">
        <w:rPr>
          <w:rFonts w:cs="Times New Roman"/>
          <w:szCs w:val="24"/>
        </w:rPr>
        <w:t>, and in specific PIT it is the predicted sensory properties of the Pavlovian cue that appear to drive instrumental responding for the same outcome. This mechanism is supported by the finding that taste aversion devaluation does not disrupt specific PIT because the taste aversion does not change the sensory properties of predicted outcomes, only their associated motivational value. If the effects of specific satiety differ from taste aversion by virtue of habituating the sensory properties of an expected outcome, then it would be predicted that the expected outcome would lose its specific signalling properties in a specific PIT procedure. This hypothesis was assessed directly by testing the effect of specific satiety on specific PIT.</w:t>
      </w:r>
    </w:p>
    <w:p w14:paraId="796F5E7A" w14:textId="77777777" w:rsidR="002B5549" w:rsidRPr="000779E4" w:rsidRDefault="002B5549" w:rsidP="002B5549">
      <w:pPr>
        <w:spacing w:line="480" w:lineRule="auto"/>
        <w:rPr>
          <w:rFonts w:cs="Times New Roman"/>
          <w:szCs w:val="24"/>
        </w:rPr>
      </w:pPr>
      <w:r w:rsidRPr="000779E4">
        <w:rPr>
          <w:rFonts w:cs="Times New Roman"/>
          <w:szCs w:val="24"/>
        </w:rPr>
        <w:tab/>
        <w:t xml:space="preserve">First, rats were trained on two unique lever-outcome relationships and three unique Pavlovian cue-outcome relationships. Instrumental training was for liquid sucrose and </w:t>
      </w:r>
      <w:r w:rsidRPr="000779E4">
        <w:rPr>
          <w:rFonts w:cs="Times New Roman"/>
          <w:szCs w:val="24"/>
        </w:rPr>
        <w:lastRenderedPageBreak/>
        <w:t>maltodextrin rewards, whereas Pavlovian cues predicted either liquid sucrose, maltod</w:t>
      </w:r>
      <w:r>
        <w:rPr>
          <w:rFonts w:cs="Times New Roman"/>
          <w:szCs w:val="24"/>
        </w:rPr>
        <w:t xml:space="preserve">extrin, or food pellet </w:t>
      </w:r>
      <w:r w:rsidRPr="00975A9A">
        <w:rPr>
          <w:rFonts w:cs="Times New Roman"/>
          <w:color w:val="auto"/>
          <w:szCs w:val="24"/>
        </w:rPr>
        <w:t xml:space="preserve">rewards (supplementary results). </w:t>
      </w:r>
    </w:p>
    <w:p w14:paraId="40886070" w14:textId="77777777" w:rsidR="002B5549" w:rsidRPr="000779E4" w:rsidRDefault="002B5549" w:rsidP="002B5549">
      <w:pPr>
        <w:spacing w:line="480" w:lineRule="auto"/>
        <w:ind w:firstLine="720"/>
        <w:rPr>
          <w:rFonts w:cs="Times New Roman"/>
          <w:szCs w:val="24"/>
        </w:rPr>
      </w:pPr>
      <w:r w:rsidRPr="00975A9A">
        <w:rPr>
          <w:rFonts w:cs="Times New Roman"/>
          <w:color w:val="auto"/>
          <w:szCs w:val="24"/>
        </w:rPr>
        <w:t xml:space="preserve">Prior to PIT testing, one of the two instrumental outcomes was devalued by specific satiety (supplementary results). Instrumental </w:t>
      </w:r>
      <w:r w:rsidRPr="000779E4">
        <w:rPr>
          <w:rFonts w:cs="Times New Roman"/>
          <w:szCs w:val="24"/>
        </w:rPr>
        <w:t xml:space="preserve">responding was sensitive to the selective reduction in outcome </w:t>
      </w:r>
      <w:r w:rsidRPr="00975A9A">
        <w:rPr>
          <w:rFonts w:cs="Times New Roman"/>
          <w:szCs w:val="24"/>
        </w:rPr>
        <w:t>value (Figure 3A)</w:t>
      </w:r>
      <w:r>
        <w:rPr>
          <w:rFonts w:cs="Times New Roman"/>
          <w:szCs w:val="24"/>
        </w:rPr>
        <w:t xml:space="preserve"> during a pre-test instrumental extinction session</w:t>
      </w:r>
      <w:r w:rsidRPr="00975A9A">
        <w:rPr>
          <w:rFonts w:cs="Times New Roman"/>
          <w:szCs w:val="24"/>
        </w:rPr>
        <w:t>.</w:t>
      </w:r>
      <w:r w:rsidRPr="000779E4">
        <w:rPr>
          <w:rFonts w:cs="Times New Roman"/>
          <w:szCs w:val="24"/>
        </w:rPr>
        <w:t xml:space="preserve"> Responding was significantly reduced on the lever associated with the devalued outcome compared to the non-devalued outcome. This significant devaluation effect was observed at the start of extinction but disappeared when responding on both levers had extinguished by the end of extinction. This was supported by a significant main effect of Block (</w:t>
      </w:r>
      <w:r w:rsidRPr="000779E4">
        <w:rPr>
          <w:rFonts w:cs="Times New Roman"/>
          <w:i/>
          <w:iCs/>
          <w:szCs w:val="24"/>
        </w:rPr>
        <w:t>F</w:t>
      </w:r>
      <w:r w:rsidRPr="000779E4">
        <w:rPr>
          <w:rFonts w:cs="Times New Roman"/>
          <w:szCs w:val="24"/>
          <w:vertAlign w:val="subscript"/>
        </w:rPr>
        <w:t>(3, 39)</w:t>
      </w:r>
      <w:r w:rsidRPr="000779E4">
        <w:rPr>
          <w:rFonts w:cs="Times New Roman"/>
          <w:szCs w:val="24"/>
        </w:rPr>
        <w:t xml:space="preserve"> = 25.60, </w:t>
      </w:r>
      <w:r w:rsidRPr="000779E4">
        <w:rPr>
          <w:rFonts w:cs="Times New Roman"/>
          <w:i/>
          <w:iCs/>
          <w:szCs w:val="24"/>
        </w:rPr>
        <w:t xml:space="preserve"> p</w:t>
      </w:r>
      <w:r w:rsidRPr="000779E4">
        <w:rPr>
          <w:rFonts w:cs="Times New Roman"/>
          <w:szCs w:val="24"/>
        </w:rPr>
        <w:t xml:space="preserve"> &lt; .001) and Devaluation x Block interaction</w:t>
      </w:r>
      <w:r w:rsidRPr="000779E4">
        <w:rPr>
          <w:rFonts w:cs="Times New Roman"/>
          <w:i/>
          <w:iCs/>
          <w:szCs w:val="24"/>
        </w:rPr>
        <w:t xml:space="preserve"> </w:t>
      </w:r>
      <w:r w:rsidRPr="000779E4">
        <w:rPr>
          <w:rFonts w:cs="Times New Roman"/>
          <w:iCs/>
          <w:szCs w:val="24"/>
        </w:rPr>
        <w:t>(</w:t>
      </w:r>
      <w:r w:rsidRPr="000779E4">
        <w:rPr>
          <w:rFonts w:cs="Times New Roman"/>
          <w:i/>
          <w:iCs/>
          <w:szCs w:val="24"/>
        </w:rPr>
        <w:t>F</w:t>
      </w:r>
      <w:r w:rsidRPr="000779E4">
        <w:rPr>
          <w:rFonts w:cs="Times New Roman"/>
          <w:szCs w:val="24"/>
          <w:vertAlign w:val="subscript"/>
        </w:rPr>
        <w:t>(3, 39)</w:t>
      </w:r>
      <w:r w:rsidRPr="000779E4">
        <w:rPr>
          <w:rFonts w:cs="Times New Roman"/>
          <w:szCs w:val="24"/>
        </w:rPr>
        <w:t xml:space="preserve"> = 4.43, </w:t>
      </w:r>
      <w:r w:rsidRPr="000779E4">
        <w:rPr>
          <w:rFonts w:cs="Times New Roman"/>
          <w:i/>
          <w:iCs/>
          <w:szCs w:val="24"/>
        </w:rPr>
        <w:t xml:space="preserve"> p</w:t>
      </w:r>
      <w:r w:rsidRPr="000779E4">
        <w:rPr>
          <w:rFonts w:cs="Times New Roman"/>
          <w:szCs w:val="24"/>
        </w:rPr>
        <w:t xml:space="preserve"> = .009), but no effect of Devaluation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3.40, </w:t>
      </w:r>
      <w:r w:rsidRPr="000779E4">
        <w:rPr>
          <w:rFonts w:cs="Times New Roman"/>
          <w:i/>
          <w:iCs/>
          <w:szCs w:val="24"/>
        </w:rPr>
        <w:t xml:space="preserve"> p</w:t>
      </w:r>
      <w:r w:rsidRPr="000779E4">
        <w:rPr>
          <w:rFonts w:cs="Times New Roman"/>
          <w:szCs w:val="24"/>
        </w:rPr>
        <w:t xml:space="preserve"> = .09). Specifically, non-devalued was significantly higher than devalued lever responding in block 1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13.70, </w:t>
      </w:r>
      <w:r w:rsidRPr="000779E4">
        <w:rPr>
          <w:rFonts w:cs="Times New Roman"/>
          <w:i/>
          <w:iCs/>
          <w:szCs w:val="24"/>
        </w:rPr>
        <w:t xml:space="preserve"> p</w:t>
      </w:r>
      <w:r w:rsidRPr="000779E4">
        <w:rPr>
          <w:rFonts w:cs="Times New Roman"/>
          <w:szCs w:val="24"/>
        </w:rPr>
        <w:t xml:space="preserve"> = .003) and block 2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8.84, </w:t>
      </w:r>
      <w:r w:rsidRPr="000779E4">
        <w:rPr>
          <w:rFonts w:cs="Times New Roman"/>
          <w:i/>
          <w:iCs/>
          <w:szCs w:val="24"/>
        </w:rPr>
        <w:t xml:space="preserve"> p</w:t>
      </w:r>
      <w:r w:rsidRPr="000779E4">
        <w:rPr>
          <w:rFonts w:cs="Times New Roman"/>
          <w:szCs w:val="24"/>
        </w:rPr>
        <w:t xml:space="preserve"> = .02), but not blocks 3 and 4 (</w:t>
      </w:r>
      <w:r w:rsidRPr="000779E4">
        <w:rPr>
          <w:rFonts w:cs="Times New Roman"/>
          <w:i/>
          <w:iCs/>
          <w:szCs w:val="24"/>
        </w:rPr>
        <w:t>F’s</w:t>
      </w:r>
      <w:r w:rsidRPr="000779E4">
        <w:rPr>
          <w:rFonts w:cs="Times New Roman"/>
          <w:iCs/>
          <w:szCs w:val="24"/>
        </w:rPr>
        <w:t xml:space="preserve"> &lt; 1.0, </w:t>
      </w:r>
      <w:r w:rsidRPr="000779E4">
        <w:rPr>
          <w:rFonts w:cs="Times New Roman"/>
          <w:i/>
          <w:iCs/>
          <w:szCs w:val="24"/>
        </w:rPr>
        <w:t>p’s</w:t>
      </w:r>
      <w:r w:rsidRPr="000779E4">
        <w:rPr>
          <w:rFonts w:cs="Times New Roman"/>
          <w:iCs/>
          <w:szCs w:val="24"/>
        </w:rPr>
        <w:t xml:space="preserve"> &gt; .84</w:t>
      </w:r>
      <w:r w:rsidRPr="000779E4">
        <w:rPr>
          <w:rFonts w:cs="Times New Roman"/>
          <w:szCs w:val="24"/>
        </w:rPr>
        <w:t xml:space="preserve">). In contrast to lever pressing, magazine </w:t>
      </w:r>
      <w:r w:rsidRPr="00975A9A">
        <w:rPr>
          <w:rFonts w:cs="Times New Roman"/>
          <w:szCs w:val="24"/>
        </w:rPr>
        <w:t>behaviour (Figure 3B) did</w:t>
      </w:r>
      <w:r w:rsidRPr="000779E4">
        <w:rPr>
          <w:rFonts w:cs="Times New Roman"/>
          <w:szCs w:val="24"/>
        </w:rPr>
        <w:t xml:space="preserve"> not differ between devaluation conditions during the lever extinction period (Devaluation x Block ANOVA, all </w:t>
      </w:r>
      <w:r w:rsidRPr="000779E4">
        <w:rPr>
          <w:rFonts w:cs="Times New Roman"/>
          <w:i/>
          <w:szCs w:val="24"/>
        </w:rPr>
        <w:t>F’</w:t>
      </w:r>
      <w:r w:rsidRPr="000779E4">
        <w:rPr>
          <w:rFonts w:cs="Times New Roman"/>
          <w:szCs w:val="24"/>
        </w:rPr>
        <w:t>s &lt; 2.58</w:t>
      </w:r>
      <w:r w:rsidRPr="000779E4">
        <w:rPr>
          <w:rFonts w:cs="Times New Roman"/>
          <w:i/>
          <w:szCs w:val="24"/>
        </w:rPr>
        <w:t xml:space="preserve">, p’s </w:t>
      </w:r>
      <w:r w:rsidRPr="000779E4">
        <w:rPr>
          <w:rFonts w:cs="Times New Roman"/>
          <w:szCs w:val="24"/>
        </w:rPr>
        <w:t>&gt; .07).</w:t>
      </w:r>
    </w:p>
    <w:p w14:paraId="4AE874BD" w14:textId="77777777" w:rsidR="002B5549" w:rsidRDefault="002B5549" w:rsidP="002B5549">
      <w:pPr>
        <w:spacing w:line="480" w:lineRule="auto"/>
        <w:ind w:firstLine="720"/>
        <w:rPr>
          <w:rFonts w:cs="Times New Roman"/>
          <w:szCs w:val="24"/>
        </w:rPr>
      </w:pPr>
      <w:r w:rsidRPr="000779E4">
        <w:rPr>
          <w:rFonts w:cs="Times New Roman"/>
          <w:szCs w:val="24"/>
        </w:rPr>
        <w:t>During the PIT test, the sensory specific PIT effect was observed on the non-devalued lever, but this effect was selectively abolished on the devalued lever (</w:t>
      </w:r>
      <w:r w:rsidRPr="00975A9A">
        <w:rPr>
          <w:rFonts w:cs="Times New Roman"/>
          <w:szCs w:val="24"/>
        </w:rPr>
        <w:t>Figure 3C</w:t>
      </w:r>
      <w:r w:rsidRPr="000779E4">
        <w:rPr>
          <w:rFonts w:cs="Times New Roman"/>
          <w:szCs w:val="24"/>
        </w:rPr>
        <w:t xml:space="preserve">). Specifically, responding on the non-devalued lever was greatest in the presence of the Cue that predicted the same outcome (Same vs. Different,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5.98, </w:t>
      </w:r>
      <w:r w:rsidRPr="000779E4">
        <w:rPr>
          <w:rFonts w:cs="Times New Roman"/>
          <w:i/>
          <w:iCs/>
          <w:szCs w:val="24"/>
        </w:rPr>
        <w:t xml:space="preserve"> p</w:t>
      </w:r>
      <w:r w:rsidRPr="000779E4">
        <w:rPr>
          <w:rFonts w:cs="Times New Roman"/>
          <w:szCs w:val="24"/>
        </w:rPr>
        <w:t xml:space="preserve"> = .04; Same vs. General,</w:t>
      </w:r>
      <w:r w:rsidRPr="000779E4">
        <w:rPr>
          <w:rFonts w:cs="Times New Roman"/>
          <w:i/>
          <w:iCs/>
          <w:szCs w:val="24"/>
        </w:rPr>
        <w:t xml:space="preserve"> F</w:t>
      </w:r>
      <w:r w:rsidRPr="000779E4">
        <w:rPr>
          <w:rFonts w:cs="Times New Roman"/>
          <w:szCs w:val="24"/>
          <w:vertAlign w:val="subscript"/>
        </w:rPr>
        <w:t>(1, 13)</w:t>
      </w:r>
      <w:r w:rsidRPr="000779E4">
        <w:rPr>
          <w:rFonts w:cs="Times New Roman"/>
          <w:szCs w:val="24"/>
        </w:rPr>
        <w:t xml:space="preserve"> = 20.37, </w:t>
      </w:r>
      <w:r w:rsidRPr="000779E4">
        <w:rPr>
          <w:rFonts w:cs="Times New Roman"/>
          <w:i/>
          <w:iCs/>
          <w:szCs w:val="24"/>
        </w:rPr>
        <w:t xml:space="preserve"> p</w:t>
      </w:r>
      <w:r w:rsidRPr="000779E4">
        <w:rPr>
          <w:rFonts w:cs="Times New Roman"/>
          <w:szCs w:val="24"/>
        </w:rPr>
        <w:t xml:space="preserve"> &lt; .001), and responding during the different cue was greater than during the general cue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4.28, </w:t>
      </w:r>
      <w:r w:rsidRPr="000779E4">
        <w:rPr>
          <w:rFonts w:cs="Times New Roman"/>
          <w:i/>
          <w:iCs/>
          <w:szCs w:val="24"/>
        </w:rPr>
        <w:t xml:space="preserve"> p</w:t>
      </w:r>
      <w:r w:rsidRPr="000779E4">
        <w:rPr>
          <w:rFonts w:cs="Times New Roman"/>
          <w:szCs w:val="24"/>
        </w:rPr>
        <w:t xml:space="preserve"> = .049). Responding on the devalued lever did not differ in the presence of the different cues (all </w:t>
      </w:r>
      <w:r w:rsidRPr="000779E4">
        <w:rPr>
          <w:rFonts w:cs="Times New Roman"/>
          <w:i/>
          <w:szCs w:val="24"/>
        </w:rPr>
        <w:t>F’</w:t>
      </w:r>
      <w:r w:rsidRPr="000779E4">
        <w:rPr>
          <w:rFonts w:cs="Times New Roman"/>
          <w:szCs w:val="24"/>
        </w:rPr>
        <w:t>s &lt; 3.19</w:t>
      </w:r>
      <w:r w:rsidRPr="000779E4">
        <w:rPr>
          <w:rFonts w:cs="Times New Roman"/>
          <w:i/>
          <w:szCs w:val="24"/>
        </w:rPr>
        <w:t xml:space="preserve">, p’s </w:t>
      </w:r>
      <w:r w:rsidRPr="000779E4">
        <w:rPr>
          <w:rFonts w:cs="Times New Roman"/>
          <w:szCs w:val="24"/>
        </w:rPr>
        <w:t xml:space="preserve">&gt; .2). This pattern of simple effects was supported by a Devaluation (Non-Devalued, Devalued) x Cue (Same, Different, General) ANOVA which revealed a </w:t>
      </w:r>
      <w:r w:rsidRPr="000779E4">
        <w:rPr>
          <w:rFonts w:cs="Times New Roman"/>
          <w:szCs w:val="24"/>
        </w:rPr>
        <w:lastRenderedPageBreak/>
        <w:t>significant main effect of Cue (</w:t>
      </w:r>
      <w:r w:rsidRPr="000779E4">
        <w:rPr>
          <w:rFonts w:cs="Times New Roman"/>
          <w:i/>
          <w:iCs/>
          <w:szCs w:val="24"/>
        </w:rPr>
        <w:t>F</w:t>
      </w:r>
      <w:r w:rsidRPr="000779E4">
        <w:rPr>
          <w:rFonts w:cs="Times New Roman"/>
          <w:szCs w:val="24"/>
          <w:vertAlign w:val="subscript"/>
        </w:rPr>
        <w:t>(2, 26)</w:t>
      </w:r>
      <w:r w:rsidRPr="000779E4">
        <w:rPr>
          <w:rFonts w:cs="Times New Roman"/>
          <w:szCs w:val="24"/>
        </w:rPr>
        <w:t xml:space="preserve"> = 5.93, </w:t>
      </w:r>
      <w:r w:rsidRPr="000779E4">
        <w:rPr>
          <w:rFonts w:cs="Times New Roman"/>
          <w:i/>
          <w:iCs/>
          <w:szCs w:val="24"/>
        </w:rPr>
        <w:t xml:space="preserve"> p</w:t>
      </w:r>
      <w:r w:rsidRPr="000779E4">
        <w:rPr>
          <w:rFonts w:cs="Times New Roman"/>
          <w:szCs w:val="24"/>
        </w:rPr>
        <w:t xml:space="preserve"> = .01), and a Devaluation x Cue interaction (</w:t>
      </w:r>
      <w:r w:rsidRPr="000779E4">
        <w:rPr>
          <w:rFonts w:cs="Times New Roman"/>
          <w:i/>
          <w:iCs/>
          <w:szCs w:val="24"/>
        </w:rPr>
        <w:t>F</w:t>
      </w:r>
      <w:r w:rsidRPr="000779E4">
        <w:rPr>
          <w:rFonts w:cs="Times New Roman"/>
          <w:szCs w:val="24"/>
          <w:vertAlign w:val="subscript"/>
        </w:rPr>
        <w:t>(2, 26)</w:t>
      </w:r>
      <w:r w:rsidRPr="000779E4">
        <w:rPr>
          <w:rFonts w:cs="Times New Roman"/>
          <w:szCs w:val="24"/>
        </w:rPr>
        <w:t xml:space="preserve"> = 4.38, </w:t>
      </w:r>
      <w:r w:rsidRPr="000779E4">
        <w:rPr>
          <w:rFonts w:cs="Times New Roman"/>
          <w:i/>
          <w:iCs/>
          <w:szCs w:val="24"/>
        </w:rPr>
        <w:t xml:space="preserve"> p</w:t>
      </w:r>
      <w:r w:rsidRPr="000779E4">
        <w:rPr>
          <w:rFonts w:cs="Times New Roman"/>
          <w:szCs w:val="24"/>
        </w:rPr>
        <w:t xml:space="preserve"> = .02),  but no main effect of Devaluation (</w:t>
      </w:r>
      <w:r w:rsidRPr="000779E4">
        <w:rPr>
          <w:rFonts w:cs="Times New Roman"/>
          <w:i/>
          <w:iCs/>
          <w:szCs w:val="24"/>
        </w:rPr>
        <w:t>F</w:t>
      </w:r>
      <w:r w:rsidRPr="000779E4">
        <w:rPr>
          <w:rFonts w:cs="Times New Roman"/>
          <w:szCs w:val="24"/>
          <w:vertAlign w:val="subscript"/>
        </w:rPr>
        <w:t>(1, 13)</w:t>
      </w:r>
      <w:r w:rsidRPr="000779E4">
        <w:rPr>
          <w:rFonts w:cs="Times New Roman"/>
          <w:szCs w:val="24"/>
        </w:rPr>
        <w:t xml:space="preserve"> = 3.934, </w:t>
      </w:r>
      <w:r w:rsidRPr="000779E4">
        <w:rPr>
          <w:rFonts w:cs="Times New Roman"/>
          <w:i/>
          <w:iCs/>
          <w:szCs w:val="24"/>
        </w:rPr>
        <w:t xml:space="preserve"> p</w:t>
      </w:r>
      <w:r w:rsidRPr="000779E4">
        <w:rPr>
          <w:rFonts w:cs="Times New Roman"/>
          <w:szCs w:val="24"/>
        </w:rPr>
        <w:t xml:space="preserve"> = .07). An additional planned comparison of responding during the Same cue revealed a significant decrease in responding on the devalued lever compared to the non-devalued lever (</w:t>
      </w:r>
      <w:proofErr w:type="gramStart"/>
      <w:r w:rsidRPr="000779E4">
        <w:rPr>
          <w:rFonts w:cs="Times New Roman"/>
          <w:i/>
          <w:iCs/>
          <w:szCs w:val="24"/>
        </w:rPr>
        <w:t>F</w:t>
      </w:r>
      <w:r w:rsidRPr="000779E4">
        <w:rPr>
          <w:rFonts w:cs="Times New Roman"/>
          <w:szCs w:val="24"/>
          <w:vertAlign w:val="subscript"/>
        </w:rPr>
        <w:t>(</w:t>
      </w:r>
      <w:proofErr w:type="gramEnd"/>
      <w:r w:rsidRPr="000779E4">
        <w:rPr>
          <w:rFonts w:cs="Times New Roman"/>
          <w:szCs w:val="24"/>
          <w:vertAlign w:val="subscript"/>
        </w:rPr>
        <w:t>1, 13)</w:t>
      </w:r>
      <w:r w:rsidRPr="000779E4">
        <w:rPr>
          <w:rFonts w:cs="Times New Roman"/>
          <w:szCs w:val="24"/>
        </w:rPr>
        <w:t xml:space="preserve"> = 11.87, </w:t>
      </w:r>
      <w:r w:rsidRPr="000779E4">
        <w:rPr>
          <w:rFonts w:cs="Times New Roman"/>
          <w:i/>
          <w:iCs/>
          <w:szCs w:val="24"/>
        </w:rPr>
        <w:t xml:space="preserve"> p</w:t>
      </w:r>
      <w:r w:rsidRPr="000779E4">
        <w:rPr>
          <w:rFonts w:cs="Times New Roman"/>
          <w:szCs w:val="24"/>
        </w:rPr>
        <w:t xml:space="preserve"> = .007).  In contrast to lever pressing, magazine behaviour (</w:t>
      </w:r>
      <w:r w:rsidRPr="00975A9A">
        <w:rPr>
          <w:rFonts w:cs="Times New Roman"/>
          <w:szCs w:val="24"/>
        </w:rPr>
        <w:t>Figure 3D</w:t>
      </w:r>
      <w:r w:rsidRPr="000779E4">
        <w:rPr>
          <w:rFonts w:cs="Times New Roman"/>
          <w:szCs w:val="24"/>
        </w:rPr>
        <w:t xml:space="preserve">) did not differ between devaluation or cue conditions during the test (Devaluation x Cue ANOVA, all </w:t>
      </w:r>
      <w:r w:rsidRPr="000779E4">
        <w:rPr>
          <w:rFonts w:cs="Times New Roman"/>
          <w:i/>
          <w:szCs w:val="24"/>
        </w:rPr>
        <w:t>F’</w:t>
      </w:r>
      <w:r w:rsidRPr="000779E4">
        <w:rPr>
          <w:rFonts w:cs="Times New Roman"/>
          <w:szCs w:val="24"/>
        </w:rPr>
        <w:t>s &lt; 1</w:t>
      </w:r>
      <w:r w:rsidRPr="000779E4">
        <w:rPr>
          <w:rFonts w:cs="Times New Roman"/>
          <w:i/>
          <w:szCs w:val="24"/>
        </w:rPr>
        <w:t xml:space="preserve">, p’s </w:t>
      </w:r>
      <w:r w:rsidRPr="000779E4">
        <w:rPr>
          <w:rFonts w:cs="Times New Roman"/>
          <w:szCs w:val="24"/>
        </w:rPr>
        <w:t>&gt; .51), suggesting that the effects on lever pressing were not confounded by differences in competing magazine responding to the cues.</w:t>
      </w:r>
    </w:p>
    <w:p w14:paraId="52D35E83" w14:textId="77777777" w:rsidR="002B5549" w:rsidRPr="000779E4" w:rsidRDefault="002B5549" w:rsidP="002B5549">
      <w:pPr>
        <w:spacing w:line="480" w:lineRule="auto"/>
        <w:ind w:firstLine="720"/>
        <w:rPr>
          <w:rFonts w:eastAsiaTheme="minorEastAsia" w:cs="Times New Roman"/>
          <w:szCs w:val="24"/>
        </w:rPr>
      </w:pPr>
      <w:r>
        <w:rPr>
          <w:rFonts w:cs="Times New Roman"/>
          <w:szCs w:val="24"/>
        </w:rPr>
        <w:t xml:space="preserve">These findings suggest that one associative pathway that might contribute to behavioural control in Pavlovian devaluation tasks using specific satiety is habituation or a reduction in the signalling efficacy of the sensory specific properties of expected outcomes. In contrast, devaluation using taste aversion leaves the signalling properties of expected outcomes intact </w:t>
      </w:r>
      <w:r>
        <w:rPr>
          <w:rFonts w:cs="Times New Roman"/>
          <w:szCs w:val="24"/>
        </w:rPr>
        <w:fldChar w:fldCharType="begin" w:fldLock="1"/>
      </w:r>
      <w:r>
        <w:rPr>
          <w:rFonts w:cs="Times New Roman"/>
          <w:szCs w:val="24"/>
        </w:rPr>
        <w:instrText>ADDIN CSL_CITATION { "citationItems" : [ { "id" : "ITEM-1", "itemData" : { "DOI" : "10.1037/0097-7403.30.2.104", "ISBN" : "0097-7403 (Print)\r0097-7403", "PMID" : "15078120", "abstract" : "Relations between posttraining reinforcer devaluation and Pavlovian-instrumental transfer were examined in 2 experiments. When a single reinforcer was used, extended training of the instrumental response increased transfer but reduced devaluation effects. When multiple instrumental reinforcers were used, both reinforcer-specific transfer and devaluation effects were less influenced by the amount of instrumental training. Finally, although reinforcer devaluation decreased both Pavlovian conditioned responses and baseline instrumental responding, it had no effect on either single-reinforcer or reinforcer-specific transfer. These results indicate that transfer and reinforcer devaluation can reflect different aspects of associative learning and that the nature of associative learning can be influenced by parameters such as the amount of training and the use of multiple reinforcers.", "author" : [ { "dropping-particle" : "", "family" : "Holland", "given" : "P C", "non-dropping-particle" : "", "parse-names" : false, "suffix" : "" } ], "container-title" : "J Exp Psychol Anim Behav Process", "edition" : "2004/04/14", "id" : "ITEM-1", "issue" : "2", "issued" : { "date-parts" : [ [ "2004" ] ] }, "language" : "eng", "note" : "Holland, Peter C\nMH 60179/MH/NIMH NIH HHS/United States\nMH 65879/MH/NIMH NIH HHS/United States\nComparative Study\nJournal Article\nResearch Support, U.S. Gov't, P.H.S.\nUnited States\nJ Exp Psychol Anim Behav Process. 2004 Apr;30(2):104-17.", "page" : "104-117", "title" : "Relations between Pavlovian-instrumental transfer and reinforcer devaluation", "type" : "article-journal", "volume" : "30" }, "uris" : [ "http://www.mendeley.com/documents/?uuid=3f0bd26e-a9f5-4178-b6ba-de4679d9b2c2" ] }, { "id" : "ITEM-2", "itemData" : { "ISBN" : "00904996", "author" : [ { "dropping-particle" : "", "family" : "Rescorla", "given" : "R A", "non-dropping-particle" : "", "parse-names" : false, "suffix" : "" } ], "container-title" : "Animal Learning and Behavior", "id" : "ITEM-2", "issue" : "3", "issued" : { "date-parts" : [ [ "1992" ] ] }, "page" : "223-232", "title" : "Response-outcome versus outcome-response associations in instrumental learning", "type" : "article-journal", "volume" : "20" }, "uris" : [ "http://www.mendeley.com/documents/?uuid=b783425e-8eba-407b-ad64-4ec65bce3be0" ] } ], "mendeley" : { "formattedCitation" : "(Holland, 2004; Rescorla, 1992)", "plainTextFormattedCitation" : "(Holland, 2004; Rescorla, 1992)", "previouslyFormattedCitation" : "(Holland, 2004; Rescorla, 1992)" }, "properties" : {  }, "schema" : "https://github.com/citation-style-language/schema/raw/master/csl-citation.json" }</w:instrText>
      </w:r>
      <w:r>
        <w:rPr>
          <w:rFonts w:cs="Times New Roman"/>
          <w:szCs w:val="24"/>
        </w:rPr>
        <w:fldChar w:fldCharType="separate"/>
      </w:r>
      <w:r w:rsidRPr="005E2C84">
        <w:rPr>
          <w:rFonts w:cs="Times New Roman"/>
          <w:noProof/>
          <w:szCs w:val="24"/>
        </w:rPr>
        <w:t>(Holland, 2004; Rescorla, 1992)</w:t>
      </w:r>
      <w:r>
        <w:rPr>
          <w:rFonts w:cs="Times New Roman"/>
          <w:szCs w:val="24"/>
        </w:rPr>
        <w:fldChar w:fldCharType="end"/>
      </w:r>
      <w:r>
        <w:rPr>
          <w:rFonts w:cs="Times New Roman"/>
          <w:szCs w:val="24"/>
        </w:rPr>
        <w:t xml:space="preserve">. Given that lesions of the rodent OFC disrupt devaluation by taste aversion </w:t>
      </w:r>
      <w:r>
        <w:rPr>
          <w:rFonts w:cs="Times New Roman"/>
          <w:szCs w:val="24"/>
        </w:rPr>
        <w:fldChar w:fldCharType="begin" w:fldLock="1"/>
      </w:r>
      <w:r>
        <w:rPr>
          <w:rFonts w:cs="Times New Roman"/>
          <w:szCs w:val="24"/>
        </w:rPr>
        <w:instrText>ADDIN CSL_CITATION { "citationItems" : [ { "id" : "ITEM-1",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"ITEM-1", "issue" : "1", "issued" : { "date-parts" : [ [ "2005" ] ] }, "language" : "eng", "page" : "317-322", "title" : "Orbitofrontal lesions impair use of cue-outcome associations in a devaluation task", "type" : "article-journal", "volume" : "119" }, "uris" : [ "http://www.mendeley.com/documents/?uuid=142c50b1-8670-4327-bee0-d91137a96fd5"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"ITEM-3", "issue" : "15", "issued" : { "date-parts" : [ [ "1999" ] ] }, "language" : "English", "page" : "6610-6614", "title" : "Orbitofrontal cortex and representation of incentive value in associative learning", "type" : "article-journal", "volume" : "19" }, "uris" : [ "http://www.mendeley.com/documents/?uuid=67ba92ca-b679-407e-9f2a-7aac71c3f739" ] } ], "mendeley" : { "formattedCitation" : "(Gallagher et al., 1999; Pickens et al., 2003, 2005)", "plainTextFormattedCitation" : "(Gallagher et al., 1999; Pickens et al., 2003, 2005)", "previouslyFormattedCitation" : "(Gallagher et al., 1999; Pickens et al., 2003, 2005)" }, "properties" : {  }, "schema" : "https://github.com/citation-style-language/schema/raw/master/csl-citation.json" }</w:instrText>
      </w:r>
      <w:r>
        <w:rPr>
          <w:rFonts w:cs="Times New Roman"/>
          <w:szCs w:val="24"/>
        </w:rPr>
        <w:fldChar w:fldCharType="separate"/>
      </w:r>
      <w:r w:rsidRPr="00EB541D">
        <w:rPr>
          <w:rFonts w:cs="Times New Roman"/>
          <w:noProof/>
          <w:szCs w:val="24"/>
        </w:rPr>
        <w:t>(Gallagher et al., 1999; Pickens et al., 2003, 2005)</w:t>
      </w:r>
      <w:r>
        <w:rPr>
          <w:rFonts w:cs="Times New Roman"/>
          <w:szCs w:val="24"/>
        </w:rPr>
        <w:fldChar w:fldCharType="end"/>
      </w:r>
      <w:r>
        <w:rPr>
          <w:rFonts w:cs="Times New Roman"/>
          <w:szCs w:val="24"/>
        </w:rPr>
        <w:t xml:space="preserve">, the intact devaluation we observe following specific satiety in OFC lesioned animals can be accounted for by this alternative pathway. Specifically, OFC lesions disrupt the use of specific outcome properties to access the current motivational value of an expected outcome (as required by taste aversion devaluation), but do not disrupt the representation of the sensory specific properties of expected outcomes per se. In fact, pre-training OFC lesions do not disrupt specific Pavlovian to instrumental transfer </w:t>
      </w:r>
      <w:r>
        <w:rPr>
          <w:rFonts w:cs="Times New Roman"/>
          <w:szCs w:val="24"/>
        </w:rPr>
        <w:fldChar w:fldCharType="begin" w:fldLock="1"/>
      </w:r>
      <w:r>
        <w:rPr>
          <w:rFonts w:cs="Times New Roman"/>
          <w:szCs w:val="24"/>
        </w:rPr>
        <w:instrText>ADDIN CSL_CITATION { "citationItems" : [ { "id" : "ITEM-1",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"ITEM-1",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"mendeley" : { "formattedCitation" : "(Ostlund &amp; Balleine, 2007)", "plainTextFormattedCitation" : "(Ostlund &amp; Balleine, 2007)", "previouslyFormattedCitation" : "(Ostlund &amp; Balleine, 2007)" }, "properties" : {  }, "schema" : "https://github.com/citation-style-language/schema/raw/master/csl-citation.json" }</w:instrText>
      </w:r>
      <w:r>
        <w:rPr>
          <w:rFonts w:cs="Times New Roman"/>
          <w:szCs w:val="24"/>
        </w:rPr>
        <w:fldChar w:fldCharType="separate"/>
      </w:r>
      <w:r w:rsidRPr="0031499E">
        <w:rPr>
          <w:rFonts w:cs="Times New Roman"/>
          <w:noProof/>
          <w:szCs w:val="24"/>
        </w:rPr>
        <w:t>(Ostlund &amp; Balleine, 2007)</w:t>
      </w:r>
      <w:r>
        <w:rPr>
          <w:rFonts w:cs="Times New Roman"/>
          <w:szCs w:val="24"/>
        </w:rPr>
        <w:fldChar w:fldCharType="end"/>
      </w:r>
      <w:r>
        <w:rPr>
          <w:rFonts w:cs="Times New Roman"/>
          <w:szCs w:val="24"/>
        </w:rPr>
        <w:t>, an effect we have confirmed with our lesion and behavioural parameters (supplementary Figure S1).</w:t>
      </w:r>
    </w:p>
    <w:p w14:paraId="5002C84E" w14:textId="77777777" w:rsidR="002B5549" w:rsidRDefault="002B5549" w:rsidP="002B5549">
      <w:pPr>
        <w:pStyle w:val="NormalWeb"/>
        <w:spacing w:before="0" w:beforeAutospacing="0" w:after="0" w:afterAutospacing="0" w:line="480" w:lineRule="auto"/>
        <w:ind w:firstLine="720"/>
        <w:rPr>
          <w:color w:val="000000"/>
          <w:lang w:val="en-US"/>
        </w:rPr>
      </w:pPr>
    </w:p>
    <w:p w14:paraId="30FBC5F1" w14:textId="55D4EBBA" w:rsidR="002B5549" w:rsidRDefault="002B5549" w:rsidP="002B5549">
      <w:pPr>
        <w:rPr>
          <w:rFonts w:cs="Times New Roman"/>
          <w:szCs w:val="24"/>
        </w:rPr>
      </w:pPr>
    </w:p>
    <w:p w14:paraId="75C95FE0" w14:textId="77777777" w:rsidR="002B5549" w:rsidRPr="000779E4" w:rsidRDefault="002B5549" w:rsidP="002B5549">
      <w:pPr>
        <w:spacing w:line="480" w:lineRule="auto"/>
        <w:rPr>
          <w:rFonts w:cs="Times New Roman"/>
          <w:i/>
          <w:szCs w:val="24"/>
        </w:rPr>
      </w:pPr>
      <w:r w:rsidRPr="00656606">
        <w:rPr>
          <w:rFonts w:cs="Times New Roman"/>
          <w:b/>
          <w:szCs w:val="24"/>
        </w:rPr>
        <w:lastRenderedPageBreak/>
        <w:t>Supplementary</w:t>
      </w:r>
      <w:r>
        <w:rPr>
          <w:rFonts w:cs="Times New Roman"/>
          <w:b/>
          <w:szCs w:val="24"/>
        </w:rPr>
        <w:t xml:space="preserve"> Results </w:t>
      </w:r>
      <w:r w:rsidRPr="00656606">
        <w:rPr>
          <w:rFonts w:cs="Times New Roman"/>
          <w:b/>
          <w:szCs w:val="24"/>
        </w:rPr>
        <w:t>–</w:t>
      </w:r>
      <w:r w:rsidRPr="000779E4">
        <w:rPr>
          <w:rFonts w:cs="Times New Roman"/>
          <w:szCs w:val="24"/>
        </w:rPr>
        <w:t xml:space="preserve"> </w:t>
      </w:r>
      <w:r w:rsidRPr="000779E4">
        <w:rPr>
          <w:rFonts w:cs="Times New Roman"/>
          <w:b/>
          <w:szCs w:val="24"/>
        </w:rPr>
        <w:t>Effect of sensory specific satiety on specific Pavlovian to instrumental transfer</w:t>
      </w:r>
    </w:p>
    <w:p w14:paraId="4970109B" w14:textId="77777777" w:rsidR="002B5549" w:rsidRPr="000779E4" w:rsidRDefault="002B5549" w:rsidP="002B5549">
      <w:pPr>
        <w:spacing w:after="240" w:line="480" w:lineRule="auto"/>
        <w:rPr>
          <w:rFonts w:eastAsia="Times New Roman" w:cs="Times New Roman"/>
          <w:i/>
          <w:color w:val="000000"/>
          <w:szCs w:val="24"/>
          <w:lang w:eastAsia="en-AU"/>
        </w:rPr>
      </w:pPr>
      <w:r w:rsidRPr="000779E4">
        <w:rPr>
          <w:rFonts w:eastAsia="Times New Roman" w:cs="Times New Roman"/>
          <w:i/>
          <w:color w:val="000000"/>
          <w:szCs w:val="24"/>
          <w:lang w:eastAsia="en-AU"/>
        </w:rPr>
        <w:t>Exclusions</w:t>
      </w:r>
    </w:p>
    <w:p w14:paraId="6B39EA70" w14:textId="77777777" w:rsidR="002B5549" w:rsidRPr="000779E4" w:rsidRDefault="002B5549" w:rsidP="002B5549">
      <w:pPr>
        <w:pStyle w:val="NormalWeb"/>
        <w:spacing w:before="0" w:beforeAutospacing="0" w:after="0" w:afterAutospacing="0" w:line="480" w:lineRule="auto"/>
        <w:ind w:firstLine="720"/>
        <w:rPr>
          <w:color w:val="000000"/>
        </w:rPr>
      </w:pPr>
      <w:r w:rsidRPr="000779E4">
        <w:rPr>
          <w:color w:val="000000"/>
        </w:rPr>
        <w:t xml:space="preserve">Two rats were excluded based on a substantial response bias to one cue. Responding was over 4x higher to one CS suggesting substantial cue or outcome preference. </w:t>
      </w:r>
    </w:p>
    <w:p w14:paraId="27E3CC9D" w14:textId="77777777" w:rsidR="002B5549" w:rsidRPr="000779E4" w:rsidRDefault="002B5549" w:rsidP="002B5549">
      <w:pPr>
        <w:pStyle w:val="NormalWeb"/>
        <w:spacing w:before="0" w:beforeAutospacing="0" w:after="0" w:afterAutospacing="0" w:line="480" w:lineRule="auto"/>
        <w:ind w:firstLine="720"/>
        <w:rPr>
          <w:color w:val="000000"/>
        </w:rPr>
      </w:pPr>
    </w:p>
    <w:p w14:paraId="692D7BAC" w14:textId="77777777" w:rsidR="002B5549" w:rsidRPr="000779E4" w:rsidRDefault="002B5549" w:rsidP="002B5549">
      <w:pPr>
        <w:spacing w:after="240" w:line="480" w:lineRule="auto"/>
        <w:rPr>
          <w:rFonts w:eastAsia="Times New Roman" w:cs="Times New Roman"/>
          <w:i/>
          <w:color w:val="000000"/>
          <w:szCs w:val="24"/>
          <w:lang w:eastAsia="en-AU"/>
        </w:rPr>
      </w:pPr>
      <w:r w:rsidRPr="000779E4">
        <w:rPr>
          <w:rFonts w:eastAsia="Times New Roman" w:cs="Times New Roman"/>
          <w:i/>
          <w:color w:val="000000"/>
          <w:szCs w:val="24"/>
          <w:lang w:eastAsia="en-AU"/>
        </w:rPr>
        <w:t>Behavioural results</w:t>
      </w:r>
    </w:p>
    <w:p w14:paraId="10EE711F" w14:textId="77777777" w:rsidR="002B5549" w:rsidRPr="000779E4" w:rsidRDefault="002B5549" w:rsidP="002B5549">
      <w:pPr>
        <w:spacing w:line="480" w:lineRule="auto"/>
        <w:rPr>
          <w:rFonts w:cs="Times New Roman"/>
          <w:szCs w:val="24"/>
        </w:rPr>
      </w:pPr>
      <w:r w:rsidRPr="000779E4">
        <w:rPr>
          <w:rFonts w:cs="Times New Roman"/>
          <w:szCs w:val="24"/>
        </w:rPr>
        <w:t>Instrumental</w:t>
      </w:r>
    </w:p>
    <w:p w14:paraId="26765A80" w14:textId="77777777" w:rsidR="002B5549" w:rsidRPr="000779E4" w:rsidRDefault="002B5549" w:rsidP="002B5549">
      <w:pPr>
        <w:spacing w:line="480" w:lineRule="auto"/>
        <w:rPr>
          <w:rFonts w:cs="Times New Roman"/>
          <w:szCs w:val="24"/>
        </w:rPr>
      </w:pPr>
      <w:r w:rsidRPr="000779E4">
        <w:rPr>
          <w:rFonts w:cs="Times New Roman"/>
          <w:szCs w:val="24"/>
        </w:rPr>
        <w:t xml:space="preserve">Acquisition of instrumental responding for the sucrose and maltodextrin rewards occurred at a similar rate, and did not differ on the final day of acquisition (lever presses per min; Sucrose, </w:t>
      </w:r>
      <w:r w:rsidRPr="000779E4">
        <w:rPr>
          <w:rFonts w:cs="Times New Roman"/>
          <w:i/>
          <w:szCs w:val="24"/>
        </w:rPr>
        <w:t>M</w:t>
      </w:r>
      <w:r w:rsidRPr="000779E4">
        <w:rPr>
          <w:rFonts w:cs="Times New Roman"/>
          <w:szCs w:val="24"/>
        </w:rPr>
        <w:t xml:space="preserve"> =  28.87, </w:t>
      </w:r>
      <w:r w:rsidRPr="000779E4">
        <w:rPr>
          <w:rFonts w:cs="Times New Roman"/>
          <w:i/>
          <w:szCs w:val="24"/>
        </w:rPr>
        <w:t xml:space="preserve">SD </w:t>
      </w:r>
      <w:r w:rsidRPr="000779E4">
        <w:rPr>
          <w:rFonts w:cs="Times New Roman"/>
          <w:szCs w:val="24"/>
        </w:rPr>
        <w:t xml:space="preserve">= 9.97; Maltodextrin, </w:t>
      </w:r>
      <w:r w:rsidRPr="000779E4">
        <w:rPr>
          <w:rFonts w:cs="Times New Roman"/>
          <w:i/>
          <w:szCs w:val="24"/>
        </w:rPr>
        <w:t>M</w:t>
      </w:r>
      <w:r w:rsidRPr="000779E4">
        <w:rPr>
          <w:rFonts w:cs="Times New Roman"/>
          <w:szCs w:val="24"/>
        </w:rPr>
        <w:t xml:space="preserve"> =  27.53, </w:t>
      </w:r>
      <w:r w:rsidRPr="000779E4">
        <w:rPr>
          <w:rFonts w:cs="Times New Roman"/>
          <w:i/>
          <w:szCs w:val="24"/>
        </w:rPr>
        <w:t xml:space="preserve">SD </w:t>
      </w:r>
      <w:r w:rsidRPr="000779E4">
        <w:rPr>
          <w:rFonts w:cs="Times New Roman"/>
          <w:szCs w:val="24"/>
        </w:rPr>
        <w:t xml:space="preserve">= 7.68). A Reward (Sucrose, Maltodextrin) x Session (1-6) ANOVA revealed that lever pressing significantly increased across sessions (main effect of </w:t>
      </w:r>
      <w:r w:rsidRPr="000779E4">
        <w:rPr>
          <w:rFonts w:cs="Times New Roman"/>
          <w:i/>
          <w:iCs/>
          <w:szCs w:val="24"/>
        </w:rPr>
        <w:t>F</w:t>
      </w:r>
      <w:r w:rsidRPr="000779E4">
        <w:rPr>
          <w:rFonts w:cs="Times New Roman"/>
          <w:szCs w:val="24"/>
          <w:vertAlign w:val="subscript"/>
        </w:rPr>
        <w:t>(5, 65)</w:t>
      </w:r>
      <w:r w:rsidRPr="000779E4">
        <w:rPr>
          <w:rFonts w:cs="Times New Roman"/>
          <w:szCs w:val="24"/>
        </w:rPr>
        <w:t xml:space="preserve"> = 129.71, </w:t>
      </w:r>
      <w:r w:rsidRPr="000779E4">
        <w:rPr>
          <w:rFonts w:cs="Times New Roman"/>
          <w:i/>
          <w:iCs/>
          <w:szCs w:val="24"/>
        </w:rPr>
        <w:t xml:space="preserve"> p</w:t>
      </w:r>
      <w:r w:rsidRPr="000779E4">
        <w:rPr>
          <w:rFonts w:cs="Times New Roman"/>
          <w:szCs w:val="24"/>
        </w:rPr>
        <w:t xml:space="preserve"> &lt; .001, positive linear trend</w:t>
      </w:r>
      <w:r w:rsidRPr="000779E4">
        <w:rPr>
          <w:rFonts w:cs="Times New Roman"/>
          <w:i/>
          <w:iCs/>
          <w:szCs w:val="24"/>
        </w:rPr>
        <w:t xml:space="preserve"> F</w:t>
      </w:r>
      <w:r w:rsidRPr="000779E4">
        <w:rPr>
          <w:rFonts w:cs="Times New Roman"/>
          <w:szCs w:val="24"/>
          <w:vertAlign w:val="subscript"/>
        </w:rPr>
        <w:t>(1, 13)</w:t>
      </w:r>
      <w:r w:rsidRPr="000779E4">
        <w:rPr>
          <w:rFonts w:cs="Times New Roman"/>
          <w:szCs w:val="24"/>
        </w:rPr>
        <w:t xml:space="preserve"> = 92.91, </w:t>
      </w:r>
      <w:r w:rsidRPr="000779E4">
        <w:rPr>
          <w:rFonts w:cs="Times New Roman"/>
          <w:i/>
          <w:iCs/>
          <w:szCs w:val="24"/>
        </w:rPr>
        <w:t xml:space="preserve"> p</w:t>
      </w:r>
      <w:r w:rsidRPr="000779E4">
        <w:rPr>
          <w:rFonts w:cs="Times New Roman"/>
          <w:szCs w:val="24"/>
        </w:rPr>
        <w:t xml:space="preserve"> &lt; .001 ) but did not significantly differ between reward type (all remaining </w:t>
      </w:r>
      <w:r w:rsidRPr="000779E4">
        <w:rPr>
          <w:rFonts w:cs="Times New Roman"/>
          <w:i/>
          <w:szCs w:val="24"/>
        </w:rPr>
        <w:t>Fs</w:t>
      </w:r>
      <w:r w:rsidRPr="000779E4">
        <w:rPr>
          <w:rFonts w:cs="Times New Roman"/>
          <w:szCs w:val="24"/>
        </w:rPr>
        <w:t xml:space="preserve"> &lt; 1.00, </w:t>
      </w:r>
      <w:r w:rsidRPr="000779E4">
        <w:rPr>
          <w:rFonts w:cs="Times New Roman"/>
          <w:i/>
          <w:szCs w:val="24"/>
        </w:rPr>
        <w:t xml:space="preserve">p </w:t>
      </w:r>
      <w:r w:rsidRPr="000779E4">
        <w:rPr>
          <w:rFonts w:cs="Times New Roman"/>
          <w:szCs w:val="24"/>
        </w:rPr>
        <w:t>&gt; .84).</w:t>
      </w:r>
    </w:p>
    <w:p w14:paraId="257AA8BC" w14:textId="77777777" w:rsidR="002B5549" w:rsidRPr="000779E4" w:rsidRDefault="002B5549" w:rsidP="002B5549">
      <w:pPr>
        <w:spacing w:line="480" w:lineRule="auto"/>
        <w:rPr>
          <w:rFonts w:cs="Times New Roman"/>
          <w:szCs w:val="24"/>
        </w:rPr>
      </w:pPr>
      <w:r w:rsidRPr="000779E4">
        <w:rPr>
          <w:rFonts w:cs="Times New Roman"/>
          <w:szCs w:val="24"/>
        </w:rPr>
        <w:t>Pavlovian</w:t>
      </w:r>
    </w:p>
    <w:p w14:paraId="6DA7EBAB" w14:textId="77777777" w:rsidR="002B5549" w:rsidRPr="000779E4" w:rsidRDefault="002B5549" w:rsidP="002B5549">
      <w:pPr>
        <w:spacing w:line="480" w:lineRule="auto"/>
        <w:rPr>
          <w:rFonts w:cs="Times New Roman"/>
          <w:szCs w:val="24"/>
        </w:rPr>
      </w:pPr>
      <w:r w:rsidRPr="000779E4">
        <w:rPr>
          <w:rFonts w:cs="Times New Roman"/>
          <w:szCs w:val="24"/>
        </w:rPr>
        <w:t xml:space="preserve">The rate of acquisition was greater for the cues predicting sucrose and maltodextrin than for the cue predicting pellets, however there were no differences in responding by the final day of acquisition (time spent in magazine during 2 minute cue above 2 minute baseline; Sucrose, </w:t>
      </w:r>
      <w:r w:rsidRPr="000779E4">
        <w:rPr>
          <w:rFonts w:cs="Times New Roman"/>
          <w:i/>
          <w:szCs w:val="24"/>
        </w:rPr>
        <w:t xml:space="preserve">M </w:t>
      </w:r>
      <w:r w:rsidRPr="000779E4">
        <w:rPr>
          <w:rFonts w:cs="Times New Roman"/>
          <w:szCs w:val="24"/>
        </w:rPr>
        <w:t xml:space="preserve">= 46.32 s, </w:t>
      </w:r>
      <w:r w:rsidRPr="000779E4">
        <w:rPr>
          <w:rFonts w:cs="Times New Roman"/>
          <w:i/>
          <w:szCs w:val="24"/>
        </w:rPr>
        <w:t>SD</w:t>
      </w:r>
      <w:r w:rsidRPr="000779E4">
        <w:rPr>
          <w:rFonts w:cs="Times New Roman"/>
          <w:szCs w:val="24"/>
        </w:rPr>
        <w:t xml:space="preserve"> = 17.57; Maltodextrin, </w:t>
      </w:r>
      <w:r w:rsidRPr="000779E4">
        <w:rPr>
          <w:rFonts w:cs="Times New Roman"/>
          <w:i/>
          <w:szCs w:val="24"/>
        </w:rPr>
        <w:t xml:space="preserve">M </w:t>
      </w:r>
      <w:r w:rsidRPr="000779E4">
        <w:rPr>
          <w:rFonts w:cs="Times New Roman"/>
          <w:szCs w:val="24"/>
        </w:rPr>
        <w:t xml:space="preserve">= 52.60 s, </w:t>
      </w:r>
      <w:r w:rsidRPr="000779E4">
        <w:rPr>
          <w:rFonts w:cs="Times New Roman"/>
          <w:i/>
          <w:szCs w:val="24"/>
        </w:rPr>
        <w:t>SD</w:t>
      </w:r>
      <w:r w:rsidRPr="000779E4">
        <w:rPr>
          <w:rFonts w:cs="Times New Roman"/>
          <w:szCs w:val="24"/>
        </w:rPr>
        <w:t xml:space="preserve"> = 15.06; Pellet, </w:t>
      </w:r>
      <w:r w:rsidRPr="000779E4">
        <w:rPr>
          <w:rFonts w:cs="Times New Roman"/>
          <w:i/>
          <w:szCs w:val="24"/>
        </w:rPr>
        <w:t xml:space="preserve">M </w:t>
      </w:r>
      <w:r w:rsidRPr="000779E4">
        <w:rPr>
          <w:rFonts w:cs="Times New Roman"/>
          <w:szCs w:val="24"/>
        </w:rPr>
        <w:t xml:space="preserve">= 39.22 s, </w:t>
      </w:r>
      <w:r w:rsidRPr="000779E4">
        <w:rPr>
          <w:rFonts w:cs="Times New Roman"/>
          <w:i/>
          <w:szCs w:val="24"/>
        </w:rPr>
        <w:t>SD</w:t>
      </w:r>
      <w:r w:rsidRPr="000779E4">
        <w:rPr>
          <w:rFonts w:cs="Times New Roman"/>
          <w:szCs w:val="24"/>
        </w:rPr>
        <w:t xml:space="preserve"> = 19.89). A Reward (Sucrose, Maltodextrin, Pellet) x Session (1-6) ANOVA revealed significant main effects of Session (</w:t>
      </w:r>
      <w:r w:rsidRPr="000779E4">
        <w:rPr>
          <w:rFonts w:cs="Times New Roman"/>
          <w:i/>
          <w:iCs/>
          <w:szCs w:val="24"/>
        </w:rPr>
        <w:t>F</w:t>
      </w:r>
      <w:r w:rsidRPr="000779E4">
        <w:rPr>
          <w:rFonts w:cs="Times New Roman"/>
          <w:szCs w:val="24"/>
          <w:vertAlign w:val="subscript"/>
        </w:rPr>
        <w:t>(5, 65)</w:t>
      </w:r>
      <w:r w:rsidRPr="000779E4">
        <w:rPr>
          <w:rFonts w:cs="Times New Roman"/>
          <w:szCs w:val="24"/>
        </w:rPr>
        <w:t xml:space="preserve"> = 11.24, </w:t>
      </w:r>
      <w:r w:rsidRPr="000779E4">
        <w:rPr>
          <w:rFonts w:cs="Times New Roman"/>
          <w:i/>
          <w:iCs/>
          <w:szCs w:val="24"/>
        </w:rPr>
        <w:t xml:space="preserve"> p</w:t>
      </w:r>
      <w:r w:rsidRPr="000779E4">
        <w:rPr>
          <w:rFonts w:cs="Times New Roman"/>
          <w:szCs w:val="24"/>
        </w:rPr>
        <w:t xml:space="preserve"> &lt; .001, positive linear trend</w:t>
      </w:r>
      <w:r w:rsidRPr="000779E4">
        <w:rPr>
          <w:rFonts w:cs="Times New Roman"/>
          <w:i/>
          <w:iCs/>
          <w:szCs w:val="24"/>
        </w:rPr>
        <w:t xml:space="preserve"> F</w:t>
      </w:r>
      <w:r w:rsidRPr="000779E4">
        <w:rPr>
          <w:rFonts w:cs="Times New Roman"/>
          <w:szCs w:val="24"/>
          <w:vertAlign w:val="subscript"/>
        </w:rPr>
        <w:t>(1, 13)</w:t>
      </w:r>
      <w:r w:rsidRPr="000779E4">
        <w:rPr>
          <w:rFonts w:cs="Times New Roman"/>
          <w:szCs w:val="24"/>
        </w:rPr>
        <w:t xml:space="preserve"> = 27.66, </w:t>
      </w:r>
      <w:r w:rsidRPr="000779E4">
        <w:rPr>
          <w:rFonts w:cs="Times New Roman"/>
          <w:i/>
          <w:iCs/>
          <w:szCs w:val="24"/>
        </w:rPr>
        <w:t xml:space="preserve"> p</w:t>
      </w:r>
      <w:r w:rsidRPr="000779E4">
        <w:rPr>
          <w:rFonts w:cs="Times New Roman"/>
          <w:szCs w:val="24"/>
        </w:rPr>
        <w:t xml:space="preserve"> &lt; .001) and </w:t>
      </w:r>
      <w:r w:rsidRPr="000779E4">
        <w:rPr>
          <w:rFonts w:cs="Times New Roman"/>
          <w:szCs w:val="24"/>
        </w:rPr>
        <w:lastRenderedPageBreak/>
        <w:t>Reward (</w:t>
      </w:r>
      <w:r w:rsidRPr="000779E4">
        <w:rPr>
          <w:rFonts w:cs="Times New Roman"/>
          <w:i/>
          <w:iCs/>
          <w:szCs w:val="24"/>
        </w:rPr>
        <w:t>F</w:t>
      </w:r>
      <w:r w:rsidRPr="000779E4">
        <w:rPr>
          <w:rFonts w:cs="Times New Roman"/>
          <w:szCs w:val="24"/>
          <w:vertAlign w:val="subscript"/>
        </w:rPr>
        <w:t>(2, 26)</w:t>
      </w:r>
      <w:r w:rsidRPr="000779E4">
        <w:rPr>
          <w:rFonts w:cs="Times New Roman"/>
          <w:szCs w:val="24"/>
        </w:rPr>
        <w:t xml:space="preserve"> = 22.28, </w:t>
      </w:r>
      <w:r w:rsidRPr="000779E4">
        <w:rPr>
          <w:rFonts w:cs="Times New Roman"/>
          <w:i/>
          <w:iCs/>
          <w:szCs w:val="24"/>
        </w:rPr>
        <w:t xml:space="preserve"> p</w:t>
      </w:r>
      <w:r w:rsidRPr="000779E4">
        <w:rPr>
          <w:rFonts w:cs="Times New Roman"/>
          <w:szCs w:val="24"/>
        </w:rPr>
        <w:t xml:space="preserve"> &lt; .001; Session x Reward interaction did not reach significance </w:t>
      </w:r>
      <w:r w:rsidRPr="000779E4">
        <w:rPr>
          <w:rFonts w:cs="Times New Roman"/>
          <w:i/>
          <w:iCs/>
          <w:szCs w:val="24"/>
        </w:rPr>
        <w:t>F</w:t>
      </w:r>
      <w:r w:rsidRPr="000779E4">
        <w:rPr>
          <w:rFonts w:cs="Times New Roman"/>
          <w:szCs w:val="24"/>
          <w:vertAlign w:val="subscript"/>
        </w:rPr>
        <w:t>(10, 130)</w:t>
      </w:r>
      <w:r w:rsidRPr="000779E4">
        <w:rPr>
          <w:rFonts w:cs="Times New Roman"/>
          <w:szCs w:val="24"/>
        </w:rPr>
        <w:t xml:space="preserve"> = 1.41, </w:t>
      </w:r>
      <w:r w:rsidRPr="000779E4">
        <w:rPr>
          <w:rFonts w:cs="Times New Roman"/>
          <w:i/>
          <w:iCs/>
          <w:szCs w:val="24"/>
        </w:rPr>
        <w:t xml:space="preserve"> p</w:t>
      </w:r>
      <w:r w:rsidRPr="000779E4">
        <w:rPr>
          <w:rFonts w:cs="Times New Roman"/>
          <w:szCs w:val="24"/>
        </w:rPr>
        <w:t xml:space="preserve"> = .18). During acquisition responding did not differ between Sucrose and Maltodextrin rewards (</w:t>
      </w:r>
      <w:r w:rsidRPr="000779E4">
        <w:rPr>
          <w:rFonts w:cs="Times New Roman"/>
          <w:i/>
          <w:iCs/>
          <w:szCs w:val="24"/>
        </w:rPr>
        <w:t>F</w:t>
      </w:r>
      <w:r w:rsidRPr="000779E4">
        <w:rPr>
          <w:rFonts w:cs="Times New Roman"/>
          <w:szCs w:val="24"/>
          <w:vertAlign w:val="subscript"/>
        </w:rPr>
        <w:t xml:space="preserve">(1, 13) </w:t>
      </w:r>
      <w:r w:rsidRPr="000779E4">
        <w:rPr>
          <w:rFonts w:cs="Times New Roman"/>
          <w:szCs w:val="24"/>
        </w:rPr>
        <w:t xml:space="preserve">= 1.62, </w:t>
      </w:r>
      <w:r w:rsidRPr="000779E4">
        <w:rPr>
          <w:rFonts w:cs="Times New Roman"/>
          <w:i/>
          <w:szCs w:val="24"/>
        </w:rPr>
        <w:t>p</w:t>
      </w:r>
      <w:r w:rsidRPr="000779E4">
        <w:rPr>
          <w:rFonts w:cs="Times New Roman"/>
          <w:szCs w:val="24"/>
        </w:rPr>
        <w:t xml:space="preserve"> = .54), whereas responding for Pellet reward was significantly lower than Sucrose (</w:t>
      </w:r>
      <w:r w:rsidRPr="000779E4">
        <w:rPr>
          <w:rFonts w:cs="Times New Roman"/>
          <w:i/>
          <w:iCs/>
          <w:szCs w:val="24"/>
        </w:rPr>
        <w:t>F</w:t>
      </w:r>
      <w:r w:rsidRPr="000779E4">
        <w:rPr>
          <w:rFonts w:cs="Times New Roman"/>
          <w:szCs w:val="24"/>
          <w:vertAlign w:val="subscript"/>
        </w:rPr>
        <w:t xml:space="preserve">(1, 13) </w:t>
      </w:r>
      <w:r w:rsidRPr="000779E4">
        <w:rPr>
          <w:rFonts w:cs="Times New Roman"/>
          <w:szCs w:val="24"/>
        </w:rPr>
        <w:t xml:space="preserve">= 27.55, </w:t>
      </w:r>
      <w:r w:rsidRPr="000779E4">
        <w:rPr>
          <w:rFonts w:cs="Times New Roman"/>
          <w:i/>
          <w:szCs w:val="24"/>
        </w:rPr>
        <w:t>p</w:t>
      </w:r>
      <w:r w:rsidRPr="000779E4">
        <w:rPr>
          <w:rFonts w:cs="Times New Roman"/>
          <w:szCs w:val="24"/>
        </w:rPr>
        <w:t xml:space="preserve"> &lt; .001) and Maltodextrin (</w:t>
      </w:r>
      <w:r w:rsidRPr="000779E4">
        <w:rPr>
          <w:rFonts w:cs="Times New Roman"/>
          <w:i/>
          <w:iCs/>
          <w:szCs w:val="24"/>
        </w:rPr>
        <w:t>F</w:t>
      </w:r>
      <w:r w:rsidRPr="000779E4">
        <w:rPr>
          <w:rFonts w:cs="Times New Roman"/>
          <w:szCs w:val="24"/>
          <w:vertAlign w:val="subscript"/>
        </w:rPr>
        <w:t xml:space="preserve">(1, 13) </w:t>
      </w:r>
      <w:r w:rsidRPr="000779E4">
        <w:rPr>
          <w:rFonts w:cs="Times New Roman"/>
          <w:szCs w:val="24"/>
        </w:rPr>
        <w:t xml:space="preserve">= 26.07, </w:t>
      </w:r>
      <w:r w:rsidRPr="000779E4">
        <w:rPr>
          <w:rFonts w:cs="Times New Roman"/>
          <w:i/>
          <w:szCs w:val="24"/>
        </w:rPr>
        <w:t>p</w:t>
      </w:r>
      <w:r w:rsidRPr="000779E4">
        <w:rPr>
          <w:rFonts w:cs="Times New Roman"/>
          <w:szCs w:val="24"/>
        </w:rPr>
        <w:t xml:space="preserve"> = .001) rewards. Additional analysis of responding for each Reward on the final day of acquisition suggested that there were no significant differences between reward types (</w:t>
      </w:r>
      <w:proofErr w:type="gramStart"/>
      <w:r w:rsidRPr="000779E4">
        <w:rPr>
          <w:rFonts w:cs="Times New Roman"/>
          <w:i/>
          <w:iCs/>
          <w:szCs w:val="24"/>
        </w:rPr>
        <w:t>F</w:t>
      </w:r>
      <w:r w:rsidRPr="000779E4">
        <w:rPr>
          <w:rFonts w:cs="Times New Roman"/>
          <w:szCs w:val="24"/>
          <w:vertAlign w:val="subscript"/>
        </w:rPr>
        <w:t>(</w:t>
      </w:r>
      <w:proofErr w:type="gramEnd"/>
      <w:r w:rsidRPr="000779E4">
        <w:rPr>
          <w:rFonts w:cs="Times New Roman"/>
          <w:szCs w:val="24"/>
          <w:vertAlign w:val="subscript"/>
        </w:rPr>
        <w:t>2,26)</w:t>
      </w:r>
      <w:r w:rsidRPr="000779E4">
        <w:rPr>
          <w:rFonts w:cs="Times New Roman"/>
          <w:szCs w:val="24"/>
        </w:rPr>
        <w:t xml:space="preserve"> = 2.26, </w:t>
      </w:r>
      <w:r w:rsidRPr="000779E4">
        <w:rPr>
          <w:rFonts w:cs="Times New Roman"/>
          <w:i/>
          <w:iCs/>
          <w:szCs w:val="24"/>
        </w:rPr>
        <w:t xml:space="preserve"> p</w:t>
      </w:r>
      <w:r w:rsidRPr="000779E4">
        <w:rPr>
          <w:rFonts w:cs="Times New Roman"/>
          <w:szCs w:val="24"/>
        </w:rPr>
        <w:t xml:space="preserve"> = .13).</w:t>
      </w:r>
    </w:p>
    <w:p w14:paraId="5E08E1E0" w14:textId="77777777" w:rsidR="002B5549" w:rsidRPr="000779E4" w:rsidRDefault="002B5549" w:rsidP="002B5549">
      <w:pPr>
        <w:spacing w:line="480" w:lineRule="auto"/>
        <w:rPr>
          <w:rFonts w:cs="Times New Roman"/>
          <w:szCs w:val="24"/>
        </w:rPr>
      </w:pPr>
      <w:r w:rsidRPr="000779E4">
        <w:rPr>
          <w:rFonts w:cs="Times New Roman"/>
          <w:szCs w:val="24"/>
        </w:rPr>
        <w:t>Satiety Devaluation</w:t>
      </w:r>
    </w:p>
    <w:p w14:paraId="15CE37CD" w14:textId="77777777" w:rsidR="002B5549" w:rsidRPr="000779E4" w:rsidRDefault="002B5549" w:rsidP="002B5549">
      <w:pPr>
        <w:spacing w:line="480" w:lineRule="auto"/>
        <w:rPr>
          <w:rFonts w:cs="Times New Roman"/>
          <w:szCs w:val="24"/>
        </w:rPr>
      </w:pPr>
      <w:r w:rsidRPr="000779E4">
        <w:rPr>
          <w:rFonts w:cs="Times New Roman"/>
          <w:szCs w:val="24"/>
        </w:rPr>
        <w:t xml:space="preserve">Prior to each of the 4 test sessions, rats consumed </w:t>
      </w:r>
      <w:r w:rsidRPr="000779E4">
        <w:rPr>
          <w:rFonts w:cs="Times New Roman"/>
          <w:i/>
          <w:szCs w:val="24"/>
        </w:rPr>
        <w:t>M</w:t>
      </w:r>
      <w:r w:rsidRPr="000779E4">
        <w:rPr>
          <w:rFonts w:cs="Times New Roman"/>
          <w:szCs w:val="24"/>
          <w:vertAlign w:val="subscript"/>
        </w:rPr>
        <w:t>1</w:t>
      </w:r>
      <w:r w:rsidRPr="000779E4">
        <w:rPr>
          <w:rFonts w:cs="Times New Roman"/>
          <w:szCs w:val="24"/>
        </w:rPr>
        <w:t xml:space="preserve"> = 21.09 (</w:t>
      </w:r>
      <w:r w:rsidRPr="000779E4">
        <w:rPr>
          <w:rFonts w:cs="Times New Roman"/>
          <w:i/>
          <w:szCs w:val="24"/>
        </w:rPr>
        <w:t>SD</w:t>
      </w:r>
      <w:r w:rsidRPr="000779E4">
        <w:rPr>
          <w:rFonts w:cs="Times New Roman"/>
          <w:szCs w:val="24"/>
        </w:rPr>
        <w:t xml:space="preserve"> = 3.29), </w:t>
      </w:r>
      <w:r w:rsidRPr="000779E4">
        <w:rPr>
          <w:rFonts w:cs="Times New Roman"/>
          <w:i/>
          <w:szCs w:val="24"/>
        </w:rPr>
        <w:t>M</w:t>
      </w:r>
      <w:r w:rsidRPr="000779E4">
        <w:rPr>
          <w:rFonts w:cs="Times New Roman"/>
          <w:szCs w:val="24"/>
          <w:vertAlign w:val="subscript"/>
        </w:rPr>
        <w:t>2</w:t>
      </w:r>
      <w:r w:rsidRPr="000779E4">
        <w:rPr>
          <w:rFonts w:cs="Times New Roman"/>
          <w:szCs w:val="24"/>
        </w:rPr>
        <w:t xml:space="preserve"> = 23.16 (</w:t>
      </w:r>
      <w:r w:rsidRPr="000779E4">
        <w:rPr>
          <w:rFonts w:cs="Times New Roman"/>
          <w:i/>
          <w:szCs w:val="24"/>
        </w:rPr>
        <w:t>SD</w:t>
      </w:r>
      <w:r w:rsidRPr="000779E4">
        <w:rPr>
          <w:rFonts w:cs="Times New Roman"/>
          <w:szCs w:val="24"/>
        </w:rPr>
        <w:t xml:space="preserve"> = 4.85), </w:t>
      </w:r>
      <w:r w:rsidRPr="000779E4">
        <w:rPr>
          <w:rFonts w:cs="Times New Roman"/>
          <w:i/>
          <w:szCs w:val="24"/>
        </w:rPr>
        <w:t>M</w:t>
      </w:r>
      <w:r w:rsidRPr="000779E4">
        <w:rPr>
          <w:rFonts w:cs="Times New Roman"/>
          <w:szCs w:val="24"/>
          <w:vertAlign w:val="subscript"/>
        </w:rPr>
        <w:t>3</w:t>
      </w:r>
      <w:r w:rsidRPr="000779E4">
        <w:rPr>
          <w:rFonts w:cs="Times New Roman"/>
          <w:szCs w:val="24"/>
        </w:rPr>
        <w:t xml:space="preserve"> = 22.45 (</w:t>
      </w:r>
      <w:r w:rsidRPr="000779E4">
        <w:rPr>
          <w:rFonts w:cs="Times New Roman"/>
          <w:i/>
          <w:szCs w:val="24"/>
        </w:rPr>
        <w:t>SD</w:t>
      </w:r>
      <w:r w:rsidRPr="000779E4">
        <w:rPr>
          <w:rFonts w:cs="Times New Roman"/>
          <w:szCs w:val="24"/>
        </w:rPr>
        <w:t xml:space="preserve"> = 5.15), </w:t>
      </w:r>
      <w:r w:rsidRPr="000779E4">
        <w:rPr>
          <w:rFonts w:cs="Times New Roman"/>
          <w:i/>
          <w:szCs w:val="24"/>
        </w:rPr>
        <w:t>M</w:t>
      </w:r>
      <w:r w:rsidRPr="000779E4">
        <w:rPr>
          <w:rFonts w:cs="Times New Roman"/>
          <w:szCs w:val="24"/>
          <w:vertAlign w:val="subscript"/>
        </w:rPr>
        <w:t>4</w:t>
      </w:r>
      <w:r w:rsidRPr="000779E4">
        <w:rPr>
          <w:rFonts w:cs="Times New Roman"/>
          <w:szCs w:val="24"/>
        </w:rPr>
        <w:t xml:space="preserve"> = 23.36 (</w:t>
      </w:r>
      <w:r w:rsidRPr="000779E4">
        <w:rPr>
          <w:rFonts w:cs="Times New Roman"/>
          <w:i/>
          <w:szCs w:val="24"/>
        </w:rPr>
        <w:t>SD</w:t>
      </w:r>
      <w:r w:rsidRPr="000779E4">
        <w:rPr>
          <w:rFonts w:cs="Times New Roman"/>
          <w:szCs w:val="24"/>
        </w:rPr>
        <w:t xml:space="preserve"> = 2.97) grams of the to-be devalued liquid reinforcer. Total reward consumption did not differ between test sessions (main effect of session </w:t>
      </w:r>
      <w:proofErr w:type="gramStart"/>
      <w:r w:rsidRPr="000779E4">
        <w:rPr>
          <w:rFonts w:cs="Times New Roman"/>
          <w:i/>
          <w:iCs/>
          <w:szCs w:val="24"/>
        </w:rPr>
        <w:t>F</w:t>
      </w:r>
      <w:r w:rsidRPr="000779E4">
        <w:rPr>
          <w:rFonts w:cs="Times New Roman"/>
          <w:szCs w:val="24"/>
          <w:vertAlign w:val="subscript"/>
        </w:rPr>
        <w:t>(</w:t>
      </w:r>
      <w:proofErr w:type="gramEnd"/>
      <w:r w:rsidRPr="000779E4">
        <w:rPr>
          <w:rFonts w:cs="Times New Roman"/>
          <w:szCs w:val="24"/>
          <w:vertAlign w:val="subscript"/>
        </w:rPr>
        <w:t>3, 39)</w:t>
      </w:r>
      <w:r w:rsidRPr="000779E4">
        <w:rPr>
          <w:rFonts w:cs="Times New Roman"/>
          <w:szCs w:val="24"/>
        </w:rPr>
        <w:t xml:space="preserve"> = 2.52, </w:t>
      </w:r>
      <w:r w:rsidRPr="000779E4">
        <w:rPr>
          <w:rFonts w:cs="Times New Roman"/>
          <w:i/>
          <w:iCs/>
          <w:szCs w:val="24"/>
        </w:rPr>
        <w:t xml:space="preserve"> p</w:t>
      </w:r>
      <w:r w:rsidRPr="000779E4">
        <w:rPr>
          <w:rFonts w:cs="Times New Roman"/>
          <w:szCs w:val="24"/>
        </w:rPr>
        <w:t xml:space="preserve"> = .07).</w:t>
      </w:r>
    </w:p>
    <w:p w14:paraId="64642D2A" w14:textId="722581FE" w:rsidR="002B5549" w:rsidRDefault="002B5549" w:rsidP="002B5549">
      <w:pPr>
        <w:rPr>
          <w:rFonts w:cs="Times New Roman"/>
          <w:szCs w:val="24"/>
        </w:rPr>
      </w:pPr>
    </w:p>
    <w:p w14:paraId="23F8D008" w14:textId="77777777" w:rsidR="002B5549" w:rsidRDefault="002B5549" w:rsidP="002B5549">
      <w:pPr>
        <w:rPr>
          <w:rFonts w:cs="Times New Roman"/>
          <w:szCs w:val="24"/>
        </w:rPr>
      </w:pPr>
    </w:p>
    <w:p w14:paraId="5B1D35E1" w14:textId="79A4591E" w:rsidR="002B5549" w:rsidRDefault="002B5549" w:rsidP="002B5549">
      <w:pPr>
        <w:rPr>
          <w:rFonts w:cs="Times New Roman"/>
          <w:szCs w:val="24"/>
        </w:rPr>
      </w:pPr>
      <w:r>
        <w:rPr>
          <w:rFonts w:cs="Times New Roman"/>
          <w:noProof/>
          <w:szCs w:val="24"/>
          <w:lang w:val="en-US"/>
        </w:rPr>
        <w:lastRenderedPageBreak/>
        <w:drawing>
          <wp:inline distT="0" distB="0" distL="0" distR="0" wp14:anchorId="0B389735" wp14:editId="150D79AA">
            <wp:extent cx="5720080" cy="4263390"/>
            <wp:effectExtent l="0" t="0" r="0" b="0"/>
            <wp:docPr id="5" name="Picture 5" descr="Fig5_sPIT Deval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5_sPIT Deval_Portra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4263390"/>
                    </a:xfrm>
                    <a:prstGeom prst="rect">
                      <a:avLst/>
                    </a:prstGeom>
                    <a:noFill/>
                    <a:ln>
                      <a:noFill/>
                    </a:ln>
                  </pic:spPr>
                </pic:pic>
              </a:graphicData>
            </a:graphic>
          </wp:inline>
        </w:drawing>
      </w:r>
    </w:p>
    <w:p w14:paraId="0AA8DD25" w14:textId="77777777" w:rsidR="002B5549" w:rsidRDefault="002B5549" w:rsidP="002B5549">
      <w:pPr>
        <w:spacing w:line="480" w:lineRule="auto"/>
        <w:rPr>
          <w:rFonts w:cs="Times New Roman"/>
          <w:szCs w:val="24"/>
        </w:rPr>
      </w:pPr>
      <w:r>
        <w:t xml:space="preserve">Figure 3. The effects of specific satiety on specific PIT. Rate of lever pressing (A) and magazine duration </w:t>
      </w:r>
      <w:r>
        <w:rPr>
          <w:rFonts w:cs="Times New Roman"/>
          <w:szCs w:val="24"/>
        </w:rPr>
        <w:t xml:space="preserve">(B) responding during instrumental extinction in </w:t>
      </w:r>
      <w:proofErr w:type="gramStart"/>
      <w:r>
        <w:rPr>
          <w:rFonts w:cs="Times New Roman"/>
          <w:szCs w:val="24"/>
        </w:rPr>
        <w:t>two minute</w:t>
      </w:r>
      <w:proofErr w:type="gramEnd"/>
      <w:r>
        <w:rPr>
          <w:rFonts w:cs="Times New Roman"/>
          <w:szCs w:val="24"/>
        </w:rPr>
        <w:t xml:space="preserve"> blocks following devaluation by sensory specific satiety. Error bars depict +SEM. </w:t>
      </w:r>
      <w:r>
        <w:t xml:space="preserve">Rate of lever pressing (C) and magazine duration </w:t>
      </w:r>
      <w:r>
        <w:rPr>
          <w:rFonts w:cs="Times New Roman"/>
          <w:szCs w:val="24"/>
        </w:rPr>
        <w:t>(D) responding during the specific PIT test in extinction following outcome devaluation by sensory specific satiety. Responding plotted as the mean response rate per minute during each cue minus the preceding baseline no-cue period. Same and different conditions indicate whether the Pavlovian CS predicted the same or different liquid reinforcer to the instrumental response, and the general condition indicates responding during the CS that predicted pellets which were never an instrumental reinforcer. Non-devalued (left) and devalued (right) indicate whether the lever outcome was devalued by specific satiety.</w:t>
      </w:r>
    </w:p>
    <w:p w14:paraId="3747F076" w14:textId="77777777" w:rsidR="00EA3DBD" w:rsidRDefault="00EA3DBD"/>
    <w:sectPr w:rsidR="00EA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49"/>
    <w:rsid w:val="002B5549"/>
    <w:rsid w:val="0051241D"/>
    <w:rsid w:val="00AB203C"/>
    <w:rsid w:val="00E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BD03"/>
  <w15:chartTrackingRefBased/>
  <w15:docId w15:val="{1DCE4198-3525-4687-A754-91D476D8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49"/>
    <w:pPr>
      <w:spacing w:line="360" w:lineRule="auto"/>
    </w:pPr>
    <w:rPr>
      <w:rFonts w:ascii="Times New Roman" w:hAnsi="Times New Roman"/>
      <w:color w:val="000000" w:themeColor="text1"/>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5549"/>
    <w:pPr>
      <w:spacing w:before="100" w:beforeAutospacing="1" w:after="100" w:afterAutospacing="1" w:line="240" w:lineRule="auto"/>
    </w:pPr>
    <w:rPr>
      <w:rFonts w:eastAsia="Times New Roman" w:cs="Times New Roman"/>
      <w:szCs w:val="24"/>
      <w:lang w:eastAsia="en-AU"/>
    </w:rPr>
  </w:style>
  <w:style w:type="paragraph" w:customStyle="1" w:styleId="3MariosLevel3">
    <w:name w:val="3_Marios Level 3"/>
    <w:basedOn w:val="Normal"/>
    <w:link w:val="3MariosLevel3Char"/>
    <w:qFormat/>
    <w:rsid w:val="002B5549"/>
    <w:pPr>
      <w:spacing w:after="240"/>
      <w:ind w:left="720"/>
    </w:pPr>
    <w:rPr>
      <w:rFonts w:eastAsiaTheme="minorEastAsia" w:cs="Times New Roman"/>
      <w:b/>
      <w:i/>
      <w:szCs w:val="24"/>
    </w:rPr>
  </w:style>
  <w:style w:type="character" w:customStyle="1" w:styleId="3MariosLevel3Char">
    <w:name w:val="3_Marios Level 3 Char"/>
    <w:basedOn w:val="DefaultParagraphFont"/>
    <w:link w:val="3MariosLevel3"/>
    <w:rsid w:val="002B5549"/>
    <w:rPr>
      <w:rFonts w:ascii="Times New Roman" w:eastAsiaTheme="minorEastAsia" w:hAnsi="Times New Roman" w:cs="Times New Roman"/>
      <w:b/>
      <w:i/>
      <w:color w:val="000000" w:themeColor="text1"/>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6095</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2</cp:revision>
  <dcterms:created xsi:type="dcterms:W3CDTF">2020-10-31T23:34:00Z</dcterms:created>
  <dcterms:modified xsi:type="dcterms:W3CDTF">2020-12-04T17:47:00Z</dcterms:modified>
</cp:coreProperties>
</file>