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172A"/>
          <w:sz w:val="40"/>
        </w:rPr>
        <w:t>Project Operations System</w:t>
      </w:r>
    </w:p>
    <w:p>
      <w:pPr>
        <w:jc w:val="center"/>
      </w:pPr>
      <w:r>
        <w:rPr>
          <w:b/>
          <w:color w:val="1E293B"/>
          <w:sz w:val="30"/>
        </w:rPr>
        <w:t>Architecture V3.1 Checkpoint &amp; Forward Roadmap</w:t>
      </w:r>
    </w:p>
    <w:p>
      <w:pPr>
        <w:jc w:val="center"/>
      </w:pPr>
      <w:r>
        <w:t>Developer / Codex Handover | Status: Post Organization, Reporting Packs, Decision Register and Executive Decision Reporting | May 2026</w:t>
      </w:r>
    </w:p>
    <w:p/>
    <w:tbl>
      <w:tblPr>
        <w:tblStyle w:val="TableGrid"/>
        <w:tblW w:type="auto" w:w="0"/>
        <w:tblLook w:firstColumn="1" w:firstRow="1" w:lastColumn="0" w:lastRow="0" w:noHBand="0" w:noVBand="1" w:val="04A0"/>
      </w:tblPr>
      <w:tblGrid>
        <w:gridCol w:w="10368"/>
      </w:tblGrid>
      <w:tr>
        <w:tc>
          <w:tcPr>
            <w:tcW w:type="dxa" w:w="10368"/>
            <w:shd w:fill="EFF6FF"/>
          </w:tcPr>
          <w:p>
            <w:r/>
            <w:r>
              <w:rPr>
                <w:b/>
                <w:color w:val="1E40AF"/>
                <w:sz w:val="22"/>
              </w:rPr>
              <w:t>Architecture Snapshot</w:t>
            </w:r>
          </w:p>
          <w:p>
            <w:pPr>
              <w:pStyle w:val="ListBullet"/>
            </w:pPr>
            <w:r>
              <w:t>V2.6 remains the frozen production baseline.</w:t>
            </w:r>
          </w:p>
          <w:p>
            <w:pPr>
              <w:pStyle w:val="ListBullet"/>
            </w:pPr>
            <w:r>
              <w:t>V3.0 strategic enhancement has been substantially extended and partially implemented.</w:t>
            </w:r>
          </w:p>
          <w:p>
            <w:pPr>
              <w:pStyle w:val="ListBullet"/>
            </w:pPr>
            <w:r>
              <w:t>The system now supports consulting-grade commercial context, versioned executive narrative packs, decision governance, and executive report integration.</w:t>
            </w:r>
          </w:p>
          <w:p>
            <w:pPr>
              <w:pStyle w:val="ListBullet"/>
            </w:pPr>
            <w:r>
              <w:t>Next priority: clickable dynamic index, branding/report presentation, and decision movement intelligence refinement.</w:t>
            </w:r>
          </w:p>
        </w:tc>
      </w:tr>
    </w:tbl>
    <w:p>
      <w:r>
        <w:br w:type="page"/>
      </w:r>
    </w:p>
    <w:p>
      <w:pPr>
        <w:pStyle w:val="Heading1"/>
      </w:pPr>
      <w:r>
        <w:t>1. Purpose of this Checkpoint</w:t>
      </w:r>
    </w:p>
    <w:p>
      <w:r>
        <w:t>This document freezes the current V3.x implementation checkpoint and summarizes the architecture decisions, features implemented, conventions learned, and recommended next development sequence. It should be used as the working handover before continuing with clickable report navigation, branding, and executive report polish.</w:t>
      </w:r>
    </w:p>
    <w:p>
      <w:pPr>
        <w:pStyle w:val="Heading1"/>
      </w:pPr>
      <w:r>
        <w:t>2. Baseline and Architectural Continuity</w:t>
      </w:r>
    </w:p>
    <w:p>
      <w:pPr>
        <w:pStyle w:val="ListBullet"/>
        <w:spacing w:after="20"/>
      </w:pPr>
      <w:r>
        <w:t>V2.6 remains the production baseline: projects, workstreams, events/milestones, timeline, tasks/subtasks, time tracking, risks, risk actions, and Executive Reporting V1 remain stable.</w:t>
      </w:r>
    </w:p>
    <w:p>
      <w:pPr>
        <w:pStyle w:val="ListBullet"/>
        <w:spacing w:after="20"/>
      </w:pPr>
      <w:r>
        <w:t>V3.x adds strategic layers without changing the core stack: Next.js App Router, Prisma + SQLite, Server Actions, shared UI styles, and no API layer.</w:t>
      </w:r>
    </w:p>
    <w:p>
      <w:pPr>
        <w:pStyle w:val="ListBullet"/>
        <w:spacing w:after="20"/>
      </w:pPr>
      <w:r>
        <w:t>The guiding separation remains: Master Data ≠ Project Configuration ≠ Transactions ≠ Reporting View.</w:t>
      </w:r>
    </w:p>
    <w:p>
      <w:pPr>
        <w:pStyle w:val="ListBullet"/>
        <w:spacing w:after="20"/>
      </w:pPr>
      <w:r>
        <w:t>V3.x has pivoted from a narrow Customer model to a broader Organization / Commercial / Branding model to reflect consulting reality.</w:t>
      </w:r>
    </w:p>
    <w:tbl>
      <w:tblPr>
        <w:tblStyle w:val="TableGrid"/>
        <w:tblW w:type="auto" w:w="0"/>
        <w:jc w:val="center"/>
        <w:tblLook w:firstColumn="1" w:firstRow="1" w:lastColumn="0" w:lastRow="0" w:noHBand="0" w:noVBand="1" w:val="04A0"/>
      </w:tblPr>
      <w:tblGrid>
        <w:gridCol w:w="3456"/>
        <w:gridCol w:w="3456"/>
        <w:gridCol w:w="3456"/>
      </w:tblGrid>
      <w:tr>
        <w:tc>
          <w:tcPr>
            <w:tcW w:type="dxa" w:w="2304"/>
            <w:shd w:fill="E2E8F0"/>
            <w:vAlign w:val="center"/>
          </w:tcPr>
          <w:p>
            <w:r/>
            <w:r>
              <w:rPr>
                <w:rFonts w:ascii="Arial" w:hAnsi="Arial"/>
                <w:b/>
                <w:color w:val="0F172A"/>
                <w:sz w:val="17"/>
              </w:rPr>
              <w:t>Layer</w:t>
            </w:r>
          </w:p>
        </w:tc>
        <w:tc>
          <w:tcPr>
            <w:tcW w:type="dxa" w:w="3168"/>
            <w:shd w:fill="E2E8F0"/>
            <w:vAlign w:val="center"/>
          </w:tcPr>
          <w:p>
            <w:r/>
            <w:r>
              <w:rPr>
                <w:rFonts w:ascii="Arial" w:hAnsi="Arial"/>
                <w:b/>
                <w:color w:val="0F172A"/>
                <w:sz w:val="17"/>
              </w:rPr>
              <w:t>Current Meaning</w:t>
            </w:r>
          </w:p>
        </w:tc>
        <w:tc>
          <w:tcPr>
            <w:tcW w:type="dxa" w:w="4320"/>
            <w:shd w:fill="E2E8F0"/>
            <w:vAlign w:val="center"/>
          </w:tcPr>
          <w:p>
            <w:r/>
            <w:r>
              <w:rPr>
                <w:rFonts w:ascii="Arial" w:hAnsi="Arial"/>
                <w:b/>
                <w:color w:val="0F172A"/>
                <w:sz w:val="17"/>
              </w:rPr>
              <w:t>Examples</w:t>
            </w:r>
          </w:p>
        </w:tc>
      </w:tr>
      <w:tr>
        <w:tc>
          <w:tcPr>
            <w:tcW w:type="dxa" w:w="2304"/>
            <w:vAlign w:val="center"/>
          </w:tcPr>
          <w:p>
            <w:r/>
            <w:r>
              <w:rPr>
                <w:rFonts w:ascii="Arial" w:hAnsi="Arial"/>
                <w:b w:val="0"/>
                <w:sz w:val="17"/>
              </w:rPr>
              <w:t>Master / Commercial Data</w:t>
            </w:r>
          </w:p>
        </w:tc>
        <w:tc>
          <w:tcPr>
            <w:tcW w:type="dxa" w:w="3168"/>
            <w:vAlign w:val="center"/>
          </w:tcPr>
          <w:p>
            <w:r/>
            <w:r>
              <w:rPr>
                <w:rFonts w:ascii="Arial" w:hAnsi="Arial"/>
                <w:b w:val="0"/>
                <w:sz w:val="17"/>
              </w:rPr>
              <w:t>Reusable entities and context</w:t>
            </w:r>
          </w:p>
        </w:tc>
        <w:tc>
          <w:tcPr>
            <w:tcW w:type="dxa" w:w="4320"/>
            <w:vAlign w:val="center"/>
          </w:tcPr>
          <w:p>
            <w:r/>
            <w:r>
              <w:rPr>
                <w:rFonts w:ascii="Arial" w:hAnsi="Arial"/>
                <w:b w:val="0"/>
                <w:sz w:val="17"/>
              </w:rPr>
              <w:t>Organizations, Organization Contacts, statuses, types, phases, workstreams</w:t>
            </w:r>
          </w:p>
        </w:tc>
      </w:tr>
      <w:tr>
        <w:tc>
          <w:tcPr>
            <w:tcW w:type="dxa" w:w="2304"/>
            <w:vAlign w:val="center"/>
          </w:tcPr>
          <w:p>
            <w:r/>
            <w:r>
              <w:rPr>
                <w:rFonts w:ascii="Arial" w:hAnsi="Arial"/>
                <w:b w:val="0"/>
                <w:sz w:val="17"/>
              </w:rPr>
              <w:t>Project Configuration</w:t>
            </w:r>
          </w:p>
        </w:tc>
        <w:tc>
          <w:tcPr>
            <w:tcW w:type="dxa" w:w="3168"/>
            <w:vAlign w:val="center"/>
          </w:tcPr>
          <w:p>
            <w:r/>
            <w:r>
              <w:rPr>
                <w:rFonts w:ascii="Arial" w:hAnsi="Arial"/>
                <w:b w:val="0"/>
                <w:sz w:val="17"/>
              </w:rPr>
              <w:t>Project-specific planning and governance</w:t>
            </w:r>
          </w:p>
        </w:tc>
        <w:tc>
          <w:tcPr>
            <w:tcW w:type="dxa" w:w="4320"/>
            <w:vAlign w:val="center"/>
          </w:tcPr>
          <w:p>
            <w:r/>
            <w:r>
              <w:rPr>
                <w:rFonts w:ascii="Arial" w:hAnsi="Arial"/>
                <w:b w:val="0"/>
                <w:sz w:val="17"/>
              </w:rPr>
              <w:t>Project, ProjectWorkstream, ProjectEvent, ProjectRisk, ProjectDecision, Reporting Packs</w:t>
            </w:r>
          </w:p>
        </w:tc>
      </w:tr>
      <w:tr>
        <w:tc>
          <w:tcPr>
            <w:tcW w:type="dxa" w:w="2304"/>
            <w:vAlign w:val="center"/>
          </w:tcPr>
          <w:p>
            <w:r/>
            <w:r>
              <w:rPr>
                <w:rFonts w:ascii="Arial" w:hAnsi="Arial"/>
                <w:b w:val="0"/>
                <w:sz w:val="17"/>
              </w:rPr>
              <w:t>Transactions / Governance Events</w:t>
            </w:r>
          </w:p>
        </w:tc>
        <w:tc>
          <w:tcPr>
            <w:tcW w:type="dxa" w:w="3168"/>
            <w:vAlign w:val="center"/>
          </w:tcPr>
          <w:p>
            <w:r/>
            <w:r>
              <w:rPr>
                <w:rFonts w:ascii="Arial" w:hAnsi="Arial"/>
                <w:b w:val="0"/>
                <w:sz w:val="17"/>
              </w:rPr>
              <w:t>Maintained source-of-truth records</w:t>
            </w:r>
          </w:p>
        </w:tc>
        <w:tc>
          <w:tcPr>
            <w:tcW w:type="dxa" w:w="4320"/>
            <w:vAlign w:val="center"/>
          </w:tcPr>
          <w:p>
            <w:r/>
            <w:r>
              <w:rPr>
                <w:rFonts w:ascii="Arial" w:hAnsi="Arial"/>
                <w:b w:val="0"/>
                <w:sz w:val="17"/>
              </w:rPr>
              <w:t>Risks, risk actions, decisions, time entries</w:t>
            </w:r>
          </w:p>
        </w:tc>
      </w:tr>
      <w:tr>
        <w:tc>
          <w:tcPr>
            <w:tcW w:type="dxa" w:w="2304"/>
            <w:vAlign w:val="center"/>
          </w:tcPr>
          <w:p>
            <w:r/>
            <w:r>
              <w:rPr>
                <w:rFonts w:ascii="Arial" w:hAnsi="Arial"/>
                <w:b w:val="0"/>
                <w:sz w:val="17"/>
              </w:rPr>
              <w:t>Reporting View</w:t>
            </w:r>
          </w:p>
        </w:tc>
        <w:tc>
          <w:tcPr>
            <w:tcW w:type="dxa" w:w="3168"/>
            <w:vAlign w:val="center"/>
          </w:tcPr>
          <w:p>
            <w:r/>
            <w:r>
              <w:rPr>
                <w:rFonts w:ascii="Arial" w:hAnsi="Arial"/>
                <w:b w:val="0"/>
                <w:sz w:val="17"/>
              </w:rPr>
              <w:t>Audience-specific interpretation</w:t>
            </w:r>
          </w:p>
        </w:tc>
        <w:tc>
          <w:tcPr>
            <w:tcW w:type="dxa" w:w="4320"/>
            <w:vAlign w:val="center"/>
          </w:tcPr>
          <w:p>
            <w:r/>
            <w:r>
              <w:rPr>
                <w:rFonts w:ascii="Arial" w:hAnsi="Arial"/>
                <w:b w:val="0"/>
                <w:sz w:val="17"/>
              </w:rPr>
              <w:t>Executive report, decision cockpit, risk cockpit, dynamic index</w:t>
            </w:r>
          </w:p>
        </w:tc>
      </w:tr>
      <w:tr>
        <w:tc>
          <w:tcPr>
            <w:tcW w:type="dxa" w:w="2304"/>
            <w:vAlign w:val="center"/>
          </w:tcPr>
          <w:p>
            <w:r/>
            <w:r>
              <w:rPr>
                <w:rFonts w:ascii="Arial" w:hAnsi="Arial"/>
                <w:b w:val="0"/>
                <w:sz w:val="17"/>
              </w:rPr>
              <w:t>Communication / Export</w:t>
            </w:r>
          </w:p>
        </w:tc>
        <w:tc>
          <w:tcPr>
            <w:tcW w:type="dxa" w:w="3168"/>
            <w:vAlign w:val="center"/>
          </w:tcPr>
          <w:p>
            <w:r/>
            <w:r>
              <w:rPr>
                <w:rFonts w:ascii="Arial" w:hAnsi="Arial"/>
                <w:b w:val="0"/>
                <w:sz w:val="17"/>
              </w:rPr>
              <w:t>Future rendering and distribution</w:t>
            </w:r>
          </w:p>
        </w:tc>
        <w:tc>
          <w:tcPr>
            <w:tcW w:type="dxa" w:w="4320"/>
            <w:vAlign w:val="center"/>
          </w:tcPr>
          <w:p>
            <w:r/>
            <w:r>
              <w:rPr>
                <w:rFonts w:ascii="Arial" w:hAnsi="Arial"/>
                <w:b w:val="0"/>
                <w:sz w:val="17"/>
              </w:rPr>
              <w:t>Clickable HTML, PDF, PPTX board pack</w:t>
            </w:r>
          </w:p>
        </w:tc>
      </w:tr>
    </w:tbl>
    <w:p/>
    <w:p>
      <w:pPr>
        <w:pStyle w:val="Heading1"/>
      </w:pPr>
      <w:r>
        <w:t>3. Implemented Since V3.0</w:t>
      </w:r>
    </w:p>
    <w:p>
      <w:pPr>
        <w:pStyle w:val="Heading2"/>
      </w:pPr>
      <w:r>
        <w:t>3.1 Organization, Commercial and Branding Context</w:t>
      </w:r>
    </w:p>
    <w:p>
      <w:pPr>
        <w:pStyle w:val="ListBullet"/>
        <w:spacing w:after="20"/>
      </w:pPr>
      <w:r>
        <w:t>Customer-only model replaced with Organization model to support issuer, client and delivery organizations.</w:t>
      </w:r>
    </w:p>
    <w:p>
      <w:pPr>
        <w:pStyle w:val="ListBullet"/>
        <w:spacing w:after="20"/>
      </w:pPr>
      <w:r>
        <w:t>Project now supports independent issuerOrganizationId, clientOrganizationId and deliveryOrganizationId relationships.</w:t>
      </w:r>
    </w:p>
    <w:p>
      <w:pPr>
        <w:pStyle w:val="ListBullet"/>
        <w:spacing w:after="20"/>
      </w:pPr>
      <w:r>
        <w:t>The same organization can be reused in multiple project roles; this supports internal projects, standard consulting delivery, partner-billed delivery and white-label contexts.</w:t>
      </w:r>
    </w:p>
    <w:p>
      <w:pPr>
        <w:pStyle w:val="ListBullet"/>
        <w:spacing w:after="20"/>
      </w:pPr>
      <w:r>
        <w:t>Organization Contacts implemented as master-data child records, not transactional items.</w:t>
      </w:r>
    </w:p>
    <w:p>
      <w:pPr>
        <w:pStyle w:val="ListBullet"/>
        <w:spacing w:after="20"/>
      </w:pPr>
      <w:r>
        <w:t>Logo URL support and logo preview added in Organizations module.</w:t>
      </w:r>
    </w:p>
    <w:p>
      <w:pPr>
        <w:pStyle w:val="ListBullet"/>
        <w:spacing w:after="20"/>
      </w:pPr>
      <w:r>
        <w:t>Project Header integrated with issuer, client, delivery, sponsor contact and logo visibility flags.</w:t>
      </w:r>
    </w:p>
    <w:tbl>
      <w:tblPr>
        <w:tblStyle w:val="TableGrid"/>
        <w:tblW w:type="auto" w:w="0"/>
        <w:jc w:val="center"/>
        <w:tblLook w:firstColumn="1" w:firstRow="1" w:lastColumn="0" w:lastRow="0" w:noHBand="0" w:noVBand="1" w:val="04A0"/>
      </w:tblPr>
      <w:tblGrid>
        <w:gridCol w:w="3456"/>
        <w:gridCol w:w="3456"/>
        <w:gridCol w:w="3456"/>
      </w:tblGrid>
      <w:tr>
        <w:tc>
          <w:tcPr>
            <w:tcW w:type="dxa" w:w="2448"/>
            <w:shd w:fill="E2E8F0"/>
            <w:vAlign w:val="center"/>
          </w:tcPr>
          <w:p>
            <w:r/>
            <w:r>
              <w:rPr>
                <w:rFonts w:ascii="Arial" w:hAnsi="Arial"/>
                <w:b/>
                <w:color w:val="0F172A"/>
                <w:sz w:val="17"/>
              </w:rPr>
              <w:t>Project Role</w:t>
            </w:r>
          </w:p>
        </w:tc>
        <w:tc>
          <w:tcPr>
            <w:tcW w:type="dxa" w:w="3600"/>
            <w:shd w:fill="E2E8F0"/>
            <w:vAlign w:val="center"/>
          </w:tcPr>
          <w:p>
            <w:r/>
            <w:r>
              <w:rPr>
                <w:rFonts w:ascii="Arial" w:hAnsi="Arial"/>
                <w:b/>
                <w:color w:val="0F172A"/>
                <w:sz w:val="17"/>
              </w:rPr>
              <w:t>Purpose</w:t>
            </w:r>
          </w:p>
        </w:tc>
        <w:tc>
          <w:tcPr>
            <w:tcW w:type="dxa" w:w="4032"/>
            <w:shd w:fill="E2E8F0"/>
            <w:vAlign w:val="center"/>
          </w:tcPr>
          <w:p>
            <w:r/>
            <w:r>
              <w:rPr>
                <w:rFonts w:ascii="Arial" w:hAnsi="Arial"/>
                <w:b/>
                <w:color w:val="0F172A"/>
                <w:sz w:val="17"/>
              </w:rPr>
              <w:t>Example</w:t>
            </w:r>
          </w:p>
        </w:tc>
      </w:tr>
      <w:tr>
        <w:tc>
          <w:tcPr>
            <w:tcW w:type="dxa" w:w="2448"/>
            <w:vAlign w:val="center"/>
          </w:tcPr>
          <w:p>
            <w:r/>
            <w:r>
              <w:rPr>
                <w:rFonts w:ascii="Arial" w:hAnsi="Arial"/>
                <w:b w:val="0"/>
                <w:sz w:val="17"/>
              </w:rPr>
              <w:t>Issuer Organization</w:t>
            </w:r>
          </w:p>
        </w:tc>
        <w:tc>
          <w:tcPr>
            <w:tcW w:type="dxa" w:w="3600"/>
            <w:vAlign w:val="center"/>
          </w:tcPr>
          <w:p>
            <w:r/>
            <w:r>
              <w:rPr>
                <w:rFonts w:ascii="Arial" w:hAnsi="Arial"/>
                <w:b w:val="0"/>
                <w:sz w:val="17"/>
              </w:rPr>
              <w:t>Entity issuing/reporting/billing</w:t>
            </w:r>
          </w:p>
        </w:tc>
        <w:tc>
          <w:tcPr>
            <w:tcW w:type="dxa" w:w="4032"/>
            <w:vAlign w:val="center"/>
          </w:tcPr>
          <w:p>
            <w:r/>
            <w:r>
              <w:rPr>
                <w:rFonts w:ascii="Arial" w:hAnsi="Arial"/>
                <w:b w:val="0"/>
                <w:sz w:val="17"/>
              </w:rPr>
              <w:t>Protervitas Consulting or partner company</w:t>
            </w:r>
          </w:p>
        </w:tc>
      </w:tr>
      <w:tr>
        <w:tc>
          <w:tcPr>
            <w:tcW w:type="dxa" w:w="2448"/>
            <w:vAlign w:val="center"/>
          </w:tcPr>
          <w:p>
            <w:r/>
            <w:r>
              <w:rPr>
                <w:rFonts w:ascii="Arial" w:hAnsi="Arial"/>
                <w:b w:val="0"/>
                <w:sz w:val="17"/>
              </w:rPr>
              <w:t>Client Organization</w:t>
            </w:r>
          </w:p>
        </w:tc>
        <w:tc>
          <w:tcPr>
            <w:tcW w:type="dxa" w:w="3600"/>
            <w:vAlign w:val="center"/>
          </w:tcPr>
          <w:p>
            <w:r/>
            <w:r>
              <w:rPr>
                <w:rFonts w:ascii="Arial" w:hAnsi="Arial"/>
                <w:b w:val="0"/>
                <w:sz w:val="17"/>
              </w:rPr>
              <w:t>End customer / recipient</w:t>
            </w:r>
          </w:p>
        </w:tc>
        <w:tc>
          <w:tcPr>
            <w:tcW w:type="dxa" w:w="4032"/>
            <w:vAlign w:val="center"/>
          </w:tcPr>
          <w:p>
            <w:r/>
            <w:r>
              <w:rPr>
                <w:rFonts w:ascii="Arial" w:hAnsi="Arial"/>
                <w:b w:val="0"/>
                <w:sz w:val="17"/>
              </w:rPr>
              <w:t>Sanofi, Zurich, internal Protervitas project</w:t>
            </w:r>
          </w:p>
        </w:tc>
      </w:tr>
      <w:tr>
        <w:tc>
          <w:tcPr>
            <w:tcW w:type="dxa" w:w="2448"/>
            <w:vAlign w:val="center"/>
          </w:tcPr>
          <w:p>
            <w:r/>
            <w:r>
              <w:rPr>
                <w:rFonts w:ascii="Arial" w:hAnsi="Arial"/>
                <w:b w:val="0"/>
                <w:sz w:val="17"/>
              </w:rPr>
              <w:t>Delivery Organization</w:t>
            </w:r>
          </w:p>
        </w:tc>
        <w:tc>
          <w:tcPr>
            <w:tcW w:type="dxa" w:w="3600"/>
            <w:vAlign w:val="center"/>
          </w:tcPr>
          <w:p>
            <w:r/>
            <w:r>
              <w:rPr>
                <w:rFonts w:ascii="Arial" w:hAnsi="Arial"/>
                <w:b w:val="0"/>
                <w:sz w:val="17"/>
              </w:rPr>
              <w:t>Delivery entity or PM provider</w:t>
            </w:r>
          </w:p>
        </w:tc>
        <w:tc>
          <w:tcPr>
            <w:tcW w:type="dxa" w:w="4032"/>
            <w:vAlign w:val="center"/>
          </w:tcPr>
          <w:p>
            <w:r/>
            <w:r>
              <w:rPr>
                <w:rFonts w:ascii="Arial" w:hAnsi="Arial"/>
                <w:b w:val="0"/>
                <w:sz w:val="17"/>
              </w:rPr>
              <w:t>Protervitas Consulting</w:t>
            </w:r>
          </w:p>
        </w:tc>
      </w:tr>
      <w:tr>
        <w:tc>
          <w:tcPr>
            <w:tcW w:type="dxa" w:w="2448"/>
            <w:vAlign w:val="center"/>
          </w:tcPr>
          <w:p>
            <w:r/>
            <w:r>
              <w:rPr>
                <w:rFonts w:ascii="Arial" w:hAnsi="Arial"/>
                <w:b w:val="0"/>
                <w:sz w:val="17"/>
              </w:rPr>
              <w:t>Sponsor Contact</w:t>
            </w:r>
          </w:p>
        </w:tc>
        <w:tc>
          <w:tcPr>
            <w:tcW w:type="dxa" w:w="3600"/>
            <w:vAlign w:val="center"/>
          </w:tcPr>
          <w:p>
            <w:r/>
            <w:r>
              <w:rPr>
                <w:rFonts w:ascii="Arial" w:hAnsi="Arial"/>
                <w:b w:val="0"/>
                <w:sz w:val="17"/>
              </w:rPr>
              <w:t>Commercial/governance contact from client org</w:t>
            </w:r>
          </w:p>
        </w:tc>
        <w:tc>
          <w:tcPr>
            <w:tcW w:type="dxa" w:w="4032"/>
            <w:vAlign w:val="center"/>
          </w:tcPr>
          <w:p>
            <w:r/>
            <w:r>
              <w:rPr>
                <w:rFonts w:ascii="Arial" w:hAnsi="Arial"/>
                <w:b w:val="0"/>
                <w:sz w:val="17"/>
              </w:rPr>
              <w:t>Client sponsor, steering lead, business owner</w:t>
            </w:r>
          </w:p>
        </w:tc>
      </w:tr>
    </w:tbl>
    <w:p/>
    <w:p>
      <w:pPr>
        <w:pStyle w:val="Heading2"/>
      </w:pPr>
      <w:r>
        <w:t>3.2 Stabilized Editable Form Pattern</w:t>
      </w:r>
    </w:p>
    <w:p>
      <w:pPr>
        <w:pStyle w:val="ListBullet"/>
        <w:spacing w:after="20"/>
      </w:pPr>
      <w:r>
        <w:t>Complex editable client-managed forms now use onSubmit + preventDefault + FormData(event.currentTarget).</w:t>
      </w:r>
    </w:p>
    <w:p>
      <w:pPr>
        <w:pStyle w:val="ListBullet"/>
        <w:spacing w:after="20"/>
      </w:pPr>
      <w:r>
        <w:t>This pattern solved flicker, stale rollback, delayed updates and uncontrolled/controlled input inconsistencies.</w:t>
      </w:r>
    </w:p>
    <w:p>
      <w:pPr>
        <w:pStyle w:val="ListBullet"/>
        <w:spacing w:after="20"/>
      </w:pPr>
      <w:r>
        <w:t>Confirmed stable in Project Header, Organization details, Reporting Pack editor, and Decisions module.</w:t>
      </w:r>
    </w:p>
    <w:p>
      <w:pPr>
        <w:pStyle w:val="ListBullet"/>
        <w:spacing w:after="20"/>
      </w:pPr>
      <w:r>
        <w:t>Server actions used with toast-enabled forms must return controlled ActionResult objects: { ok, message, data? }.</w:t>
      </w:r>
    </w:p>
    <w:tbl>
      <w:tblPr>
        <w:tblStyle w:val="TableGrid"/>
        <w:tblW w:type="auto" w:w="0"/>
        <w:jc w:val="center"/>
        <w:tblLook w:firstColumn="1" w:firstRow="1" w:lastColumn="0" w:lastRow="0" w:noHBand="0" w:noVBand="1" w:val="04A0"/>
      </w:tblPr>
      <w:tblGrid>
        <w:gridCol w:w="5184"/>
        <w:gridCol w:w="5184"/>
      </w:tblGrid>
      <w:tr>
        <w:tc>
          <w:tcPr>
            <w:tcW w:type="dxa" w:w="4608"/>
            <w:shd w:fill="E2E8F0"/>
            <w:vAlign w:val="center"/>
          </w:tcPr>
          <w:p>
            <w:r/>
            <w:r>
              <w:rPr>
                <w:rFonts w:ascii="Arial" w:hAnsi="Arial"/>
                <w:b/>
                <w:color w:val="0F172A"/>
                <w:sz w:val="17"/>
              </w:rPr>
              <w:t>Do</w:t>
            </w:r>
          </w:p>
        </w:tc>
        <w:tc>
          <w:tcPr>
            <w:tcW w:type="dxa" w:w="4608"/>
            <w:shd w:fill="E2E8F0"/>
            <w:vAlign w:val="center"/>
          </w:tcPr>
          <w:p>
            <w:r/>
            <w:r>
              <w:rPr>
                <w:rFonts w:ascii="Arial" w:hAnsi="Arial"/>
                <w:b/>
                <w:color w:val="0F172A"/>
                <w:sz w:val="17"/>
              </w:rPr>
              <w:t>Avoid</w:t>
            </w:r>
          </w:p>
        </w:tc>
      </w:tr>
      <w:tr>
        <w:tc>
          <w:tcPr>
            <w:tcW w:type="dxa" w:w="4608"/>
            <w:vAlign w:val="center"/>
          </w:tcPr>
          <w:p>
            <w:r/>
            <w:r>
              <w:rPr>
                <w:rFonts w:ascii="Arial" w:hAnsi="Arial"/>
                <w:b w:val="0"/>
                <w:sz w:val="17"/>
              </w:rPr>
              <w:t>Use controlled state for complex editable fields</w:t>
            </w:r>
          </w:p>
        </w:tc>
        <w:tc>
          <w:tcPr>
            <w:tcW w:type="dxa" w:w="4608"/>
            <w:vAlign w:val="center"/>
          </w:tcPr>
          <w:p>
            <w:r/>
            <w:r>
              <w:rPr>
                <w:rFonts w:ascii="Arial" w:hAnsi="Arial"/>
                <w:b w:val="0"/>
                <w:sz w:val="17"/>
              </w:rPr>
              <w:t>Mixing value/defaultValue in the same edit area</w:t>
            </w:r>
          </w:p>
        </w:tc>
      </w:tr>
      <w:tr>
        <w:tc>
          <w:tcPr>
            <w:tcW w:type="dxa" w:w="4608"/>
            <w:vAlign w:val="center"/>
          </w:tcPr>
          <w:p>
            <w:r/>
            <w:r>
              <w:rPr>
                <w:rFonts w:ascii="Arial" w:hAnsi="Arial"/>
                <w:b w:val="0"/>
                <w:sz w:val="17"/>
              </w:rPr>
              <w:t>Use onSubmit and preventDefault for client-managed forms</w:t>
            </w:r>
          </w:p>
        </w:tc>
        <w:tc>
          <w:tcPr>
            <w:tcW w:type="dxa" w:w="4608"/>
            <w:vAlign w:val="center"/>
          </w:tcPr>
          <w:p>
            <w:r/>
            <w:r>
              <w:rPr>
                <w:rFonts w:ascii="Arial" w:hAnsi="Arial"/>
                <w:b w:val="0"/>
                <w:sz w:val="17"/>
              </w:rPr>
              <w:t>action={serverAction} for complex stateful editors</w:t>
            </w:r>
          </w:p>
        </w:tc>
      </w:tr>
      <w:tr>
        <w:tc>
          <w:tcPr>
            <w:tcW w:type="dxa" w:w="4608"/>
            <w:vAlign w:val="center"/>
          </w:tcPr>
          <w:p>
            <w:r/>
            <w:r>
              <w:rPr>
                <w:rFonts w:ascii="Arial" w:hAnsi="Arial"/>
                <w:b w:val="0"/>
                <w:sz w:val="17"/>
              </w:rPr>
              <w:t>Return { ok, message } from toast-enabled actions</w:t>
            </w:r>
          </w:p>
        </w:tc>
        <w:tc>
          <w:tcPr>
            <w:tcW w:type="dxa" w:w="4608"/>
            <w:vAlign w:val="center"/>
          </w:tcPr>
          <w:p>
            <w:r/>
            <w:r>
              <w:rPr>
                <w:rFonts w:ascii="Arial" w:hAnsi="Arial"/>
                <w:b w:val="0"/>
                <w:sz w:val="17"/>
              </w:rPr>
              <w:t>Returning undefined from a user-facing action</w:t>
            </w:r>
          </w:p>
        </w:tc>
      </w:tr>
      <w:tr>
        <w:tc>
          <w:tcPr>
            <w:tcW w:type="dxa" w:w="4608"/>
            <w:vAlign w:val="center"/>
          </w:tcPr>
          <w:p>
            <w:r/>
            <w:r>
              <w:rPr>
                <w:rFonts w:ascii="Arial" w:hAnsi="Arial"/>
                <w:b w:val="0"/>
                <w:sz w:val="17"/>
              </w:rPr>
              <w:t>Keep hidden state fields when using table-row save buttons</w:t>
            </w:r>
          </w:p>
        </w:tc>
        <w:tc>
          <w:tcPr>
            <w:tcW w:type="dxa" w:w="4608"/>
            <w:vAlign w:val="center"/>
          </w:tcPr>
          <w:p>
            <w:r/>
            <w:r>
              <w:rPr>
                <w:rFonts w:ascii="Arial" w:hAnsi="Arial"/>
                <w:b w:val="0"/>
                <w:sz w:val="17"/>
              </w:rPr>
              <w:t>Relying on visible controls outside the submitted form without testing</w:t>
            </w:r>
          </w:p>
        </w:tc>
      </w:tr>
    </w:tbl>
    <w:p/>
    <w:p>
      <w:pPr>
        <w:pStyle w:val="Heading2"/>
      </w:pPr>
      <w:r>
        <w:t>3.3 Executive Reporting Workspace and Versioned Reporting Packs</w:t>
      </w:r>
    </w:p>
    <w:p>
      <w:pPr>
        <w:pStyle w:val="ListBullet"/>
        <w:spacing w:after="20"/>
      </w:pPr>
      <w:r>
        <w:t>ProjectReportingPack added as a versioned narrative container for executive report preparation.</w:t>
      </w:r>
    </w:p>
    <w:p>
      <w:pPr>
        <w:pStyle w:val="ListBullet"/>
        <w:spacing w:after="20"/>
      </w:pPr>
      <w:r>
        <w:t>Reporting Packs store narrative only: reportIndex, executive summary, achievements, issues, next steps, management ask and conclusion.</w:t>
      </w:r>
    </w:p>
    <w:p>
      <w:pPr>
        <w:pStyle w:val="ListBullet"/>
        <w:spacing w:after="20"/>
      </w:pPr>
      <w:r>
        <w:t>Transactional data is not copied into packs; risks, milestones, decisions, workstreams and timeline remain live source-of-truth data.</w:t>
      </w:r>
    </w:p>
    <w:p>
      <w:pPr>
        <w:pStyle w:val="ListBullet"/>
        <w:spacing w:after="20"/>
      </w:pPr>
      <w:r>
        <w:t>Create First Pack and Create from Latest workflows implemented.</w:t>
      </w:r>
    </w:p>
    <w:p>
      <w:pPr>
        <w:pStyle w:val="ListBullet"/>
        <w:spacing w:after="20"/>
      </w:pPr>
      <w:r>
        <w:t>Create from Latest copies narrative fields only and opens a new DRAFT version for editing.</w:t>
      </w:r>
    </w:p>
    <w:p>
      <w:pPr>
        <w:pStyle w:val="ListBullet"/>
        <w:spacing w:after="20"/>
      </w:pPr>
      <w:r>
        <w:t>Incremental save now works, allowing the user to draft section by section.</w:t>
      </w:r>
    </w:p>
    <w:tbl>
      <w:tblPr>
        <w:tblStyle w:val="TableGrid"/>
        <w:tblW w:type="auto" w:w="0"/>
        <w:jc w:val="center"/>
        <w:tblLook w:firstColumn="1" w:firstRow="1" w:lastColumn="0" w:lastRow="0" w:noHBand="0" w:noVBand="1" w:val="04A0"/>
      </w:tblPr>
      <w:tblGrid>
        <w:gridCol w:w="5184"/>
        <w:gridCol w:w="5184"/>
      </w:tblGrid>
      <w:tr>
        <w:tc>
          <w:tcPr>
            <w:tcW w:type="dxa" w:w="3312"/>
            <w:shd w:fill="E2E8F0"/>
            <w:vAlign w:val="center"/>
          </w:tcPr>
          <w:p>
            <w:r/>
            <w:r>
              <w:rPr>
                <w:rFonts w:ascii="Arial" w:hAnsi="Arial"/>
                <w:b/>
                <w:color w:val="0F172A"/>
                <w:sz w:val="17"/>
              </w:rPr>
              <w:t>Reporting Pack Field</w:t>
            </w:r>
          </w:p>
        </w:tc>
        <w:tc>
          <w:tcPr>
            <w:tcW w:type="dxa" w:w="6480"/>
            <w:shd w:fill="E2E8F0"/>
            <w:vAlign w:val="center"/>
          </w:tcPr>
          <w:p>
            <w:r/>
            <w:r>
              <w:rPr>
                <w:rFonts w:ascii="Arial" w:hAnsi="Arial"/>
                <w:b/>
                <w:color w:val="0F172A"/>
                <w:sz w:val="17"/>
              </w:rPr>
              <w:t>Purpose</w:t>
            </w:r>
          </w:p>
        </w:tc>
      </w:tr>
      <w:tr>
        <w:tc>
          <w:tcPr>
            <w:tcW w:type="dxa" w:w="3312"/>
            <w:vAlign w:val="center"/>
          </w:tcPr>
          <w:p>
            <w:r/>
            <w:r>
              <w:rPr>
                <w:rFonts w:ascii="Arial" w:hAnsi="Arial"/>
                <w:b w:val="0"/>
                <w:sz w:val="17"/>
              </w:rPr>
              <w:t>Title / Version / Status</w:t>
            </w:r>
          </w:p>
        </w:tc>
        <w:tc>
          <w:tcPr>
            <w:tcW w:type="dxa" w:w="6480"/>
            <w:vAlign w:val="center"/>
          </w:tcPr>
          <w:p>
            <w:r/>
            <w:r>
              <w:rPr>
                <w:rFonts w:ascii="Arial" w:hAnsi="Arial"/>
                <w:b w:val="0"/>
                <w:sz w:val="17"/>
              </w:rPr>
              <w:t>Pack identity and lifecycle</w:t>
            </w:r>
          </w:p>
        </w:tc>
      </w:tr>
      <w:tr>
        <w:tc>
          <w:tcPr>
            <w:tcW w:type="dxa" w:w="3312"/>
            <w:vAlign w:val="center"/>
          </w:tcPr>
          <w:p>
            <w:r/>
            <w:r>
              <w:rPr>
                <w:rFonts w:ascii="Arial" w:hAnsi="Arial"/>
                <w:b w:val="0"/>
                <w:sz w:val="17"/>
              </w:rPr>
              <w:t>Reporting Date / Period</w:t>
            </w:r>
          </w:p>
        </w:tc>
        <w:tc>
          <w:tcPr>
            <w:tcW w:type="dxa" w:w="6480"/>
            <w:vAlign w:val="center"/>
          </w:tcPr>
          <w:p>
            <w:r/>
            <w:r>
              <w:rPr>
                <w:rFonts w:ascii="Arial" w:hAnsi="Arial"/>
                <w:b w:val="0"/>
                <w:sz w:val="17"/>
              </w:rPr>
              <w:t>Reporting cycle context</w:t>
            </w:r>
          </w:p>
        </w:tc>
      </w:tr>
      <w:tr>
        <w:tc>
          <w:tcPr>
            <w:tcW w:type="dxa" w:w="3312"/>
            <w:vAlign w:val="center"/>
          </w:tcPr>
          <w:p>
            <w:r/>
            <w:r>
              <w:rPr>
                <w:rFonts w:ascii="Arial" w:hAnsi="Arial"/>
                <w:b w:val="0"/>
                <w:sz w:val="17"/>
              </w:rPr>
              <w:t>Executive Summary</w:t>
            </w:r>
          </w:p>
        </w:tc>
        <w:tc>
          <w:tcPr>
            <w:tcW w:type="dxa" w:w="6480"/>
            <w:vAlign w:val="center"/>
          </w:tcPr>
          <w:p>
            <w:r/>
            <w:r>
              <w:rPr>
                <w:rFonts w:ascii="Arial" w:hAnsi="Arial"/>
                <w:b w:val="0"/>
                <w:sz w:val="17"/>
              </w:rPr>
              <w:t>Top-level message</w:t>
            </w:r>
          </w:p>
        </w:tc>
      </w:tr>
      <w:tr>
        <w:tc>
          <w:tcPr>
            <w:tcW w:type="dxa" w:w="3312"/>
            <w:vAlign w:val="center"/>
          </w:tcPr>
          <w:p>
            <w:r/>
            <w:r>
              <w:rPr>
                <w:rFonts w:ascii="Arial" w:hAnsi="Arial"/>
                <w:b w:val="0"/>
                <w:sz w:val="17"/>
              </w:rPr>
              <w:t>Achievements</w:t>
            </w:r>
          </w:p>
        </w:tc>
        <w:tc>
          <w:tcPr>
            <w:tcW w:type="dxa" w:w="6480"/>
            <w:vAlign w:val="center"/>
          </w:tcPr>
          <w:p>
            <w:r/>
            <w:r>
              <w:rPr>
                <w:rFonts w:ascii="Arial" w:hAnsi="Arial"/>
                <w:b w:val="0"/>
                <w:sz w:val="17"/>
              </w:rPr>
              <w:t>Bullet narrative of completed progress</w:t>
            </w:r>
          </w:p>
        </w:tc>
      </w:tr>
      <w:tr>
        <w:tc>
          <w:tcPr>
            <w:tcW w:type="dxa" w:w="3312"/>
            <w:vAlign w:val="center"/>
          </w:tcPr>
          <w:p>
            <w:r/>
            <w:r>
              <w:rPr>
                <w:rFonts w:ascii="Arial" w:hAnsi="Arial"/>
                <w:b w:val="0"/>
                <w:sz w:val="17"/>
              </w:rPr>
              <w:t>Issues / Concerns</w:t>
            </w:r>
          </w:p>
        </w:tc>
        <w:tc>
          <w:tcPr>
            <w:tcW w:type="dxa" w:w="6480"/>
            <w:vAlign w:val="center"/>
          </w:tcPr>
          <w:p>
            <w:r/>
            <w:r>
              <w:rPr>
                <w:rFonts w:ascii="Arial" w:hAnsi="Arial"/>
                <w:b w:val="0"/>
                <w:sz w:val="17"/>
              </w:rPr>
              <w:t>Bullet narrative of current constraints</w:t>
            </w:r>
          </w:p>
        </w:tc>
      </w:tr>
      <w:tr>
        <w:tc>
          <w:tcPr>
            <w:tcW w:type="dxa" w:w="3312"/>
            <w:vAlign w:val="center"/>
          </w:tcPr>
          <w:p>
            <w:r/>
            <w:r>
              <w:rPr>
                <w:rFonts w:ascii="Arial" w:hAnsi="Arial"/>
                <w:b w:val="0"/>
                <w:sz w:val="17"/>
              </w:rPr>
              <w:t>Next Steps</w:t>
            </w:r>
          </w:p>
        </w:tc>
        <w:tc>
          <w:tcPr>
            <w:tcW w:type="dxa" w:w="6480"/>
            <w:vAlign w:val="center"/>
          </w:tcPr>
          <w:p>
            <w:r/>
            <w:r>
              <w:rPr>
                <w:rFonts w:ascii="Arial" w:hAnsi="Arial"/>
                <w:b w:val="0"/>
                <w:sz w:val="17"/>
              </w:rPr>
              <w:t>Forward-looking delivery steps</w:t>
            </w:r>
          </w:p>
        </w:tc>
      </w:tr>
      <w:tr>
        <w:tc>
          <w:tcPr>
            <w:tcW w:type="dxa" w:w="3312"/>
            <w:vAlign w:val="center"/>
          </w:tcPr>
          <w:p>
            <w:r/>
            <w:r>
              <w:rPr>
                <w:rFonts w:ascii="Arial" w:hAnsi="Arial"/>
                <w:b w:val="0"/>
                <w:sz w:val="17"/>
              </w:rPr>
              <w:t>Management Ask</w:t>
            </w:r>
          </w:p>
        </w:tc>
        <w:tc>
          <w:tcPr>
            <w:tcW w:type="dxa" w:w="6480"/>
            <w:vAlign w:val="center"/>
          </w:tcPr>
          <w:p>
            <w:r/>
            <w:r>
              <w:rPr>
                <w:rFonts w:ascii="Arial" w:hAnsi="Arial"/>
                <w:b w:val="0"/>
                <w:sz w:val="17"/>
              </w:rPr>
              <w:t>Decisions/support requested from governance audience</w:t>
            </w:r>
          </w:p>
        </w:tc>
      </w:tr>
      <w:tr>
        <w:tc>
          <w:tcPr>
            <w:tcW w:type="dxa" w:w="3312"/>
            <w:vAlign w:val="center"/>
          </w:tcPr>
          <w:p>
            <w:r/>
            <w:r>
              <w:rPr>
                <w:rFonts w:ascii="Arial" w:hAnsi="Arial"/>
                <w:b w:val="0"/>
                <w:sz w:val="17"/>
              </w:rPr>
              <w:t>Conclusion</w:t>
            </w:r>
          </w:p>
        </w:tc>
        <w:tc>
          <w:tcPr>
            <w:tcW w:type="dxa" w:w="6480"/>
            <w:vAlign w:val="center"/>
          </w:tcPr>
          <w:p>
            <w:r/>
            <w:r>
              <w:rPr>
                <w:rFonts w:ascii="Arial" w:hAnsi="Arial"/>
                <w:b w:val="0"/>
                <w:sz w:val="17"/>
              </w:rPr>
              <w:t>Final executive takeaway or confidence statement</w:t>
            </w:r>
          </w:p>
        </w:tc>
      </w:tr>
    </w:tbl>
    <w:p/>
    <w:p>
      <w:pPr>
        <w:pStyle w:val="Heading2"/>
      </w:pPr>
      <w:r>
        <w:t>3.4 Executive Report Integration</w:t>
      </w:r>
    </w:p>
    <w:p>
      <w:pPr>
        <w:pStyle w:val="ListBullet"/>
        <w:spacing w:after="20"/>
      </w:pPr>
      <w:r>
        <w:t>Executive report now supports project selection and reporting pack selection.</w:t>
      </w:r>
    </w:p>
    <w:p>
      <w:pPr>
        <w:pStyle w:val="ListBullet"/>
        <w:spacing w:after="20"/>
      </w:pPr>
      <w:r>
        <w:t>Next.js 16 searchParams handling corrected by awaiting searchParams in server component page.</w:t>
      </w:r>
    </w:p>
    <w:p>
      <w:pPr>
        <w:pStyle w:val="ListBullet"/>
        <w:spacing w:after="20"/>
      </w:pPr>
      <w:r>
        <w:t>Executive report renders selected reporting pack narrative plus live transactional/project data.</w:t>
      </w:r>
    </w:p>
    <w:p>
      <w:pPr>
        <w:pStyle w:val="ListBullet"/>
        <w:spacing w:after="20"/>
      </w:pPr>
      <w:r>
        <w:t>Narrative sections are now part of the report flow: index, executive summary, achievements, issues, next steps, management ask and conclusion.</w:t>
      </w:r>
    </w:p>
    <w:p>
      <w:pPr>
        <w:pStyle w:val="ListBullet"/>
        <w:spacing w:after="20"/>
      </w:pPr>
      <w:r>
        <w:t>Recent layout bug fixed by ensuring narrative blocks render outside cockpit grid sections.</w:t>
      </w:r>
    </w:p>
    <w:p>
      <w:pPr>
        <w:pStyle w:val="Heading2"/>
      </w:pPr>
      <w:r>
        <w:t>3.5 Decision Register and Executive Decision Reporting</w:t>
      </w:r>
    </w:p>
    <w:p>
      <w:pPr>
        <w:pStyle w:val="ListBullet"/>
        <w:spacing w:after="20"/>
      </w:pPr>
      <w:r>
        <w:t>ProjectDecision model implemented and linked to Project and optional ProjectWorkstream.</w:t>
      </w:r>
    </w:p>
    <w:p>
      <w:pPr>
        <w:pStyle w:val="ListBullet"/>
        <w:spacing w:after="20"/>
      </w:pPr>
      <w:r>
        <w:t>Separate /decisions module created with filters, cockpit, create/edit/archive and detail panel.</w:t>
      </w:r>
    </w:p>
    <w:p>
      <w:pPr>
        <w:pStyle w:val="ListBullet"/>
        <w:spacing w:after="20"/>
      </w:pPr>
      <w:r>
        <w:t>Decision lifecycle implemented: OPEN, PROPOSED, APPROVED, REJECTED, DEFERRED, CLOSED.</w:t>
      </w:r>
    </w:p>
    <w:p>
      <w:pPr>
        <w:pStyle w:val="ListBullet"/>
        <w:spacing w:after="20"/>
      </w:pPr>
      <w:r>
        <w:t>Decision cockpit corrected to count governance-active decisions only: OPEN, PROPOSED and DEFERRED.</w:t>
      </w:r>
    </w:p>
    <w:p>
      <w:pPr>
        <w:pStyle w:val="ListBullet"/>
        <w:spacing w:after="20"/>
      </w:pPr>
      <w:r>
        <w:t>Executive report now includes Decision Cockpit, Executive Decision Attention and Recent Decision Outcomes.</w:t>
      </w:r>
    </w:p>
    <w:p>
      <w:pPr>
        <w:pStyle w:val="ListBullet"/>
        <w:spacing w:after="20"/>
      </w:pPr>
      <w:r>
        <w:t>Impact visual chip added for executive scanability; status remains plain text to avoid visual noise.</w:t>
      </w:r>
    </w:p>
    <w:p>
      <w:pPr>
        <w:pStyle w:val="ListBullet"/>
        <w:spacing w:after="20"/>
      </w:pPr>
      <w:r>
        <w:t>Recent Decision Outcomes uses decisionDate with updatedAt fallback and shows explicit empty-state messaging if no outcomes exist.</w:t>
      </w:r>
    </w:p>
    <w:tbl>
      <w:tblPr>
        <w:tblStyle w:val="TableGrid"/>
        <w:tblW w:type="auto" w:w="0"/>
        <w:jc w:val="center"/>
        <w:tblLook w:firstColumn="1" w:firstRow="1" w:lastColumn="0" w:lastRow="0" w:noHBand="0" w:noVBand="1" w:val="04A0"/>
      </w:tblPr>
      <w:tblGrid>
        <w:gridCol w:w="3456"/>
        <w:gridCol w:w="3456"/>
        <w:gridCol w:w="3456"/>
      </w:tblGrid>
      <w:tr>
        <w:tc>
          <w:tcPr>
            <w:tcW w:type="dxa" w:w="2880"/>
            <w:shd w:fill="E2E8F0"/>
            <w:vAlign w:val="center"/>
          </w:tcPr>
          <w:p>
            <w:r/>
            <w:r>
              <w:rPr>
                <w:rFonts w:ascii="Arial" w:hAnsi="Arial"/>
                <w:b/>
                <w:color w:val="0F172A"/>
                <w:sz w:val="17"/>
              </w:rPr>
              <w:t>Decision Report Section</w:t>
            </w:r>
          </w:p>
        </w:tc>
        <w:tc>
          <w:tcPr>
            <w:tcW w:type="dxa" w:w="4320"/>
            <w:shd w:fill="E2E8F0"/>
            <w:vAlign w:val="center"/>
          </w:tcPr>
          <w:p>
            <w:r/>
            <w:r>
              <w:rPr>
                <w:rFonts w:ascii="Arial" w:hAnsi="Arial"/>
                <w:b/>
                <w:color w:val="0F172A"/>
                <w:sz w:val="17"/>
              </w:rPr>
              <w:t>Meaning</w:t>
            </w:r>
          </w:p>
        </w:tc>
        <w:tc>
          <w:tcPr>
            <w:tcW w:type="dxa" w:w="3168"/>
            <w:shd w:fill="E2E8F0"/>
            <w:vAlign w:val="center"/>
          </w:tcPr>
          <w:p>
            <w:r/>
            <w:r>
              <w:rPr>
                <w:rFonts w:ascii="Arial" w:hAnsi="Arial"/>
                <w:b/>
                <w:color w:val="0F172A"/>
                <w:sz w:val="17"/>
              </w:rPr>
              <w:t>Included Statuses</w:t>
            </w:r>
          </w:p>
        </w:tc>
      </w:tr>
      <w:tr>
        <w:tc>
          <w:tcPr>
            <w:tcW w:type="dxa" w:w="2880"/>
            <w:vAlign w:val="center"/>
          </w:tcPr>
          <w:p>
            <w:r/>
            <w:r>
              <w:rPr>
                <w:rFonts w:ascii="Arial" w:hAnsi="Arial"/>
                <w:b w:val="0"/>
                <w:sz w:val="17"/>
              </w:rPr>
              <w:t>Decision Cockpit</w:t>
            </w:r>
          </w:p>
        </w:tc>
        <w:tc>
          <w:tcPr>
            <w:tcW w:type="dxa" w:w="4320"/>
            <w:vAlign w:val="center"/>
          </w:tcPr>
          <w:p>
            <w:r/>
            <w:r>
              <w:rPr>
                <w:rFonts w:ascii="Arial" w:hAnsi="Arial"/>
                <w:b w:val="0"/>
                <w:sz w:val="17"/>
              </w:rPr>
              <w:t>Governance activity pulse</w:t>
            </w:r>
          </w:p>
        </w:tc>
        <w:tc>
          <w:tcPr>
            <w:tcW w:type="dxa" w:w="3168"/>
            <w:vAlign w:val="center"/>
          </w:tcPr>
          <w:p>
            <w:r/>
            <w:r>
              <w:rPr>
                <w:rFonts w:ascii="Arial" w:hAnsi="Arial"/>
                <w:b w:val="0"/>
                <w:sz w:val="17"/>
              </w:rPr>
              <w:t>All active executive/BOTH decisions</w:t>
            </w:r>
          </w:p>
        </w:tc>
      </w:tr>
      <w:tr>
        <w:tc>
          <w:tcPr>
            <w:tcW w:type="dxa" w:w="2880"/>
            <w:vAlign w:val="center"/>
          </w:tcPr>
          <w:p>
            <w:r/>
            <w:r>
              <w:rPr>
                <w:rFonts w:ascii="Arial" w:hAnsi="Arial"/>
                <w:b w:val="0"/>
                <w:sz w:val="17"/>
              </w:rPr>
              <w:t>Executive Decision Attention</w:t>
            </w:r>
          </w:p>
        </w:tc>
        <w:tc>
          <w:tcPr>
            <w:tcW w:type="dxa" w:w="4320"/>
            <w:vAlign w:val="center"/>
          </w:tcPr>
          <w:p>
            <w:r/>
            <w:r>
              <w:rPr>
                <w:rFonts w:ascii="Arial" w:hAnsi="Arial"/>
                <w:b w:val="0"/>
                <w:sz w:val="17"/>
              </w:rPr>
              <w:t>Items requiring executive action</w:t>
            </w:r>
          </w:p>
        </w:tc>
        <w:tc>
          <w:tcPr>
            <w:tcW w:type="dxa" w:w="3168"/>
            <w:vAlign w:val="center"/>
          </w:tcPr>
          <w:p>
            <w:r/>
            <w:r>
              <w:rPr>
                <w:rFonts w:ascii="Arial" w:hAnsi="Arial"/>
                <w:b w:val="0"/>
                <w:sz w:val="17"/>
              </w:rPr>
              <w:t>OPEN, PROPOSED, DEFERRED</w:t>
            </w:r>
          </w:p>
        </w:tc>
      </w:tr>
      <w:tr>
        <w:tc>
          <w:tcPr>
            <w:tcW w:type="dxa" w:w="2880"/>
            <w:vAlign w:val="center"/>
          </w:tcPr>
          <w:p>
            <w:r/>
            <w:r>
              <w:rPr>
                <w:rFonts w:ascii="Arial" w:hAnsi="Arial"/>
                <w:b w:val="0"/>
                <w:sz w:val="17"/>
              </w:rPr>
              <w:t>Recent Decision Outcomes</w:t>
            </w:r>
          </w:p>
        </w:tc>
        <w:tc>
          <w:tcPr>
            <w:tcW w:type="dxa" w:w="4320"/>
            <w:vAlign w:val="center"/>
          </w:tcPr>
          <w:p>
            <w:r/>
            <w:r>
              <w:rPr>
                <w:rFonts w:ascii="Arial" w:hAnsi="Arial"/>
                <w:b w:val="0"/>
                <w:sz w:val="17"/>
              </w:rPr>
              <w:t>What was approved/rejected/closed recently</w:t>
            </w:r>
          </w:p>
        </w:tc>
        <w:tc>
          <w:tcPr>
            <w:tcW w:type="dxa" w:w="3168"/>
            <w:vAlign w:val="center"/>
          </w:tcPr>
          <w:p>
            <w:r/>
            <w:r>
              <w:rPr>
                <w:rFonts w:ascii="Arial" w:hAnsi="Arial"/>
                <w:b w:val="0"/>
                <w:sz w:val="17"/>
              </w:rPr>
              <w:t>APPROVED, REJECTED, CLOSED within last 30 days</w:t>
            </w:r>
          </w:p>
        </w:tc>
      </w:tr>
    </w:tbl>
    <w:p/>
    <w:p>
      <w:pPr>
        <w:pStyle w:val="Heading1"/>
      </w:pPr>
      <w:r>
        <w:t>4. Current Executive Report Flow</w:t>
      </w:r>
    </w:p>
    <w:p>
      <w:pPr>
        <w:pStyle w:val="ListBullet"/>
        <w:spacing w:after="20"/>
      </w:pPr>
      <w:r>
        <w:t>Executive Cover / Project Identity</w:t>
      </w:r>
    </w:p>
    <w:p>
      <w:pPr>
        <w:pStyle w:val="ListBullet"/>
        <w:spacing w:after="20"/>
      </w:pPr>
      <w:r>
        <w:t>Dynamic Index (partially implemented; clickable next)</w:t>
      </w:r>
    </w:p>
    <w:p>
      <w:pPr>
        <w:pStyle w:val="ListBullet"/>
        <w:spacing w:after="20"/>
      </w:pPr>
      <w:r>
        <w:t>Executive Summary</w:t>
      </w:r>
    </w:p>
    <w:p>
      <w:pPr>
        <w:pStyle w:val="ListBullet"/>
        <w:spacing w:after="20"/>
      </w:pPr>
      <w:r>
        <w:t>Achievements</w:t>
      </w:r>
    </w:p>
    <w:p>
      <w:pPr>
        <w:pStyle w:val="ListBullet"/>
        <w:spacing w:after="20"/>
      </w:pPr>
      <w:r>
        <w:t>Issues / Concerns</w:t>
      </w:r>
    </w:p>
    <w:p>
      <w:pPr>
        <w:pStyle w:val="ListBullet"/>
        <w:spacing w:after="20"/>
      </w:pPr>
      <w:r>
        <w:t>Decision Cockpit</w:t>
      </w:r>
    </w:p>
    <w:p>
      <w:pPr>
        <w:pStyle w:val="ListBullet"/>
        <w:spacing w:after="20"/>
      </w:pPr>
      <w:r>
        <w:t>Executive Decision Attention</w:t>
      </w:r>
    </w:p>
    <w:p>
      <w:pPr>
        <w:pStyle w:val="ListBullet"/>
        <w:spacing w:after="20"/>
      </w:pPr>
      <w:r>
        <w:t>Recent Decision Outcomes</w:t>
      </w:r>
    </w:p>
    <w:p>
      <w:pPr>
        <w:pStyle w:val="ListBullet"/>
        <w:spacing w:after="20"/>
      </w:pPr>
      <w:r>
        <w:t>Risk Cockpit</w:t>
      </w:r>
    </w:p>
    <w:p>
      <w:pPr>
        <w:pStyle w:val="ListBullet"/>
        <w:spacing w:after="20"/>
      </w:pPr>
      <w:r>
        <w:t>Risk Attention</w:t>
      </w:r>
    </w:p>
    <w:p>
      <w:pPr>
        <w:pStyle w:val="ListBullet"/>
        <w:spacing w:after="20"/>
      </w:pPr>
      <w:r>
        <w:t>Milestones / Events</w:t>
      </w:r>
    </w:p>
    <w:p>
      <w:pPr>
        <w:pStyle w:val="ListBullet"/>
        <w:spacing w:after="20"/>
      </w:pPr>
      <w:r>
        <w:t>Timeline / Gantt</w:t>
      </w:r>
    </w:p>
    <w:p>
      <w:pPr>
        <w:pStyle w:val="ListBullet"/>
        <w:spacing w:after="20"/>
      </w:pPr>
      <w:r>
        <w:t>Workstream Status / Operational Intelligence</w:t>
      </w:r>
    </w:p>
    <w:p>
      <w:pPr>
        <w:pStyle w:val="ListBullet"/>
        <w:spacing w:after="20"/>
      </w:pPr>
      <w:r>
        <w:t>Next Steps</w:t>
      </w:r>
    </w:p>
    <w:p>
      <w:pPr>
        <w:pStyle w:val="ListBullet"/>
        <w:spacing w:after="20"/>
      </w:pPr>
      <w:r>
        <w:t>Management Ask</w:t>
      </w:r>
    </w:p>
    <w:p>
      <w:pPr>
        <w:pStyle w:val="ListBullet"/>
        <w:spacing w:after="20"/>
      </w:pPr>
      <w:r>
        <w:t>Conclusion</w:t>
      </w:r>
    </w:p>
    <w:p>
      <w:pPr>
        <w:pStyle w:val="Heading1"/>
      </w:pPr>
      <w:r>
        <w:t>5. Dynamic Index Architecture Decision</w:t>
      </w:r>
    </w:p>
    <w:p>
      <w:r>
        <w:t>The index should be generated from report section metadata rather than maintained as free text or scraped from rendered headers. This preserves consistency and creates a future foundation for clickable navigation, PDF table of contents, section-level exports and template visibility controls.</w:t>
      </w:r>
    </w:p>
    <w:p>
      <w:pPr>
        <w:pStyle w:val="ListBullet"/>
        <w:spacing w:after="20"/>
      </w:pPr>
      <w:r>
        <w:t>Create a reportSections metadata array inside ExecutiveReportDashboard after data preparation and before return().</w:t>
      </w:r>
    </w:p>
    <w:p>
      <w:pPr>
        <w:pStyle w:val="ListBullet"/>
        <w:spacing w:after="20"/>
      </w:pPr>
      <w:r>
        <w:t>Each section has id, title and visible properties.</w:t>
      </w:r>
    </w:p>
    <w:p>
      <w:pPr>
        <w:pStyle w:val="ListBullet"/>
        <w:spacing w:after="20"/>
      </w:pPr>
      <w:r>
        <w:t>The Index renders from reportSections.</w:t>
      </w:r>
    </w:p>
    <w:p>
      <w:pPr>
        <w:pStyle w:val="ListBullet"/>
        <w:spacing w:after="20"/>
      </w:pPr>
      <w:r>
        <w:t>Each report section should use the same id as its HTML anchor.</w:t>
      </w:r>
    </w:p>
    <w:p>
      <w:pPr>
        <w:pStyle w:val="ListBullet"/>
        <w:spacing w:after="20"/>
      </w:pPr>
      <w:r>
        <w:t>Next immediate enhancement: make the index clickable using &lt;a href="#section-id"&gt;Title&lt;/a&gt;.</w:t>
      </w:r>
    </w:p>
    <w:tbl>
      <w:tblPr>
        <w:tblStyle w:val="TableGrid"/>
        <w:tblW w:type="auto" w:w="0"/>
        <w:jc w:val="center"/>
        <w:tblLook w:firstColumn="1" w:firstRow="1" w:lastColumn="0" w:lastRow="0" w:noHBand="0" w:noVBand="1" w:val="04A0"/>
      </w:tblPr>
      <w:tblGrid>
        <w:gridCol w:w="5184"/>
        <w:gridCol w:w="5184"/>
      </w:tblGrid>
      <w:tr>
        <w:tc>
          <w:tcPr>
            <w:tcW w:type="dxa" w:w="2160"/>
            <w:shd w:fill="E2E8F0"/>
            <w:vAlign w:val="center"/>
          </w:tcPr>
          <w:p>
            <w:r/>
            <w:r>
              <w:rPr>
                <w:rFonts w:ascii="Arial" w:hAnsi="Arial"/>
                <w:b/>
                <w:color w:val="0F172A"/>
                <w:sz w:val="17"/>
              </w:rPr>
              <w:t>Metadata Field</w:t>
            </w:r>
          </w:p>
        </w:tc>
        <w:tc>
          <w:tcPr>
            <w:tcW w:type="dxa" w:w="7200"/>
            <w:shd w:fill="E2E8F0"/>
            <w:vAlign w:val="center"/>
          </w:tcPr>
          <w:p>
            <w:r/>
            <w:r>
              <w:rPr>
                <w:rFonts w:ascii="Arial" w:hAnsi="Arial"/>
                <w:b/>
                <w:color w:val="0F172A"/>
                <w:sz w:val="17"/>
              </w:rPr>
              <w:t>Purpose</w:t>
            </w:r>
          </w:p>
        </w:tc>
      </w:tr>
      <w:tr>
        <w:tc>
          <w:tcPr>
            <w:tcW w:type="dxa" w:w="2160"/>
            <w:vAlign w:val="center"/>
          </w:tcPr>
          <w:p>
            <w:r/>
            <w:r>
              <w:rPr>
                <w:rFonts w:ascii="Arial" w:hAnsi="Arial"/>
                <w:b w:val="0"/>
                <w:sz w:val="17"/>
              </w:rPr>
              <w:t>id</w:t>
            </w:r>
          </w:p>
        </w:tc>
        <w:tc>
          <w:tcPr>
            <w:tcW w:type="dxa" w:w="7200"/>
            <w:vAlign w:val="center"/>
          </w:tcPr>
          <w:p>
            <w:r/>
            <w:r>
              <w:rPr>
                <w:rFonts w:ascii="Arial" w:hAnsi="Arial"/>
                <w:b w:val="0"/>
                <w:sz w:val="17"/>
              </w:rPr>
              <w:t>Stable anchor and export reference</w:t>
            </w:r>
          </w:p>
        </w:tc>
      </w:tr>
      <w:tr>
        <w:tc>
          <w:tcPr>
            <w:tcW w:type="dxa" w:w="2160"/>
            <w:vAlign w:val="center"/>
          </w:tcPr>
          <w:p>
            <w:r/>
            <w:r>
              <w:rPr>
                <w:rFonts w:ascii="Arial" w:hAnsi="Arial"/>
                <w:b w:val="0"/>
                <w:sz w:val="17"/>
              </w:rPr>
              <w:t>title</w:t>
            </w:r>
          </w:p>
        </w:tc>
        <w:tc>
          <w:tcPr>
            <w:tcW w:type="dxa" w:w="7200"/>
            <w:vAlign w:val="center"/>
          </w:tcPr>
          <w:p>
            <w:r/>
            <w:r>
              <w:rPr>
                <w:rFonts w:ascii="Arial" w:hAnsi="Arial"/>
                <w:b w:val="0"/>
                <w:sz w:val="17"/>
              </w:rPr>
              <w:t>Human-readable index and section title</w:t>
            </w:r>
          </w:p>
        </w:tc>
      </w:tr>
      <w:tr>
        <w:tc>
          <w:tcPr>
            <w:tcW w:type="dxa" w:w="2160"/>
            <w:vAlign w:val="center"/>
          </w:tcPr>
          <w:p>
            <w:r/>
            <w:r>
              <w:rPr>
                <w:rFonts w:ascii="Arial" w:hAnsi="Arial"/>
                <w:b w:val="0"/>
                <w:sz w:val="17"/>
              </w:rPr>
              <w:t>visible</w:t>
            </w:r>
          </w:p>
        </w:tc>
        <w:tc>
          <w:tcPr>
            <w:tcW w:type="dxa" w:w="7200"/>
            <w:vAlign w:val="center"/>
          </w:tcPr>
          <w:p>
            <w:r/>
            <w:r>
              <w:rPr>
                <w:rFonts w:ascii="Arial" w:hAnsi="Arial"/>
                <w:b w:val="0"/>
                <w:sz w:val="17"/>
              </w:rPr>
              <w:t>Whether section appears in this report based on data/context</w:t>
            </w:r>
          </w:p>
        </w:tc>
      </w:tr>
    </w:tbl>
    <w:p/>
    <w:p>
      <w:pPr>
        <w:pStyle w:val="Heading1"/>
      </w:pPr>
      <w:r>
        <w:t>6. Known Implementation Conventions and Lessons Learned</w:t>
      </w:r>
    </w:p>
    <w:p>
      <w:pPr>
        <w:pStyle w:val="ListBullet"/>
        <w:spacing w:after="20"/>
      </w:pPr>
      <w:r>
        <w:t>Use exact Prisma relation names returned by includes: project.projectWorkstreams, project.events, project.projectRisks and project.projectDecisions.</w:t>
      </w:r>
    </w:p>
    <w:p>
      <w:pPr>
        <w:pStyle w:val="ListBullet"/>
        <w:spacing w:after="20"/>
      </w:pPr>
      <w:r>
        <w:t>JavaScript variable names are case-sensitive: projectEvents and projectWorkstreams must match exactly.</w:t>
      </w:r>
    </w:p>
    <w:p>
      <w:pPr>
        <w:pStyle w:val="ListBullet"/>
        <w:spacing w:after="20"/>
      </w:pPr>
      <w:r>
        <w:t>Declare shared date constants such as today once before decision and risk calculations that use them.</w:t>
      </w:r>
    </w:p>
    <w:p>
      <w:pPr>
        <w:pStyle w:val="ListBullet"/>
        <w:spacing w:after="20"/>
      </w:pPr>
      <w:r>
        <w:t>Local helper functions can have their own scoped today variable without conflict.</w:t>
      </w:r>
    </w:p>
    <w:p>
      <w:pPr>
        <w:pStyle w:val="ListBullet"/>
        <w:spacing w:after="20"/>
      </w:pPr>
      <w:r>
        <w:t>Avoid placing new sections inside KPI grid containers; report sections should wrap cockpit sections, not become grid cells.</w:t>
      </w:r>
    </w:p>
    <w:p>
      <w:pPr>
        <w:pStyle w:val="ListBullet"/>
        <w:spacing w:after="20"/>
      </w:pPr>
      <w:r>
        <w:t>For server component pages, do not pass onChange handlers. Use GET forms and Load buttons or isolate interactivity into client components.</w:t>
      </w:r>
    </w:p>
    <w:p>
      <w:pPr>
        <w:pStyle w:val="ListBullet"/>
        <w:spacing w:after="20"/>
      </w:pPr>
      <w:r>
        <w:t>For Next.js 16 page searchParams, use Promise typing and await searchParams before accessing projectId/reportingPackId.</w:t>
      </w:r>
    </w:p>
    <w:p>
      <w:pPr>
        <w:pStyle w:val="Heading1"/>
      </w:pPr>
      <w:r>
        <w:t>7. Recommended Next Development Sequence</w:t>
      </w:r>
    </w:p>
    <w:tbl>
      <w:tblPr>
        <w:tblStyle w:val="TableGrid"/>
        <w:tblW w:type="auto" w:w="0"/>
        <w:jc w:val="center"/>
        <w:tblLook w:firstColumn="1" w:firstRow="1" w:lastColumn="0" w:lastRow="0" w:noHBand="0" w:noVBand="1" w:val="04A0"/>
      </w:tblPr>
      <w:tblGrid>
        <w:gridCol w:w="3456"/>
        <w:gridCol w:w="3456"/>
        <w:gridCol w:w="3456"/>
      </w:tblGrid>
      <w:tr>
        <w:tc>
          <w:tcPr>
            <w:tcW w:type="dxa" w:w="1152"/>
            <w:shd w:fill="E2E8F0"/>
            <w:vAlign w:val="center"/>
          </w:tcPr>
          <w:p>
            <w:r/>
            <w:r>
              <w:rPr>
                <w:rFonts w:ascii="Arial" w:hAnsi="Arial"/>
                <w:b/>
                <w:color w:val="0F172A"/>
                <w:sz w:val="17"/>
              </w:rPr>
              <w:t>Priority</w:t>
            </w:r>
          </w:p>
        </w:tc>
        <w:tc>
          <w:tcPr>
            <w:tcW w:type="dxa" w:w="3168"/>
            <w:shd w:fill="E2E8F0"/>
            <w:vAlign w:val="center"/>
          </w:tcPr>
          <w:p>
            <w:r/>
            <w:r>
              <w:rPr>
                <w:rFonts w:ascii="Arial" w:hAnsi="Arial"/>
                <w:b/>
                <w:color w:val="0F172A"/>
                <w:sz w:val="17"/>
              </w:rPr>
              <w:t>Step</w:t>
            </w:r>
          </w:p>
        </w:tc>
        <w:tc>
          <w:tcPr>
            <w:tcW w:type="dxa" w:w="6048"/>
            <w:shd w:fill="E2E8F0"/>
            <w:vAlign w:val="center"/>
          </w:tcPr>
          <w:p>
            <w:r/>
            <w:r>
              <w:rPr>
                <w:rFonts w:ascii="Arial" w:hAnsi="Arial"/>
                <w:b/>
                <w:color w:val="0F172A"/>
                <w:sz w:val="17"/>
              </w:rPr>
              <w:t>Outcome</w:t>
            </w:r>
          </w:p>
        </w:tc>
      </w:tr>
      <w:tr>
        <w:tc>
          <w:tcPr>
            <w:tcW w:type="dxa" w:w="1152"/>
            <w:vAlign w:val="center"/>
          </w:tcPr>
          <w:p>
            <w:r/>
            <w:r>
              <w:rPr>
                <w:rFonts w:ascii="Arial" w:hAnsi="Arial"/>
                <w:b w:val="0"/>
                <w:sz w:val="17"/>
              </w:rPr>
              <w:t>1</w:t>
            </w:r>
          </w:p>
        </w:tc>
        <w:tc>
          <w:tcPr>
            <w:tcW w:type="dxa" w:w="3168"/>
            <w:vAlign w:val="center"/>
          </w:tcPr>
          <w:p>
            <w:r/>
            <w:r>
              <w:rPr>
                <w:rFonts w:ascii="Arial" w:hAnsi="Arial"/>
                <w:b w:val="0"/>
                <w:sz w:val="17"/>
              </w:rPr>
              <w:t>Clickable Dynamic Index</w:t>
            </w:r>
          </w:p>
        </w:tc>
        <w:tc>
          <w:tcPr>
            <w:tcW w:type="dxa" w:w="6048"/>
            <w:vAlign w:val="center"/>
          </w:tcPr>
          <w:p>
            <w:r/>
            <w:r>
              <w:rPr>
                <w:rFonts w:ascii="Arial" w:hAnsi="Arial"/>
                <w:b w:val="0"/>
                <w:sz w:val="17"/>
              </w:rPr>
              <w:t>Index links jump to report sections using metadata IDs.</w:t>
            </w:r>
          </w:p>
        </w:tc>
      </w:tr>
      <w:tr>
        <w:tc>
          <w:tcPr>
            <w:tcW w:type="dxa" w:w="1152"/>
            <w:vAlign w:val="center"/>
          </w:tcPr>
          <w:p>
            <w:r/>
            <w:r>
              <w:rPr>
                <w:rFonts w:ascii="Arial" w:hAnsi="Arial"/>
                <w:b w:val="0"/>
                <w:sz w:val="17"/>
              </w:rPr>
              <w:t>2</w:t>
            </w:r>
          </w:p>
        </w:tc>
        <w:tc>
          <w:tcPr>
            <w:tcW w:type="dxa" w:w="3168"/>
            <w:vAlign w:val="center"/>
          </w:tcPr>
          <w:p>
            <w:r/>
            <w:r>
              <w:rPr>
                <w:rFonts w:ascii="Arial" w:hAnsi="Arial"/>
                <w:b w:val="0"/>
                <w:sz w:val="17"/>
              </w:rPr>
              <w:t>Executive Branding Header</w:t>
            </w:r>
          </w:p>
        </w:tc>
        <w:tc>
          <w:tcPr>
            <w:tcW w:type="dxa" w:w="6048"/>
            <w:vAlign w:val="center"/>
          </w:tcPr>
          <w:p>
            <w:r/>
            <w:r>
              <w:rPr>
                <w:rFonts w:ascii="Arial" w:hAnsi="Arial"/>
                <w:b w:val="0"/>
                <w:sz w:val="17"/>
              </w:rPr>
              <w:t>Issuer/client/delivery logos, report title, customer context and prepared-by footer.</w:t>
            </w:r>
          </w:p>
        </w:tc>
      </w:tr>
      <w:tr>
        <w:tc>
          <w:tcPr>
            <w:tcW w:type="dxa" w:w="1152"/>
            <w:vAlign w:val="center"/>
          </w:tcPr>
          <w:p>
            <w:r/>
            <w:r>
              <w:rPr>
                <w:rFonts w:ascii="Arial" w:hAnsi="Arial"/>
                <w:b w:val="0"/>
                <w:sz w:val="17"/>
              </w:rPr>
              <w:t>3</w:t>
            </w:r>
          </w:p>
        </w:tc>
        <w:tc>
          <w:tcPr>
            <w:tcW w:type="dxa" w:w="3168"/>
            <w:vAlign w:val="center"/>
          </w:tcPr>
          <w:p>
            <w:r/>
            <w:r>
              <w:rPr>
                <w:rFonts w:ascii="Arial" w:hAnsi="Arial"/>
                <w:b w:val="0"/>
                <w:sz w:val="17"/>
              </w:rPr>
              <w:t>Decision Movement V2</w:t>
            </w:r>
          </w:p>
        </w:tc>
        <w:tc>
          <w:tcPr>
            <w:tcW w:type="dxa" w:w="6048"/>
            <w:vAlign w:val="center"/>
          </w:tcPr>
          <w:p>
            <w:r/>
            <w:r>
              <w:rPr>
                <w:rFonts w:ascii="Arial" w:hAnsi="Arial"/>
                <w:b w:val="0"/>
                <w:sz w:val="17"/>
              </w:rPr>
              <w:t>Compare current pack against previous reporting pack to show movement since last cycle.</w:t>
            </w:r>
          </w:p>
        </w:tc>
      </w:tr>
      <w:tr>
        <w:tc>
          <w:tcPr>
            <w:tcW w:type="dxa" w:w="1152"/>
            <w:vAlign w:val="center"/>
          </w:tcPr>
          <w:p>
            <w:r/>
            <w:r>
              <w:rPr>
                <w:rFonts w:ascii="Arial" w:hAnsi="Arial"/>
                <w:b w:val="0"/>
                <w:sz w:val="17"/>
              </w:rPr>
              <w:t>4</w:t>
            </w:r>
          </w:p>
        </w:tc>
        <w:tc>
          <w:tcPr>
            <w:tcW w:type="dxa" w:w="3168"/>
            <w:vAlign w:val="center"/>
          </w:tcPr>
          <w:p>
            <w:r/>
            <w:r>
              <w:rPr>
                <w:rFonts w:ascii="Arial" w:hAnsi="Arial"/>
                <w:b w:val="0"/>
                <w:sz w:val="17"/>
              </w:rPr>
              <w:t>Report Presentation Polish</w:t>
            </w:r>
          </w:p>
        </w:tc>
        <w:tc>
          <w:tcPr>
            <w:tcW w:type="dxa" w:w="6048"/>
            <w:vAlign w:val="center"/>
          </w:tcPr>
          <w:p>
            <w:r/>
            <w:r>
              <w:rPr>
                <w:rFonts w:ascii="Arial" w:hAnsi="Arial"/>
                <w:b w:val="0"/>
                <w:sz w:val="17"/>
              </w:rPr>
              <w:t>Board-ready spacing, section separators, print-friendly styling.</w:t>
            </w:r>
          </w:p>
        </w:tc>
      </w:tr>
      <w:tr>
        <w:tc>
          <w:tcPr>
            <w:tcW w:type="dxa" w:w="1152"/>
            <w:vAlign w:val="center"/>
          </w:tcPr>
          <w:p>
            <w:r/>
            <w:r>
              <w:rPr>
                <w:rFonts w:ascii="Arial" w:hAnsi="Arial"/>
                <w:b w:val="0"/>
                <w:sz w:val="17"/>
              </w:rPr>
              <w:t>5</w:t>
            </w:r>
          </w:p>
        </w:tc>
        <w:tc>
          <w:tcPr>
            <w:tcW w:type="dxa" w:w="3168"/>
            <w:vAlign w:val="center"/>
          </w:tcPr>
          <w:p>
            <w:r/>
            <w:r>
              <w:rPr>
                <w:rFonts w:ascii="Arial" w:hAnsi="Arial"/>
                <w:b w:val="0"/>
                <w:sz w:val="17"/>
              </w:rPr>
              <w:t>Export-ready HTML / Print Layout</w:t>
            </w:r>
          </w:p>
        </w:tc>
        <w:tc>
          <w:tcPr>
            <w:tcW w:type="dxa" w:w="6048"/>
            <w:vAlign w:val="center"/>
          </w:tcPr>
          <w:p>
            <w:r/>
            <w:r>
              <w:rPr>
                <w:rFonts w:ascii="Arial" w:hAnsi="Arial"/>
                <w:b w:val="0"/>
                <w:sz w:val="17"/>
              </w:rPr>
              <w:t>Validated browser print and page-break behavior.</w:t>
            </w:r>
          </w:p>
        </w:tc>
      </w:tr>
      <w:tr>
        <w:tc>
          <w:tcPr>
            <w:tcW w:type="dxa" w:w="1152"/>
            <w:vAlign w:val="center"/>
          </w:tcPr>
          <w:p>
            <w:r/>
            <w:r>
              <w:rPr>
                <w:rFonts w:ascii="Arial" w:hAnsi="Arial"/>
                <w:b w:val="0"/>
                <w:sz w:val="17"/>
              </w:rPr>
              <w:t>6</w:t>
            </w:r>
          </w:p>
        </w:tc>
        <w:tc>
          <w:tcPr>
            <w:tcW w:type="dxa" w:w="3168"/>
            <w:vAlign w:val="center"/>
          </w:tcPr>
          <w:p>
            <w:r/>
            <w:r>
              <w:rPr>
                <w:rFonts w:ascii="Arial" w:hAnsi="Arial"/>
                <w:b w:val="0"/>
                <w:sz w:val="17"/>
              </w:rPr>
              <w:t>PDF Export</w:t>
            </w:r>
          </w:p>
        </w:tc>
        <w:tc>
          <w:tcPr>
            <w:tcW w:type="dxa" w:w="6048"/>
            <w:vAlign w:val="center"/>
          </w:tcPr>
          <w:p>
            <w:r/>
            <w:r>
              <w:rPr>
                <w:rFonts w:ascii="Arial" w:hAnsi="Arial"/>
                <w:b w:val="0"/>
                <w:sz w:val="17"/>
              </w:rPr>
              <w:t>Stable distributable executive report.</w:t>
            </w:r>
          </w:p>
        </w:tc>
      </w:tr>
      <w:tr>
        <w:tc>
          <w:tcPr>
            <w:tcW w:type="dxa" w:w="1152"/>
            <w:vAlign w:val="center"/>
          </w:tcPr>
          <w:p>
            <w:r/>
            <w:r>
              <w:rPr>
                <w:rFonts w:ascii="Arial" w:hAnsi="Arial"/>
                <w:b w:val="0"/>
                <w:sz w:val="17"/>
              </w:rPr>
              <w:t>7</w:t>
            </w:r>
          </w:p>
        </w:tc>
        <w:tc>
          <w:tcPr>
            <w:tcW w:type="dxa" w:w="3168"/>
            <w:vAlign w:val="center"/>
          </w:tcPr>
          <w:p>
            <w:r/>
            <w:r>
              <w:rPr>
                <w:rFonts w:ascii="Arial" w:hAnsi="Arial"/>
                <w:b w:val="0"/>
                <w:sz w:val="17"/>
              </w:rPr>
              <w:t>PPTX Board Pack</w:t>
            </w:r>
          </w:p>
        </w:tc>
        <w:tc>
          <w:tcPr>
            <w:tcW w:type="dxa" w:w="6048"/>
            <w:vAlign w:val="center"/>
          </w:tcPr>
          <w:p>
            <w:r/>
            <w:r>
              <w:rPr>
                <w:rFonts w:ascii="Arial" w:hAnsi="Arial"/>
                <w:b w:val="0"/>
                <w:sz w:val="17"/>
              </w:rPr>
              <w:t>Generate slide deck only after HTML/PDF report structure is stable.</w:t>
            </w:r>
          </w:p>
        </w:tc>
      </w:tr>
      <w:tr>
        <w:tc>
          <w:tcPr>
            <w:tcW w:type="dxa" w:w="1152"/>
            <w:vAlign w:val="center"/>
          </w:tcPr>
          <w:p>
            <w:r/>
            <w:r>
              <w:rPr>
                <w:rFonts w:ascii="Arial" w:hAnsi="Arial"/>
                <w:b w:val="0"/>
                <w:sz w:val="17"/>
              </w:rPr>
              <w:t>8</w:t>
            </w:r>
          </w:p>
        </w:tc>
        <w:tc>
          <w:tcPr>
            <w:tcW w:type="dxa" w:w="3168"/>
            <w:vAlign w:val="center"/>
          </w:tcPr>
          <w:p>
            <w:r/>
            <w:r>
              <w:rPr>
                <w:rFonts w:ascii="Arial" w:hAnsi="Arial"/>
                <w:b w:val="0"/>
                <w:sz w:val="17"/>
              </w:rPr>
              <w:t>Portfolio Executive Reporting</w:t>
            </w:r>
          </w:p>
        </w:tc>
        <w:tc>
          <w:tcPr>
            <w:tcW w:type="dxa" w:w="6048"/>
            <w:vAlign w:val="center"/>
          </w:tcPr>
          <w:p>
            <w:r/>
            <w:r>
              <w:rPr>
                <w:rFonts w:ascii="Arial" w:hAnsi="Arial"/>
                <w:b w:val="0"/>
                <w:sz w:val="17"/>
              </w:rPr>
              <w:t>Cross-project KPIs, red projects, overdue governance items and milestone radar.</w:t>
            </w:r>
          </w:p>
        </w:tc>
      </w:tr>
    </w:tbl>
    <w:p/>
    <w:p>
      <w:pPr>
        <w:pStyle w:val="Heading1"/>
      </w:pPr>
      <w:r>
        <w:t>8. Decision Register Reporting Roadmap</w:t>
      </w:r>
    </w:p>
    <w:p>
      <w:pPr>
        <w:pStyle w:val="ListBullet"/>
        <w:spacing w:after="20"/>
      </w:pPr>
      <w:r>
        <w:t>V1 complete: Decision Cockpit, Executive Decision Attention, Recent Decision Outcomes.</w:t>
      </w:r>
    </w:p>
    <w:p>
      <w:pPr>
        <w:pStyle w:val="ListBullet"/>
        <w:spacing w:after="20"/>
      </w:pPr>
      <w:r>
        <w:t>V2 should introduce reporting-period movement: new decisions, status changes, decisions approved/rejected/closed since previous reporting pack.</w:t>
      </w:r>
    </w:p>
    <w:p>
      <w:pPr>
        <w:pStyle w:val="ListBullet"/>
        <w:spacing w:after="20"/>
      </w:pPr>
      <w:r>
        <w:t>V2 should compare selected reporting pack date with previous reporting pack date when available.</w:t>
      </w:r>
    </w:p>
    <w:p>
      <w:pPr>
        <w:pStyle w:val="ListBullet"/>
        <w:spacing w:after="20"/>
      </w:pPr>
      <w:r>
        <w:t>If no previous pack exists, fallback to last 30 days.</w:t>
      </w:r>
    </w:p>
    <w:p>
      <w:pPr>
        <w:pStyle w:val="ListBullet"/>
        <w:spacing w:after="20"/>
      </w:pPr>
      <w:r>
        <w:t>Do not copy decisions into reporting packs; continue reading from ProjectDecision as the source of truth.</w:t>
      </w:r>
    </w:p>
    <w:p>
      <w:pPr>
        <w:pStyle w:val="Heading1"/>
      </w:pPr>
      <w:r>
        <w:t>9. Guardrails</w:t>
      </w:r>
    </w:p>
    <w:p>
      <w:pPr>
        <w:pStyle w:val="ListBullet"/>
        <w:spacing w:after="20"/>
      </w:pPr>
      <w:r>
        <w:t>Do not duplicate transactional data into reporting packs.</w:t>
      </w:r>
    </w:p>
    <w:p>
      <w:pPr>
        <w:pStyle w:val="ListBullet"/>
        <w:spacing w:after="20"/>
      </w:pPr>
      <w:r>
        <w:t>Do not convert Organization into a CRM; keep it as lightweight commercial/branding master data.</w:t>
      </w:r>
    </w:p>
    <w:p>
      <w:pPr>
        <w:pStyle w:val="ListBullet"/>
        <w:spacing w:after="20"/>
      </w:pPr>
      <w:r>
        <w:t>Do not build PPTX before report layout and HTML/PDF readiness are stable.</w:t>
      </w:r>
    </w:p>
    <w:p>
      <w:pPr>
        <w:pStyle w:val="ListBullet"/>
        <w:spacing w:after="20"/>
      </w:pPr>
      <w:r>
        <w:t>Do not reopen V2.6 risk debugging unless a new defect appears.</w:t>
      </w:r>
    </w:p>
    <w:p>
      <w:pPr>
        <w:pStyle w:val="ListBullet"/>
        <w:spacing w:after="20"/>
      </w:pPr>
      <w:r>
        <w:t>Do not turn the product into MS Project, Jira, Primavera, or an arbitrary task engine.</w:t>
      </w:r>
    </w:p>
    <w:p>
      <w:pPr>
        <w:pStyle w:val="ListBullet"/>
        <w:spacing w:after="20"/>
      </w:pPr>
      <w:r>
        <w:t>Keep decisions focused on governance approvals and steering asks, not as a generic action tracker.</w:t>
      </w:r>
    </w:p>
    <w:p>
      <w:pPr>
        <w:pStyle w:val="ListBullet"/>
        <w:spacing w:after="20"/>
      </w:pPr>
      <w:r>
        <w:t>Keep reports generated from facts + narrative + decision/risk interpretation, not manual duplicated report content.</w:t>
      </w:r>
    </w:p>
    <w:p>
      <w:pPr>
        <w:pStyle w:val="Heading1"/>
      </w:pPr>
      <w:r>
        <w:t>10. Restart Prompt</w:t>
      </w:r>
    </w:p>
    <w:p>
      <w:r>
        <w:rPr>
          <w:b/>
        </w:rPr>
        <w:t xml:space="preserve">Continue Project Operations System from Architecture V3.1 Checkpoint. </w:t>
      </w:r>
      <w:r>
        <w:t>V2.6 remains frozen production baseline. V3.x has implemented Organization/Commercial/Branding Context, Project Header integration, versioned Reporting Packs, Executive Reporting Workspace, Decision Register, and Decision Reporting integration. Current next step: implement clickable dynamic index in ExecutiveReportDashboard using reportSections metadata, then proceed to Executive Branding Header and report presentation polish. Preserve Next.js App Router, Prisma + SQLite, Server Actions, shared UI styles, controlled ActionResult pattern, and the architectural separation Master Data ≠ Project Configuration ≠ Transactions ≠ Reporting View.</w:t>
      </w:r>
    </w:p>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Project Operations System — Architecture V3.1 Checkpoint — May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F172A"/>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E293B"/>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334155"/>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0F172A"/>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