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4E79"/>
          <w:sz w:val="44"/>
        </w:rPr>
        <w:t>Project Ops System</w:t>
      </w:r>
    </w:p>
    <w:p>
      <w:pPr>
        <w:spacing w:after="80"/>
        <w:jc w:val="center"/>
      </w:pPr>
      <w:r>
        <w:rPr>
          <w:rFonts w:ascii="Calibri" w:hAnsi="Calibri"/>
          <w:b/>
          <w:color w:val="0B2545"/>
          <w:sz w:val="32"/>
        </w:rPr>
        <w:t>Codex Architecture Stabilization Audit</w:t>
      </w:r>
    </w:p>
    <w:p>
      <w:pPr>
        <w:jc w:val="center"/>
      </w:pPr>
      <w:r>
        <w:rPr>
          <w:rFonts w:ascii="Calibri" w:hAnsi="Calibri"/>
          <w:sz w:val="20"/>
        </w:rPr>
        <w:t>Version 1.0 | 1 June 2026 | Post bridge-field cleanup baseline</w:t>
      </w:r>
    </w:p>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268"/>
            <w:shd w:fill="1F4E79"/>
            <w:vAlign w:val="center"/>
          </w:tcPr>
          <w:p>
            <w:pPr>
              <w:spacing w:after="0"/>
            </w:pPr>
            <w:r/>
            <w:r>
              <w:rPr>
                <w:rFonts w:ascii="Calibri" w:hAnsi="Calibri"/>
                <w:b/>
                <w:color w:val="FFFFFF"/>
                <w:sz w:val="19"/>
              </w:rPr>
              <w:t>Field</w:t>
            </w:r>
          </w:p>
        </w:tc>
        <w:tc>
          <w:tcPr>
            <w:tcW w:type="dxa" w:w="7087"/>
            <w:shd w:fill="1F4E79"/>
            <w:vAlign w:val="center"/>
          </w:tcPr>
          <w:p>
            <w:pPr>
              <w:spacing w:after="0"/>
            </w:pPr>
            <w:r/>
            <w:r>
              <w:rPr>
                <w:rFonts w:ascii="Calibri" w:hAnsi="Calibri"/>
                <w:b/>
                <w:color w:val="FFFFFF"/>
                <w:sz w:val="19"/>
              </w:rPr>
              <w:t>Value</w:t>
            </w:r>
          </w:p>
        </w:tc>
      </w:tr>
      <w:tr>
        <w:tc>
          <w:tcPr>
            <w:tcW w:type="dxa" w:w="2268"/>
            <w:shd w:fill="FFFFFF"/>
            <w:vAlign w:val="top"/>
          </w:tcPr>
          <w:p>
            <w:pPr>
              <w:spacing w:after="0"/>
            </w:pPr>
            <w:r/>
            <w:r>
              <w:rPr>
                <w:rFonts w:ascii="Calibri" w:hAnsi="Calibri"/>
                <w:b w:val="0"/>
                <w:sz w:val="19"/>
              </w:rPr>
              <w:t>System</w:t>
            </w:r>
          </w:p>
        </w:tc>
        <w:tc>
          <w:tcPr>
            <w:tcW w:type="dxa" w:w="7087"/>
            <w:shd w:fill="FFFFFF"/>
            <w:vAlign w:val="top"/>
          </w:tcPr>
          <w:p>
            <w:pPr>
              <w:spacing w:after="0"/>
            </w:pPr>
            <w:r/>
            <w:r>
              <w:rPr>
                <w:rFonts w:ascii="Calibri" w:hAnsi="Calibri"/>
                <w:b w:val="0"/>
                <w:sz w:val="19"/>
              </w:rPr>
              <w:t>Project Operations System</w:t>
            </w:r>
          </w:p>
        </w:tc>
      </w:tr>
      <w:tr>
        <w:tc>
          <w:tcPr>
            <w:tcW w:type="dxa" w:w="2268"/>
            <w:shd w:fill="F3F6F9"/>
            <w:vAlign w:val="top"/>
          </w:tcPr>
          <w:p>
            <w:pPr>
              <w:spacing w:after="0"/>
            </w:pPr>
            <w:r/>
            <w:r>
              <w:rPr>
                <w:rFonts w:ascii="Calibri" w:hAnsi="Calibri"/>
                <w:b w:val="0"/>
                <w:sz w:val="19"/>
              </w:rPr>
              <w:t>Audit date</w:t>
            </w:r>
          </w:p>
        </w:tc>
        <w:tc>
          <w:tcPr>
            <w:tcW w:type="dxa" w:w="7087"/>
            <w:shd w:fill="F3F6F9"/>
            <w:vAlign w:val="top"/>
          </w:tcPr>
          <w:p>
            <w:pPr>
              <w:spacing w:after="0"/>
            </w:pPr>
            <w:r/>
            <w:r>
              <w:rPr>
                <w:rFonts w:ascii="Calibri" w:hAnsi="Calibri"/>
                <w:b w:val="0"/>
                <w:sz w:val="19"/>
              </w:rPr>
              <w:t>1 June 2026</w:t>
            </w:r>
          </w:p>
        </w:tc>
      </w:tr>
      <w:tr>
        <w:tc>
          <w:tcPr>
            <w:tcW w:type="dxa" w:w="2268"/>
            <w:shd w:fill="FFFFFF"/>
            <w:vAlign w:val="top"/>
          </w:tcPr>
          <w:p>
            <w:pPr>
              <w:spacing w:after="0"/>
            </w:pPr>
            <w:r/>
            <w:r>
              <w:rPr>
                <w:rFonts w:ascii="Calibri" w:hAnsi="Calibri"/>
                <w:b w:val="0"/>
                <w:sz w:val="19"/>
              </w:rPr>
              <w:t>Audit scope</w:t>
            </w:r>
          </w:p>
        </w:tc>
        <w:tc>
          <w:tcPr>
            <w:tcW w:type="dxa" w:w="7087"/>
            <w:shd w:fill="FFFFFF"/>
            <w:vAlign w:val="top"/>
          </w:tcPr>
          <w:p>
            <w:pPr>
              <w:spacing w:after="0"/>
            </w:pPr>
            <w:r/>
            <w:r>
              <w:rPr>
                <w:rFonts w:ascii="Calibri" w:hAnsi="Calibri"/>
                <w:b w:val="0"/>
                <w:sz w:val="19"/>
              </w:rPr>
              <w:t>Architecture, schema, code standardization, reporting outputs, security readiness, and translation readiness</w:t>
            </w:r>
          </w:p>
        </w:tc>
      </w:tr>
      <w:tr>
        <w:tc>
          <w:tcPr>
            <w:tcW w:type="dxa" w:w="2268"/>
            <w:shd w:fill="F3F6F9"/>
            <w:vAlign w:val="top"/>
          </w:tcPr>
          <w:p>
            <w:pPr>
              <w:spacing w:after="0"/>
            </w:pPr>
            <w:r/>
            <w:r>
              <w:rPr>
                <w:rFonts w:ascii="Calibri" w:hAnsi="Calibri"/>
                <w:b w:val="0"/>
                <w:sz w:val="19"/>
              </w:rPr>
              <w:t>Current baseline</w:t>
            </w:r>
          </w:p>
        </w:tc>
        <w:tc>
          <w:tcPr>
            <w:tcW w:type="dxa" w:w="7087"/>
            <w:shd w:fill="F3F6F9"/>
            <w:vAlign w:val="top"/>
          </w:tcPr>
          <w:p>
            <w:pPr>
              <w:spacing w:after="0"/>
            </w:pPr>
            <w:r/>
            <w:r>
              <w:rPr>
                <w:rFonts w:ascii="Calibri" w:hAnsi="Calibri"/>
                <w:b w:val="0"/>
                <w:sz w:val="19"/>
              </w:rPr>
              <w:t>Working Next.js application with Prisma SQLite database, reusable UI primitives, standardized reporting, and bridge fields removed</w:t>
            </w:r>
          </w:p>
        </w:tc>
      </w:tr>
      <w:tr>
        <w:tc>
          <w:tcPr>
            <w:tcW w:type="dxa" w:w="2268"/>
            <w:shd w:fill="FFFFFF"/>
            <w:vAlign w:val="top"/>
          </w:tcPr>
          <w:p>
            <w:pPr>
              <w:spacing w:after="0"/>
            </w:pPr>
            <w:r/>
            <w:r>
              <w:rPr>
                <w:rFonts w:ascii="Calibri" w:hAnsi="Calibri"/>
                <w:b w:val="0"/>
                <w:sz w:val="19"/>
              </w:rPr>
              <w:t>Most recent backup used before bridge cleanup</w:t>
            </w:r>
          </w:p>
        </w:tc>
        <w:tc>
          <w:tcPr>
            <w:tcW w:type="dxa" w:w="7087"/>
            <w:shd w:fill="FFFFFF"/>
            <w:vAlign w:val="top"/>
          </w:tcPr>
          <w:p>
            <w:pPr>
              <w:spacing w:after="0"/>
            </w:pPr>
            <w:r/>
            <w:r>
              <w:rPr>
                <w:rFonts w:ascii="Calibri" w:hAnsi="Calibri"/>
                <w:b w:val="0"/>
                <w:sz w:val="19"/>
              </w:rPr>
              <w:t>C:\Users\maris\Documents\Project Management system 2\backups\bridge_cleanup_20260601_163318</w:t>
            </w:r>
          </w:p>
        </w:tc>
      </w:tr>
    </w:tbl>
    <w:p/>
    <w:p>
      <w:pPr>
        <w:pStyle w:val="Heading1"/>
      </w:pPr>
      <w:r>
        <w:rPr>
          <w:rFonts w:ascii="Calibri" w:hAnsi="Calibri"/>
          <w:color w:val="1F4E79"/>
        </w:rPr>
        <w:t>Executive Summary</w:t>
      </w:r>
    </w:p>
    <w:p>
      <w:r>
        <w:t>The system has reached a materially stronger architecture baseline. The main migration bridges have been removed, the report package is functioning as a single point of truth for executive reporting, and the most important reusable UI and domain patterns are now in place. The application is not yet production-hardened for security, segmentation, translation, automated regression testing, or operational audit logging, but it is now in a good state to add those capabilities progressively.</w:t>
      </w:r>
    </w:p>
    <w:p>
      <w:pPr>
        <w:pStyle w:val="ListBullet"/>
        <w:spacing w:after="80"/>
      </w:pPr>
      <w:r>
        <w:t>Architecture state: stable development baseline with clean build, clean full lint, valid Prisma schema, and database migrations up to date.</w:t>
      </w:r>
    </w:p>
    <w:p>
      <w:pPr>
        <w:pStyle w:val="ListBullet"/>
        <w:spacing w:after="80"/>
      </w:pPr>
      <w:r>
        <w:t>Data state: no active ProjectStatus or RiskStatus bridge tables remain; required project, decision, risk, and risk action status links are populated.</w:t>
      </w:r>
    </w:p>
    <w:p>
      <w:pPr>
        <w:pStyle w:val="ListBullet"/>
        <w:spacing w:after="80"/>
      </w:pPr>
      <w:r>
        <w:t>UI state: shared primitives exist for section headers, add buttons, tables, form fields, nested panels, action groups, and cockpit metrics.</w:t>
      </w:r>
    </w:p>
    <w:p>
      <w:pPr>
        <w:pStyle w:val="ListBullet"/>
        <w:spacing w:after="80"/>
      </w:pPr>
      <w:r>
        <w:t>Reporting state: executive report screen, PDF, PPT, and Gantt now share a structured reporting model and Gantt output contract.</w:t>
      </w:r>
    </w:p>
    <w:p>
      <w:pPr>
        <w:pStyle w:val="ListBullet"/>
        <w:spacing w:after="80"/>
      </w:pPr>
      <w:r>
        <w:t>Main residual risk: production hardening should not start until role-based security, audit logging, automated tests, and translation catalogs are designed.</w:t>
      </w:r>
    </w:p>
    <w:tbl>
      <w:tblPr>
        <w:tblStyle w:val="TableGrid"/>
        <w:tblW w:type="auto" w:w="0"/>
        <w:jc w:val="center"/>
        <w:tblLook w:firstColumn="1" w:firstRow="1" w:lastColumn="0" w:lastRow="0" w:noHBand="0" w:noVBand="1" w:val="04A0"/>
      </w:tblPr>
      <w:tblGrid>
        <w:gridCol w:w="9972"/>
      </w:tblGrid>
      <w:tr>
        <w:tc>
          <w:tcPr>
            <w:tcW w:type="dxa" w:w="9972"/>
            <w:shd w:fill="D9F5E3"/>
          </w:tcPr>
          <w:p>
            <w:pPr>
              <w:spacing w:after="60"/>
            </w:pPr>
            <w:r>
              <w:rPr>
                <w:rFonts w:ascii="Calibri" w:hAnsi="Calibri"/>
                <w:b/>
                <w:color w:val="0B2545"/>
                <w:sz w:val="21"/>
              </w:rPr>
              <w:t>Audit conclusion</w:t>
            </w:r>
          </w:p>
          <w:p>
            <w:pPr>
              <w:spacing w:after="0"/>
            </w:pPr>
            <w:r>
              <w:rPr>
                <w:rFonts w:ascii="Calibri" w:hAnsi="Calibri"/>
                <w:sz w:val="19"/>
              </w:rPr>
              <w:t>The codebase is now rational enough to continue building safely. The next architectural phase should focus on hardening foundations, not further broad visual refactoring.</w:t>
            </w:r>
          </w:p>
        </w:tc>
      </w:tr>
    </w:tbl>
    <w:p/>
    <w:p>
      <w:pPr>
        <w:pStyle w:val="Heading1"/>
      </w:pPr>
      <w:r>
        <w:rPr>
          <w:rFonts w:ascii="Calibri" w:hAnsi="Calibri"/>
          <w:color w:val="1F4E79"/>
        </w:rPr>
        <w:t>What Has Been Done Since Starting In Codex</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154"/>
            <w:shd w:fill="1F4E79"/>
            <w:vAlign w:val="center"/>
          </w:tcPr>
          <w:p>
            <w:pPr>
              <w:spacing w:after="0"/>
            </w:pPr>
            <w:r/>
            <w:r>
              <w:rPr>
                <w:rFonts w:ascii="Calibri" w:hAnsi="Calibri"/>
                <w:b/>
                <w:color w:val="FFFFFF"/>
                <w:sz w:val="19"/>
              </w:rPr>
              <w:t>Area</w:t>
            </w:r>
          </w:p>
        </w:tc>
        <w:tc>
          <w:tcPr>
            <w:tcW w:type="dxa" w:w="4649"/>
            <w:shd w:fill="1F4E79"/>
            <w:vAlign w:val="center"/>
          </w:tcPr>
          <w:p>
            <w:pPr>
              <w:spacing w:after="0"/>
            </w:pPr>
            <w:r/>
            <w:r>
              <w:rPr>
                <w:rFonts w:ascii="Calibri" w:hAnsi="Calibri"/>
                <w:b/>
                <w:color w:val="FFFFFF"/>
                <w:sz w:val="19"/>
              </w:rPr>
              <w:t>Outcome</w:t>
            </w:r>
          </w:p>
        </w:tc>
        <w:tc>
          <w:tcPr>
            <w:tcW w:type="dxa" w:w="2551"/>
            <w:shd w:fill="1F4E79"/>
            <w:vAlign w:val="center"/>
          </w:tcPr>
          <w:p>
            <w:pPr>
              <w:spacing w:after="0"/>
            </w:pPr>
            <w:r/>
            <w:r>
              <w:rPr>
                <w:rFonts w:ascii="Calibri" w:hAnsi="Calibri"/>
                <w:b/>
                <w:color w:val="FFFFFF"/>
                <w:sz w:val="19"/>
              </w:rPr>
              <w:t>Current status</w:t>
            </w:r>
          </w:p>
        </w:tc>
      </w:tr>
      <w:tr>
        <w:tc>
          <w:tcPr>
            <w:tcW w:type="dxa" w:w="2154"/>
            <w:shd w:fill="FFFFFF"/>
            <w:vAlign w:val="top"/>
          </w:tcPr>
          <w:p>
            <w:pPr>
              <w:spacing w:after="0"/>
            </w:pPr>
            <w:r/>
            <w:r>
              <w:rPr>
                <w:rFonts w:ascii="Calibri" w:hAnsi="Calibri"/>
                <w:b w:val="0"/>
                <w:sz w:val="19"/>
              </w:rPr>
              <w:t>Business code automation</w:t>
            </w:r>
          </w:p>
        </w:tc>
        <w:tc>
          <w:tcPr>
            <w:tcW w:type="dxa" w:w="4649"/>
            <w:shd w:fill="FFFFFF"/>
            <w:vAlign w:val="top"/>
          </w:tcPr>
          <w:p>
            <w:pPr>
              <w:spacing w:after="0"/>
            </w:pPr>
            <w:r/>
            <w:r>
              <w:rPr>
                <w:rFonts w:ascii="Calibri" w:hAnsi="Calibri"/>
                <w:b w:val="0"/>
                <w:sz w:val="19"/>
              </w:rPr>
              <w:t>Automated project, risk, decision, and risk action business code generation. Added configuration tools to review next codes and purge generated test records.</w:t>
            </w:r>
          </w:p>
        </w:tc>
        <w:tc>
          <w:tcPr>
            <w:tcW w:type="dxa" w:w="2551"/>
            <w:shd w:fill="FFFFFF"/>
            <w:vAlign w:val="top"/>
          </w:tcPr>
          <w:p>
            <w:pPr>
              <w:spacing w:after="0"/>
            </w:pPr>
            <w:r/>
            <w:r>
              <w:rPr>
                <w:rFonts w:ascii="Calibri" w:hAnsi="Calibri"/>
                <w:b w:val="0"/>
                <w:sz w:val="19"/>
              </w:rPr>
              <w:t>Working; configuration-level security needed later.</w:t>
            </w:r>
          </w:p>
        </w:tc>
      </w:tr>
      <w:tr>
        <w:tc>
          <w:tcPr>
            <w:tcW w:type="dxa" w:w="2154"/>
            <w:shd w:fill="F3F6F9"/>
            <w:vAlign w:val="top"/>
          </w:tcPr>
          <w:p>
            <w:pPr>
              <w:spacing w:after="0"/>
            </w:pPr>
            <w:r/>
            <w:r>
              <w:rPr>
                <w:rFonts w:ascii="Calibri" w:hAnsi="Calibri"/>
                <w:b w:val="0"/>
                <w:sz w:val="19"/>
              </w:rPr>
              <w:t>Project data migration</w:t>
            </w:r>
          </w:p>
        </w:tc>
        <w:tc>
          <w:tcPr>
            <w:tcW w:type="dxa" w:w="4649"/>
            <w:shd w:fill="F3F6F9"/>
            <w:vAlign w:val="top"/>
          </w:tcPr>
          <w:p>
            <w:pPr>
              <w:spacing w:after="0"/>
            </w:pPr>
            <w:r/>
            <w:r>
              <w:rPr>
                <w:rFonts w:ascii="Calibri" w:hAnsi="Calibri"/>
                <w:b w:val="0"/>
                <w:sz w:val="19"/>
              </w:rPr>
              <w:t>Migrated project data into the Prisma database and aligned records to standardized business codes and status structures.</w:t>
            </w:r>
          </w:p>
        </w:tc>
        <w:tc>
          <w:tcPr>
            <w:tcW w:type="dxa" w:w="2551"/>
            <w:shd w:fill="F3F6F9"/>
            <w:vAlign w:val="top"/>
          </w:tcPr>
          <w:p>
            <w:pPr>
              <w:spacing w:after="0"/>
            </w:pPr>
            <w:r/>
            <w:r>
              <w:rPr>
                <w:rFonts w:ascii="Calibri" w:hAnsi="Calibri"/>
                <w:b w:val="0"/>
                <w:sz w:val="19"/>
              </w:rPr>
              <w:t>Working baseline.</w:t>
            </w:r>
          </w:p>
        </w:tc>
      </w:tr>
      <w:tr>
        <w:tc>
          <w:tcPr>
            <w:tcW w:type="dxa" w:w="2154"/>
            <w:shd w:fill="FFFFFF"/>
            <w:vAlign w:val="top"/>
          </w:tcPr>
          <w:p>
            <w:pPr>
              <w:spacing w:after="0"/>
            </w:pPr>
            <w:r/>
            <w:r>
              <w:rPr>
                <w:rFonts w:ascii="Calibri" w:hAnsi="Calibri"/>
                <w:b w:val="0"/>
                <w:sz w:val="19"/>
              </w:rPr>
              <w:t>Executive reporting package</w:t>
            </w:r>
          </w:p>
        </w:tc>
        <w:tc>
          <w:tcPr>
            <w:tcW w:type="dxa" w:w="4649"/>
            <w:shd w:fill="FFFFFF"/>
            <w:vAlign w:val="top"/>
          </w:tcPr>
          <w:p>
            <w:pPr>
              <w:spacing w:after="0"/>
            </w:pPr>
            <w:r/>
            <w:r>
              <w:rPr>
                <w:rFonts w:ascii="Calibri" w:hAnsi="Calibri"/>
                <w:b w:val="0"/>
                <w:sz w:val="19"/>
              </w:rPr>
              <w:t>Created and stabilized reporting packs with Draft, Ready, Approved, and Archived lifecycle behavior, version handling, copy-forward logic, read-only approved reports, delete/reset safeguards, and admin reopening.</w:t>
            </w:r>
          </w:p>
        </w:tc>
        <w:tc>
          <w:tcPr>
            <w:tcW w:type="dxa" w:w="2551"/>
            <w:shd w:fill="FFFFFF"/>
            <w:vAlign w:val="top"/>
          </w:tcPr>
          <w:p>
            <w:pPr>
              <w:spacing w:after="0"/>
            </w:pPr>
            <w:r/>
            <w:r>
              <w:rPr>
                <w:rFonts w:ascii="Calibri" w:hAnsi="Calibri"/>
                <w:b w:val="0"/>
                <w:sz w:val="19"/>
              </w:rPr>
              <w:t>Working and user-tested.</w:t>
            </w:r>
          </w:p>
        </w:tc>
      </w:tr>
      <w:tr>
        <w:tc>
          <w:tcPr>
            <w:tcW w:type="dxa" w:w="2154"/>
            <w:shd w:fill="F3F6F9"/>
            <w:vAlign w:val="top"/>
          </w:tcPr>
          <w:p>
            <w:pPr>
              <w:spacing w:after="0"/>
            </w:pPr>
            <w:r/>
            <w:r>
              <w:rPr>
                <w:rFonts w:ascii="Calibri" w:hAnsi="Calibri"/>
                <w:b w:val="0"/>
                <w:sz w:val="19"/>
              </w:rPr>
              <w:t>PDF export</w:t>
            </w:r>
          </w:p>
        </w:tc>
        <w:tc>
          <w:tcPr>
            <w:tcW w:type="dxa" w:w="4649"/>
            <w:shd w:fill="F3F6F9"/>
            <w:vAlign w:val="top"/>
          </w:tcPr>
          <w:p>
            <w:pPr>
              <w:spacing w:after="0"/>
            </w:pPr>
            <w:r/>
            <w:r>
              <w:rPr>
                <w:rFonts w:ascii="Calibri" w:hAnsi="Calibri"/>
                <w:b w:val="0"/>
                <w:sz w:val="19"/>
              </w:rPr>
              <w:t>Built landscape executive report output with cover page, report index, narrative sections, decision/risk cockpits, attention sections, and Gantt output.</w:t>
            </w:r>
          </w:p>
        </w:tc>
        <w:tc>
          <w:tcPr>
            <w:tcW w:type="dxa" w:w="2551"/>
            <w:shd w:fill="F3F6F9"/>
            <w:vAlign w:val="top"/>
          </w:tcPr>
          <w:p>
            <w:pPr>
              <w:spacing w:after="0"/>
            </w:pPr>
            <w:r/>
            <w:r>
              <w:rPr>
                <w:rFonts w:ascii="Calibri" w:hAnsi="Calibri"/>
                <w:b w:val="0"/>
                <w:sz w:val="19"/>
              </w:rPr>
              <w:t>Working; Gantt PDF quality confirmed.</w:t>
            </w:r>
          </w:p>
        </w:tc>
      </w:tr>
      <w:tr>
        <w:tc>
          <w:tcPr>
            <w:tcW w:type="dxa" w:w="2154"/>
            <w:shd w:fill="FFFFFF"/>
            <w:vAlign w:val="top"/>
          </w:tcPr>
          <w:p>
            <w:pPr>
              <w:spacing w:after="0"/>
            </w:pPr>
            <w:r/>
            <w:r>
              <w:rPr>
                <w:rFonts w:ascii="Calibri" w:hAnsi="Calibri"/>
                <w:b w:val="0"/>
                <w:sz w:val="19"/>
              </w:rPr>
              <w:t>PPT export</w:t>
            </w:r>
          </w:p>
        </w:tc>
        <w:tc>
          <w:tcPr>
            <w:tcW w:type="dxa" w:w="4649"/>
            <w:shd w:fill="FFFFFF"/>
            <w:vAlign w:val="top"/>
          </w:tcPr>
          <w:p>
            <w:pPr>
              <w:spacing w:after="0"/>
            </w:pPr>
            <w:r/>
            <w:r>
              <w:rPr>
                <w:rFonts w:ascii="Calibri" w:hAnsi="Calibri"/>
                <w:b w:val="0"/>
                <w:sz w:val="19"/>
              </w:rPr>
              <w:t>Added PPT download with cover, sections, cockpit outputs, and Gantt slides from the reporting model.</w:t>
            </w:r>
          </w:p>
        </w:tc>
        <w:tc>
          <w:tcPr>
            <w:tcW w:type="dxa" w:w="2551"/>
            <w:shd w:fill="FFFFFF"/>
            <w:vAlign w:val="top"/>
          </w:tcPr>
          <w:p>
            <w:pPr>
              <w:spacing w:after="0"/>
            </w:pPr>
            <w:r/>
            <w:r>
              <w:rPr>
                <w:rFonts w:ascii="Calibri" w:hAnsi="Calibri"/>
                <w:b w:val="0"/>
                <w:sz w:val="19"/>
              </w:rPr>
              <w:t>Working; visual polish remains optional.</w:t>
            </w:r>
          </w:p>
        </w:tc>
      </w:tr>
      <w:tr>
        <w:tc>
          <w:tcPr>
            <w:tcW w:type="dxa" w:w="2154"/>
            <w:shd w:fill="F3F6F9"/>
            <w:vAlign w:val="top"/>
          </w:tcPr>
          <w:p>
            <w:pPr>
              <w:spacing w:after="0"/>
            </w:pPr>
            <w:r/>
            <w:r>
              <w:rPr>
                <w:rFonts w:ascii="Calibri" w:hAnsi="Calibri"/>
                <w:b w:val="0"/>
                <w:sz w:val="19"/>
              </w:rPr>
              <w:t>Gantt output contract</w:t>
            </w:r>
          </w:p>
        </w:tc>
        <w:tc>
          <w:tcPr>
            <w:tcW w:type="dxa" w:w="4649"/>
            <w:shd w:fill="F3F6F9"/>
            <w:vAlign w:val="top"/>
          </w:tcPr>
          <w:p>
            <w:pPr>
              <w:spacing w:after="0"/>
            </w:pPr>
            <w:r/>
            <w:r>
              <w:rPr>
                <w:rFonts w:ascii="Calibri" w:hAnsi="Calibri"/>
                <w:b w:val="0"/>
                <w:sz w:val="19"/>
              </w:rPr>
              <w:t>Introduced a shared timeline/Gantt model so screen, PDF, and PPT derive from one data interpretation.</w:t>
            </w:r>
          </w:p>
        </w:tc>
        <w:tc>
          <w:tcPr>
            <w:tcW w:type="dxa" w:w="2551"/>
            <w:shd w:fill="F3F6F9"/>
            <w:vAlign w:val="top"/>
          </w:tcPr>
          <w:p>
            <w:pPr>
              <w:spacing w:after="0"/>
            </w:pPr>
            <w:r/>
            <w:r>
              <w:rPr>
                <w:rFonts w:ascii="Calibri" w:hAnsi="Calibri"/>
                <w:b w:val="0"/>
                <w:sz w:val="19"/>
              </w:rPr>
              <w:t>Key cornerstone completed.</w:t>
            </w:r>
          </w:p>
        </w:tc>
      </w:tr>
      <w:tr>
        <w:tc>
          <w:tcPr>
            <w:tcW w:type="dxa" w:w="2154"/>
            <w:shd w:fill="FFFFFF"/>
            <w:vAlign w:val="top"/>
          </w:tcPr>
          <w:p>
            <w:pPr>
              <w:spacing w:after="0"/>
            </w:pPr>
            <w:r/>
            <w:r>
              <w:rPr>
                <w:rFonts w:ascii="Calibri" w:hAnsi="Calibri"/>
                <w:b w:val="0"/>
                <w:sz w:val="19"/>
              </w:rPr>
              <w:t>Cockpit standardization</w:t>
            </w:r>
          </w:p>
        </w:tc>
        <w:tc>
          <w:tcPr>
            <w:tcW w:type="dxa" w:w="4649"/>
            <w:shd w:fill="FFFFFF"/>
            <w:vAlign w:val="top"/>
          </w:tcPr>
          <w:p>
            <w:pPr>
              <w:spacing w:after="0"/>
            </w:pPr>
            <w:r/>
            <w:r>
              <w:rPr>
                <w:rFonts w:ascii="Calibri" w:hAnsi="Calibri"/>
                <w:b w:val="0"/>
                <w:sz w:val="19"/>
              </w:rPr>
              <w:t>Created reusable cockpit contract and consistent lifecycle/attention KPI color semantics across decision, risk, workstream, and milestone reporting.</w:t>
            </w:r>
          </w:p>
        </w:tc>
        <w:tc>
          <w:tcPr>
            <w:tcW w:type="dxa" w:w="2551"/>
            <w:shd w:fill="FFFFFF"/>
            <w:vAlign w:val="top"/>
          </w:tcPr>
          <w:p>
            <w:pPr>
              <w:spacing w:after="0"/>
            </w:pPr>
            <w:r/>
            <w:r>
              <w:rPr>
                <w:rFonts w:ascii="Calibri" w:hAnsi="Calibri"/>
                <w:b w:val="0"/>
                <w:sz w:val="19"/>
              </w:rPr>
              <w:t>Working; future entities can reuse the pattern.</w:t>
            </w:r>
          </w:p>
        </w:tc>
      </w:tr>
      <w:tr>
        <w:tc>
          <w:tcPr>
            <w:tcW w:type="dxa" w:w="2154"/>
            <w:shd w:fill="F3F6F9"/>
            <w:vAlign w:val="top"/>
          </w:tcPr>
          <w:p>
            <w:pPr>
              <w:spacing w:after="0"/>
            </w:pPr>
            <w:r/>
            <w:r>
              <w:rPr>
                <w:rFonts w:ascii="Calibri" w:hAnsi="Calibri"/>
                <w:b w:val="0"/>
                <w:sz w:val="19"/>
              </w:rPr>
              <w:t>Business admin standardization</w:t>
            </w:r>
          </w:p>
        </w:tc>
        <w:tc>
          <w:tcPr>
            <w:tcW w:type="dxa" w:w="4649"/>
            <w:shd w:fill="F3F6F9"/>
            <w:vAlign w:val="top"/>
          </w:tcPr>
          <w:p>
            <w:pPr>
              <w:spacing w:after="0"/>
            </w:pPr>
            <w:r/>
            <w:r>
              <w:rPr>
                <w:rFonts w:ascii="Calibri" w:hAnsi="Calibri"/>
                <w:b w:val="0"/>
                <w:sz w:val="19"/>
              </w:rPr>
              <w:t>Standardized statuses, status scopes, status usage, project types, task families, phases, workstreams, events, templates, organizations, contacts, time tracking, and configuration separation.</w:t>
            </w:r>
          </w:p>
        </w:tc>
        <w:tc>
          <w:tcPr>
            <w:tcW w:type="dxa" w:w="2551"/>
            <w:shd w:fill="F3F6F9"/>
            <w:vAlign w:val="top"/>
          </w:tcPr>
          <w:p>
            <w:pPr>
              <w:spacing w:after="0"/>
            </w:pPr>
            <w:r/>
            <w:r>
              <w:rPr>
                <w:rFonts w:ascii="Calibri" w:hAnsi="Calibri"/>
                <w:b w:val="0"/>
                <w:sz w:val="19"/>
              </w:rPr>
              <w:t>Mostly standardized.</w:t>
            </w:r>
          </w:p>
        </w:tc>
      </w:tr>
      <w:tr>
        <w:tc>
          <w:tcPr>
            <w:tcW w:type="dxa" w:w="2154"/>
            <w:shd w:fill="FFFFFF"/>
            <w:vAlign w:val="top"/>
          </w:tcPr>
          <w:p>
            <w:pPr>
              <w:spacing w:after="0"/>
            </w:pPr>
            <w:r/>
            <w:r>
              <w:rPr>
                <w:rFonts w:ascii="Calibri" w:hAnsi="Calibri"/>
                <w:b w:val="0"/>
                <w:sz w:val="19"/>
              </w:rPr>
              <w:t>Transactional entities</w:t>
            </w:r>
          </w:p>
        </w:tc>
        <w:tc>
          <w:tcPr>
            <w:tcW w:type="dxa" w:w="4649"/>
            <w:shd w:fill="FFFFFF"/>
            <w:vAlign w:val="top"/>
          </w:tcPr>
          <w:p>
            <w:pPr>
              <w:spacing w:after="0"/>
            </w:pPr>
            <w:r/>
            <w:r>
              <w:rPr>
                <w:rFonts w:ascii="Calibri" w:hAnsi="Calibri"/>
                <w:b w:val="0"/>
                <w:sz w:val="19"/>
              </w:rPr>
              <w:t>Standardized decisions, risks, and risk actions with shared CRUD behavior, status semantics, delete safeguards, action visibility, and expand/collapse controls.</w:t>
            </w:r>
          </w:p>
        </w:tc>
        <w:tc>
          <w:tcPr>
            <w:tcW w:type="dxa" w:w="2551"/>
            <w:shd w:fill="FFFFFF"/>
            <w:vAlign w:val="top"/>
          </w:tcPr>
          <w:p>
            <w:pPr>
              <w:spacing w:after="0"/>
            </w:pPr>
            <w:r/>
            <w:r>
              <w:rPr>
                <w:rFonts w:ascii="Calibri" w:hAnsi="Calibri"/>
                <w:b w:val="0"/>
                <w:sz w:val="19"/>
              </w:rPr>
              <w:t>Working and user-tested.</w:t>
            </w:r>
          </w:p>
        </w:tc>
      </w:tr>
      <w:tr>
        <w:tc>
          <w:tcPr>
            <w:tcW w:type="dxa" w:w="2154"/>
            <w:shd w:fill="F3F6F9"/>
            <w:vAlign w:val="top"/>
          </w:tcPr>
          <w:p>
            <w:pPr>
              <w:spacing w:after="0"/>
            </w:pPr>
            <w:r/>
            <w:r>
              <w:rPr>
                <w:rFonts w:ascii="Calibri" w:hAnsi="Calibri"/>
                <w:b w:val="0"/>
                <w:sz w:val="19"/>
              </w:rPr>
              <w:t>Project structure</w:t>
            </w:r>
          </w:p>
        </w:tc>
        <w:tc>
          <w:tcPr>
            <w:tcW w:type="dxa" w:w="4649"/>
            <w:shd w:fill="F3F6F9"/>
            <w:vAlign w:val="top"/>
          </w:tcPr>
          <w:p>
            <w:pPr>
              <w:spacing w:after="0"/>
            </w:pPr>
            <w:r/>
            <w:r>
              <w:rPr>
                <w:rFonts w:ascii="Calibri" w:hAnsi="Calibri"/>
                <w:b w:val="0"/>
                <w:sz w:val="19"/>
              </w:rPr>
              <w:t>Standardized project creation, templates, workstreams, milestones, tasks, subtasks, Gantt visibility, delete rules, and timeline controls.</w:t>
            </w:r>
          </w:p>
        </w:tc>
        <w:tc>
          <w:tcPr>
            <w:tcW w:type="dxa" w:w="2551"/>
            <w:shd w:fill="F3F6F9"/>
            <w:vAlign w:val="top"/>
          </w:tcPr>
          <w:p>
            <w:pPr>
              <w:spacing w:after="0"/>
            </w:pPr>
            <w:r/>
            <w:r>
              <w:rPr>
                <w:rFonts w:ascii="Calibri" w:hAnsi="Calibri"/>
                <w:b w:val="0"/>
                <w:sz w:val="19"/>
              </w:rPr>
              <w:t>Working and user-tested.</w:t>
            </w:r>
          </w:p>
        </w:tc>
      </w:tr>
      <w:tr>
        <w:tc>
          <w:tcPr>
            <w:tcW w:type="dxa" w:w="2154"/>
            <w:shd w:fill="FFFFFF"/>
            <w:vAlign w:val="top"/>
          </w:tcPr>
          <w:p>
            <w:pPr>
              <w:spacing w:after="0"/>
            </w:pPr>
            <w:r/>
            <w:r>
              <w:rPr>
                <w:rFonts w:ascii="Calibri" w:hAnsi="Calibri"/>
                <w:b w:val="0"/>
                <w:sz w:val="19"/>
              </w:rPr>
              <w:t>Bridge cleanup</w:t>
            </w:r>
          </w:p>
        </w:tc>
        <w:tc>
          <w:tcPr>
            <w:tcW w:type="dxa" w:w="4649"/>
            <w:shd w:fill="FFFFFF"/>
            <w:vAlign w:val="top"/>
          </w:tcPr>
          <w:p>
            <w:pPr>
              <w:spacing w:after="0"/>
            </w:pPr>
            <w:r/>
            <w:r>
              <w:rPr>
                <w:rFonts w:ascii="Calibri" w:hAnsi="Calibri"/>
                <w:b w:val="0"/>
                <w:sz w:val="19"/>
              </w:rPr>
              <w:t>Removed legacy project manager, sponsor, project status, workstream/task status, risk status, risk action status, and decision status bridges.</w:t>
            </w:r>
          </w:p>
        </w:tc>
        <w:tc>
          <w:tcPr>
            <w:tcW w:type="dxa" w:w="2551"/>
            <w:shd w:fill="FFFFFF"/>
            <w:vAlign w:val="top"/>
          </w:tcPr>
          <w:p>
            <w:pPr>
              <w:spacing w:after="0"/>
            </w:pPr>
            <w:r/>
            <w:r>
              <w:rPr>
                <w:rFonts w:ascii="Calibri" w:hAnsi="Calibri"/>
                <w:b w:val="0"/>
                <w:sz w:val="19"/>
              </w:rPr>
              <w:t>Completed.</w:t>
            </w:r>
          </w:p>
        </w:tc>
      </w:tr>
      <w:tr>
        <w:tc>
          <w:tcPr>
            <w:tcW w:type="dxa" w:w="2154"/>
            <w:shd w:fill="F3F6F9"/>
            <w:vAlign w:val="top"/>
          </w:tcPr>
          <w:p>
            <w:pPr>
              <w:spacing w:after="0"/>
            </w:pPr>
            <w:r/>
            <w:r>
              <w:rPr>
                <w:rFonts w:ascii="Calibri" w:hAnsi="Calibri"/>
                <w:b w:val="0"/>
                <w:sz w:val="19"/>
              </w:rPr>
              <w:t>Configuration separation</w:t>
            </w:r>
          </w:p>
        </w:tc>
        <w:tc>
          <w:tcPr>
            <w:tcW w:type="dxa" w:w="4649"/>
            <w:shd w:fill="F3F6F9"/>
            <w:vAlign w:val="top"/>
          </w:tcPr>
          <w:p>
            <w:pPr>
              <w:spacing w:after="0"/>
            </w:pPr>
            <w:r/>
            <w:r>
              <w:rPr>
                <w:rFonts w:ascii="Calibri" w:hAnsi="Calibri"/>
                <w:b w:val="0"/>
                <w:sz w:val="19"/>
              </w:rPr>
              <w:t>Moved high-risk recovery functions out of Admin into Configuration as a future admin-only security boundary.</w:t>
            </w:r>
          </w:p>
        </w:tc>
        <w:tc>
          <w:tcPr>
            <w:tcW w:type="dxa" w:w="2551"/>
            <w:shd w:fill="F3F6F9"/>
            <w:vAlign w:val="top"/>
          </w:tcPr>
          <w:p>
            <w:pPr>
              <w:spacing w:after="0"/>
            </w:pPr>
            <w:r/>
            <w:r>
              <w:rPr>
                <w:rFonts w:ascii="Calibri" w:hAnsi="Calibri"/>
                <w:b w:val="0"/>
                <w:sz w:val="19"/>
              </w:rPr>
              <w:t>Implemented as navigation and route separation; security enforcement still pending.</w:t>
            </w:r>
          </w:p>
        </w:tc>
      </w:tr>
    </w:tbl>
    <w:p/>
    <w:p>
      <w:pPr>
        <w:pStyle w:val="Heading1"/>
      </w:pPr>
      <w:r>
        <w:rPr>
          <w:rFonts w:ascii="Calibri" w:hAnsi="Calibri"/>
          <w:color w:val="1F4E79"/>
        </w:rPr>
        <w:t>Architecture Snapshot</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814"/>
            <w:shd w:fill="1F4E79"/>
            <w:vAlign w:val="center"/>
          </w:tcPr>
          <w:p>
            <w:pPr>
              <w:spacing w:after="0"/>
            </w:pPr>
            <w:r/>
            <w:r>
              <w:rPr>
                <w:rFonts w:ascii="Calibri" w:hAnsi="Calibri"/>
                <w:b/>
                <w:color w:val="FFFFFF"/>
                <w:sz w:val="19"/>
              </w:rPr>
              <w:t>Layer</w:t>
            </w:r>
          </w:p>
        </w:tc>
        <w:tc>
          <w:tcPr>
            <w:tcW w:type="dxa" w:w="3969"/>
            <w:shd w:fill="1F4E79"/>
            <w:vAlign w:val="center"/>
          </w:tcPr>
          <w:p>
            <w:pPr>
              <w:spacing w:after="0"/>
            </w:pPr>
            <w:r/>
            <w:r>
              <w:rPr>
                <w:rFonts w:ascii="Calibri" w:hAnsi="Calibri"/>
                <w:b/>
                <w:color w:val="FFFFFF"/>
                <w:sz w:val="19"/>
              </w:rPr>
              <w:t>Current implementation</w:t>
            </w:r>
          </w:p>
        </w:tc>
        <w:tc>
          <w:tcPr>
            <w:tcW w:type="dxa" w:w="3572"/>
            <w:shd w:fill="1F4E79"/>
            <w:vAlign w:val="center"/>
          </w:tcPr>
          <w:p>
            <w:pPr>
              <w:spacing w:after="0"/>
            </w:pPr>
            <w:r/>
            <w:r>
              <w:rPr>
                <w:rFonts w:ascii="Calibri" w:hAnsi="Calibri"/>
                <w:b/>
                <w:color w:val="FFFFFF"/>
                <w:sz w:val="19"/>
              </w:rPr>
              <w:t>Architecture direction</w:t>
            </w:r>
          </w:p>
        </w:tc>
      </w:tr>
      <w:tr>
        <w:tc>
          <w:tcPr>
            <w:tcW w:type="dxa" w:w="1814"/>
            <w:shd w:fill="FFFFFF"/>
            <w:vAlign w:val="top"/>
          </w:tcPr>
          <w:p>
            <w:pPr>
              <w:spacing w:after="0"/>
            </w:pPr>
            <w:r/>
            <w:r>
              <w:rPr>
                <w:rFonts w:ascii="Calibri" w:hAnsi="Calibri"/>
                <w:b w:val="0"/>
                <w:sz w:val="19"/>
              </w:rPr>
              <w:t>App routes</w:t>
            </w:r>
          </w:p>
        </w:tc>
        <w:tc>
          <w:tcPr>
            <w:tcW w:type="dxa" w:w="3969"/>
            <w:shd w:fill="FFFFFF"/>
            <w:vAlign w:val="top"/>
          </w:tcPr>
          <w:p>
            <w:pPr>
              <w:spacing w:after="0"/>
            </w:pPr>
            <w:r/>
            <w:r>
              <w:rPr>
                <w:rFonts w:ascii="Calibri" w:hAnsi="Calibri"/>
                <w:b w:val="0"/>
                <w:sz w:val="19"/>
              </w:rPr>
              <w:t>Next.js app router pages under app/ with server actions for mutations.</w:t>
            </w:r>
          </w:p>
        </w:tc>
        <w:tc>
          <w:tcPr>
            <w:tcW w:type="dxa" w:w="3572"/>
            <w:shd w:fill="FFFFFF"/>
            <w:vAlign w:val="top"/>
          </w:tcPr>
          <w:p>
            <w:pPr>
              <w:spacing w:after="0"/>
            </w:pPr>
            <w:r/>
            <w:r>
              <w:rPr>
                <w:rFonts w:ascii="Calibri" w:hAnsi="Calibri"/>
                <w:b w:val="0"/>
                <w:sz w:val="19"/>
              </w:rPr>
              <w:t>Keep pages thin; move business logic to domain modules before adding security.</w:t>
            </w:r>
          </w:p>
        </w:tc>
      </w:tr>
      <w:tr>
        <w:tc>
          <w:tcPr>
            <w:tcW w:type="dxa" w:w="1814"/>
            <w:shd w:fill="F3F6F9"/>
            <w:vAlign w:val="top"/>
          </w:tcPr>
          <w:p>
            <w:pPr>
              <w:spacing w:after="0"/>
            </w:pPr>
            <w:r/>
            <w:r>
              <w:rPr>
                <w:rFonts w:ascii="Calibri" w:hAnsi="Calibri"/>
                <w:b w:val="0"/>
                <w:sz w:val="19"/>
              </w:rPr>
              <w:t>UI components</w:t>
            </w:r>
          </w:p>
        </w:tc>
        <w:tc>
          <w:tcPr>
            <w:tcW w:type="dxa" w:w="3969"/>
            <w:shd w:fill="F3F6F9"/>
            <w:vAlign w:val="top"/>
          </w:tcPr>
          <w:p>
            <w:pPr>
              <w:spacing w:after="0"/>
            </w:pPr>
            <w:r/>
            <w:r>
              <w:rPr>
                <w:rFonts w:ascii="Calibri" w:hAnsi="Calibri"/>
                <w:b w:val="0"/>
                <w:sz w:val="19"/>
              </w:rPr>
              <w:t>Reusable UI primitives in components/ui and entity-specific tables under components/.</w:t>
            </w:r>
          </w:p>
        </w:tc>
        <w:tc>
          <w:tcPr>
            <w:tcW w:type="dxa" w:w="3572"/>
            <w:shd w:fill="F3F6F9"/>
            <w:vAlign w:val="top"/>
          </w:tcPr>
          <w:p>
            <w:pPr>
              <w:spacing w:after="0"/>
            </w:pPr>
            <w:r/>
            <w:r>
              <w:rPr>
                <w:rFonts w:ascii="Calibri" w:hAnsi="Calibri"/>
                <w:b w:val="0"/>
                <w:sz w:val="19"/>
              </w:rPr>
              <w:t>Continue using shared controls for tables, headers, buttons, nested panels, and form fields.</w:t>
            </w:r>
          </w:p>
        </w:tc>
      </w:tr>
      <w:tr>
        <w:tc>
          <w:tcPr>
            <w:tcW w:type="dxa" w:w="1814"/>
            <w:shd w:fill="FFFFFF"/>
            <w:vAlign w:val="top"/>
          </w:tcPr>
          <w:p>
            <w:pPr>
              <w:spacing w:after="0"/>
            </w:pPr>
            <w:r/>
            <w:r>
              <w:rPr>
                <w:rFonts w:ascii="Calibri" w:hAnsi="Calibri"/>
                <w:b w:val="0"/>
                <w:sz w:val="19"/>
              </w:rPr>
              <w:t>Domain modules</w:t>
            </w:r>
          </w:p>
        </w:tc>
        <w:tc>
          <w:tcPr>
            <w:tcW w:type="dxa" w:w="3969"/>
            <w:shd w:fill="FFFFFF"/>
            <w:vAlign w:val="top"/>
          </w:tcPr>
          <w:p>
            <w:pPr>
              <w:spacing w:after="0"/>
            </w:pPr>
            <w:r/>
            <w:r>
              <w:rPr>
                <w:rFonts w:ascii="Calibri" w:hAnsi="Calibri"/>
                <w:b w:val="0"/>
                <w:sz w:val="19"/>
              </w:rPr>
              <w:t>lib/domain contains entity rules, validation, query helpers, contracts, reporting models, and cockpit metrics.</w:t>
            </w:r>
          </w:p>
        </w:tc>
        <w:tc>
          <w:tcPr>
            <w:tcW w:type="dxa" w:w="3572"/>
            <w:shd w:fill="FFFFFF"/>
            <w:vAlign w:val="top"/>
          </w:tcPr>
          <w:p>
            <w:pPr>
              <w:spacing w:after="0"/>
            </w:pPr>
            <w:r/>
            <w:r>
              <w:rPr>
                <w:rFonts w:ascii="Calibri" w:hAnsi="Calibri"/>
                <w:b w:val="0"/>
                <w:sz w:val="19"/>
              </w:rPr>
              <w:t>Make this the standard for every entity before expanding complex behavior.</w:t>
            </w:r>
          </w:p>
        </w:tc>
      </w:tr>
      <w:tr>
        <w:tc>
          <w:tcPr>
            <w:tcW w:type="dxa" w:w="1814"/>
            <w:shd w:fill="F3F6F9"/>
            <w:vAlign w:val="top"/>
          </w:tcPr>
          <w:p>
            <w:pPr>
              <w:spacing w:after="0"/>
            </w:pPr>
            <w:r/>
            <w:r>
              <w:rPr>
                <w:rFonts w:ascii="Calibri" w:hAnsi="Calibri"/>
                <w:b w:val="0"/>
                <w:sz w:val="19"/>
              </w:rPr>
              <w:t>Reporting model</w:t>
            </w:r>
          </w:p>
        </w:tc>
        <w:tc>
          <w:tcPr>
            <w:tcW w:type="dxa" w:w="3969"/>
            <w:shd w:fill="F3F6F9"/>
            <w:vAlign w:val="top"/>
          </w:tcPr>
          <w:p>
            <w:pPr>
              <w:spacing w:after="0"/>
            </w:pPr>
            <w:r/>
            <w:r>
              <w:rPr>
                <w:rFonts w:ascii="Calibri" w:hAnsi="Calibri"/>
                <w:b w:val="0"/>
                <w:sz w:val="19"/>
              </w:rPr>
              <w:t>Executive reporting uses shared view model, Gantt model, and output contract for screen/PDF/PPT.</w:t>
            </w:r>
          </w:p>
        </w:tc>
        <w:tc>
          <w:tcPr>
            <w:tcW w:type="dxa" w:w="3572"/>
            <w:shd w:fill="F3F6F9"/>
            <w:vAlign w:val="top"/>
          </w:tcPr>
          <w:p>
            <w:pPr>
              <w:spacing w:after="0"/>
            </w:pPr>
            <w:r/>
            <w:r>
              <w:rPr>
                <w:rFonts w:ascii="Calibri" w:hAnsi="Calibri"/>
                <w:b w:val="0"/>
                <w:sz w:val="19"/>
              </w:rPr>
              <w:t>Keep outputs renderer-specific but model-driven.</w:t>
            </w:r>
          </w:p>
        </w:tc>
      </w:tr>
      <w:tr>
        <w:tc>
          <w:tcPr>
            <w:tcW w:type="dxa" w:w="1814"/>
            <w:shd w:fill="FFFFFF"/>
            <w:vAlign w:val="top"/>
          </w:tcPr>
          <w:p>
            <w:pPr>
              <w:spacing w:after="0"/>
            </w:pPr>
            <w:r/>
            <w:r>
              <w:rPr>
                <w:rFonts w:ascii="Calibri" w:hAnsi="Calibri"/>
                <w:b w:val="0"/>
                <w:sz w:val="19"/>
              </w:rPr>
              <w:t>Database</w:t>
            </w:r>
          </w:p>
        </w:tc>
        <w:tc>
          <w:tcPr>
            <w:tcW w:type="dxa" w:w="3969"/>
            <w:shd w:fill="FFFFFF"/>
            <w:vAlign w:val="top"/>
          </w:tcPr>
          <w:p>
            <w:pPr>
              <w:spacing w:after="0"/>
            </w:pPr>
            <w:r/>
            <w:r>
              <w:rPr>
                <w:rFonts w:ascii="Calibri" w:hAnsi="Calibri"/>
                <w:b w:val="0"/>
                <w:sz w:val="19"/>
              </w:rPr>
              <w:t>Prisma schema with 38 migrations and SQLite dev database.</w:t>
            </w:r>
          </w:p>
        </w:tc>
        <w:tc>
          <w:tcPr>
            <w:tcW w:type="dxa" w:w="3572"/>
            <w:shd w:fill="FFFFFF"/>
            <w:vAlign w:val="top"/>
          </w:tcPr>
          <w:p>
            <w:pPr>
              <w:spacing w:after="0"/>
            </w:pPr>
            <w:r/>
            <w:r>
              <w:rPr>
                <w:rFonts w:ascii="Calibri" w:hAnsi="Calibri"/>
                <w:b w:val="0"/>
                <w:sz w:val="19"/>
              </w:rPr>
              <w:t>Maintain migration discipline; add backup/restore and release process before production.</w:t>
            </w:r>
          </w:p>
        </w:tc>
      </w:tr>
      <w:tr>
        <w:tc>
          <w:tcPr>
            <w:tcW w:type="dxa" w:w="1814"/>
            <w:shd w:fill="F3F6F9"/>
            <w:vAlign w:val="top"/>
          </w:tcPr>
          <w:p>
            <w:pPr>
              <w:spacing w:after="0"/>
            </w:pPr>
            <w:r/>
            <w:r>
              <w:rPr>
                <w:rFonts w:ascii="Calibri" w:hAnsi="Calibri"/>
                <w:b w:val="0"/>
                <w:sz w:val="19"/>
              </w:rPr>
              <w:t>Configuration</w:t>
            </w:r>
          </w:p>
        </w:tc>
        <w:tc>
          <w:tcPr>
            <w:tcW w:type="dxa" w:w="3969"/>
            <w:shd w:fill="F3F6F9"/>
            <w:vAlign w:val="top"/>
          </w:tcPr>
          <w:p>
            <w:pPr>
              <w:spacing w:after="0"/>
            </w:pPr>
            <w:r/>
            <w:r>
              <w:rPr>
                <w:rFonts w:ascii="Calibri" w:hAnsi="Calibri"/>
                <w:b w:val="0"/>
                <w:sz w:val="19"/>
              </w:rPr>
              <w:t>Configuration route separated from Admin for powerful recovery/reset operations.</w:t>
            </w:r>
          </w:p>
        </w:tc>
        <w:tc>
          <w:tcPr>
            <w:tcW w:type="dxa" w:w="3572"/>
            <w:shd w:fill="F3F6F9"/>
            <w:vAlign w:val="top"/>
          </w:tcPr>
          <w:p>
            <w:pPr>
              <w:spacing w:after="0"/>
            </w:pPr>
            <w:r/>
            <w:r>
              <w:rPr>
                <w:rFonts w:ascii="Calibri" w:hAnsi="Calibri"/>
                <w:b w:val="0"/>
                <w:sz w:val="19"/>
              </w:rPr>
              <w:t>Protect with administrator-only role and audit log.</w:t>
            </w:r>
          </w:p>
        </w:tc>
      </w:tr>
    </w:tbl>
    <w:p/>
    <w:p>
      <w:pPr>
        <w:pStyle w:val="Heading1"/>
      </w:pPr>
      <w:r>
        <w:rPr>
          <w:rFonts w:ascii="Calibri" w:hAnsi="Calibri"/>
          <w:color w:val="1F4E79"/>
        </w:rPr>
        <w:t>Audit Scope And Evidence</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268"/>
            <w:shd w:fill="1F4E79"/>
            <w:vAlign w:val="center"/>
          </w:tcPr>
          <w:p>
            <w:pPr>
              <w:spacing w:after="0"/>
            </w:pPr>
            <w:r/>
            <w:r>
              <w:rPr>
                <w:rFonts w:ascii="Calibri" w:hAnsi="Calibri"/>
                <w:b/>
                <w:color w:val="FFFFFF"/>
                <w:sz w:val="19"/>
              </w:rPr>
              <w:t>Check</w:t>
            </w:r>
          </w:p>
        </w:tc>
        <w:tc>
          <w:tcPr>
            <w:tcW w:type="dxa" w:w="1304"/>
            <w:shd w:fill="1F4E79"/>
            <w:vAlign w:val="center"/>
          </w:tcPr>
          <w:p>
            <w:pPr>
              <w:spacing w:after="0"/>
            </w:pPr>
            <w:r/>
            <w:r>
              <w:rPr>
                <w:rFonts w:ascii="Calibri" w:hAnsi="Calibri"/>
                <w:b/>
                <w:color w:val="FFFFFF"/>
                <w:sz w:val="19"/>
              </w:rPr>
              <w:t>Result</w:t>
            </w:r>
          </w:p>
        </w:tc>
        <w:tc>
          <w:tcPr>
            <w:tcW w:type="dxa" w:w="5783"/>
            <w:shd w:fill="1F4E79"/>
            <w:vAlign w:val="center"/>
          </w:tcPr>
          <w:p>
            <w:pPr>
              <w:spacing w:after="0"/>
            </w:pPr>
            <w:r/>
            <w:r>
              <w:rPr>
                <w:rFonts w:ascii="Calibri" w:hAnsi="Calibri"/>
                <w:b/>
                <w:color w:val="FFFFFF"/>
                <w:sz w:val="19"/>
              </w:rPr>
              <w:t>Evidence</w:t>
            </w:r>
          </w:p>
        </w:tc>
      </w:tr>
      <w:tr>
        <w:tc>
          <w:tcPr>
            <w:tcW w:type="dxa" w:w="2268"/>
            <w:shd w:fill="FFFFFF"/>
            <w:vAlign w:val="top"/>
          </w:tcPr>
          <w:p>
            <w:pPr>
              <w:spacing w:after="0"/>
            </w:pPr>
            <w:r/>
            <w:r>
              <w:rPr>
                <w:rFonts w:ascii="Calibri" w:hAnsi="Calibri"/>
                <w:b w:val="0"/>
                <w:sz w:val="19"/>
              </w:rPr>
              <w:t>Prisma schema validation</w:t>
            </w:r>
          </w:p>
        </w:tc>
        <w:tc>
          <w:tcPr>
            <w:tcW w:type="dxa" w:w="1304"/>
            <w:shd w:fill="FFFFFF"/>
            <w:vAlign w:val="top"/>
          </w:tcPr>
          <w:p>
            <w:pPr>
              <w:spacing w:after="0"/>
            </w:pPr>
            <w:r/>
            <w:r>
              <w:rPr>
                <w:rFonts w:ascii="Calibri" w:hAnsi="Calibri"/>
                <w:b w:val="0"/>
                <w:sz w:val="19"/>
              </w:rPr>
              <w:t>Pass</w:t>
            </w:r>
          </w:p>
        </w:tc>
        <w:tc>
          <w:tcPr>
            <w:tcW w:type="dxa" w:w="5783"/>
            <w:shd w:fill="FFFFFF"/>
            <w:vAlign w:val="top"/>
          </w:tcPr>
          <w:p>
            <w:pPr>
              <w:spacing w:after="0"/>
            </w:pPr>
            <w:r/>
            <w:r>
              <w:rPr>
                <w:rFonts w:ascii="Calibri" w:hAnsi="Calibri"/>
                <w:b w:val="0"/>
                <w:sz w:val="19"/>
              </w:rPr>
              <w:t>`npx prisma validate` completed successfully.</w:t>
            </w:r>
          </w:p>
        </w:tc>
      </w:tr>
      <w:tr>
        <w:tc>
          <w:tcPr>
            <w:tcW w:type="dxa" w:w="2268"/>
            <w:shd w:fill="F3F6F9"/>
            <w:vAlign w:val="top"/>
          </w:tcPr>
          <w:p>
            <w:pPr>
              <w:spacing w:after="0"/>
            </w:pPr>
            <w:r/>
            <w:r>
              <w:rPr>
                <w:rFonts w:ascii="Calibri" w:hAnsi="Calibri"/>
                <w:b w:val="0"/>
                <w:sz w:val="19"/>
              </w:rPr>
              <w:t>Migration status</w:t>
            </w:r>
          </w:p>
        </w:tc>
        <w:tc>
          <w:tcPr>
            <w:tcW w:type="dxa" w:w="1304"/>
            <w:shd w:fill="F3F6F9"/>
            <w:vAlign w:val="top"/>
          </w:tcPr>
          <w:p>
            <w:pPr>
              <w:spacing w:after="0"/>
            </w:pPr>
            <w:r/>
            <w:r>
              <w:rPr>
                <w:rFonts w:ascii="Calibri" w:hAnsi="Calibri"/>
                <w:b w:val="0"/>
                <w:sz w:val="19"/>
              </w:rPr>
              <w:t>Pass</w:t>
            </w:r>
          </w:p>
        </w:tc>
        <w:tc>
          <w:tcPr>
            <w:tcW w:type="dxa" w:w="5783"/>
            <w:shd w:fill="F3F6F9"/>
            <w:vAlign w:val="top"/>
          </w:tcPr>
          <w:p>
            <w:pPr>
              <w:spacing w:after="0"/>
            </w:pPr>
            <w:r/>
            <w:r>
              <w:rPr>
                <w:rFonts w:ascii="Calibri" w:hAnsi="Calibri"/>
                <w:b w:val="0"/>
                <w:sz w:val="19"/>
              </w:rPr>
              <w:t>`npx prisma migrate status` reports 38 migrations and database schema up to date.</w:t>
            </w:r>
          </w:p>
        </w:tc>
      </w:tr>
      <w:tr>
        <w:tc>
          <w:tcPr>
            <w:tcW w:type="dxa" w:w="2268"/>
            <w:shd w:fill="FFFFFF"/>
            <w:vAlign w:val="top"/>
          </w:tcPr>
          <w:p>
            <w:pPr>
              <w:spacing w:after="0"/>
            </w:pPr>
            <w:r/>
            <w:r>
              <w:rPr>
                <w:rFonts w:ascii="Calibri" w:hAnsi="Calibri"/>
                <w:b w:val="0"/>
                <w:sz w:val="19"/>
              </w:rPr>
              <w:t>Full lint</w:t>
            </w:r>
          </w:p>
        </w:tc>
        <w:tc>
          <w:tcPr>
            <w:tcW w:type="dxa" w:w="1304"/>
            <w:shd w:fill="FFFFFF"/>
            <w:vAlign w:val="top"/>
          </w:tcPr>
          <w:p>
            <w:pPr>
              <w:spacing w:after="0"/>
            </w:pPr>
            <w:r/>
            <w:r>
              <w:rPr>
                <w:rFonts w:ascii="Calibri" w:hAnsi="Calibri"/>
                <w:b w:val="0"/>
                <w:sz w:val="19"/>
              </w:rPr>
              <w:t>Pass</w:t>
            </w:r>
          </w:p>
        </w:tc>
        <w:tc>
          <w:tcPr>
            <w:tcW w:type="dxa" w:w="5783"/>
            <w:shd w:fill="FFFFFF"/>
            <w:vAlign w:val="top"/>
          </w:tcPr>
          <w:p>
            <w:pPr>
              <w:spacing w:after="0"/>
            </w:pPr>
            <w:r/>
            <w:r>
              <w:rPr>
                <w:rFonts w:ascii="Calibri" w:hAnsi="Calibri"/>
                <w:b w:val="0"/>
                <w:sz w:val="19"/>
              </w:rPr>
              <w:t>`npm run lint -- app components lib scripts` completed clean after correcting one React selector state pattern.</w:t>
            </w:r>
          </w:p>
        </w:tc>
      </w:tr>
      <w:tr>
        <w:tc>
          <w:tcPr>
            <w:tcW w:type="dxa" w:w="2268"/>
            <w:shd w:fill="F3F6F9"/>
            <w:vAlign w:val="top"/>
          </w:tcPr>
          <w:p>
            <w:pPr>
              <w:spacing w:after="0"/>
            </w:pPr>
            <w:r/>
            <w:r>
              <w:rPr>
                <w:rFonts w:ascii="Calibri" w:hAnsi="Calibri"/>
                <w:b w:val="0"/>
                <w:sz w:val="19"/>
              </w:rPr>
              <w:t>Production build</w:t>
            </w:r>
          </w:p>
        </w:tc>
        <w:tc>
          <w:tcPr>
            <w:tcW w:type="dxa" w:w="1304"/>
            <w:shd w:fill="F3F6F9"/>
            <w:vAlign w:val="top"/>
          </w:tcPr>
          <w:p>
            <w:pPr>
              <w:spacing w:after="0"/>
            </w:pPr>
            <w:r/>
            <w:r>
              <w:rPr>
                <w:rFonts w:ascii="Calibri" w:hAnsi="Calibri"/>
                <w:b w:val="0"/>
                <w:sz w:val="19"/>
              </w:rPr>
              <w:t>Pass</w:t>
            </w:r>
          </w:p>
        </w:tc>
        <w:tc>
          <w:tcPr>
            <w:tcW w:type="dxa" w:w="5783"/>
            <w:shd w:fill="F3F6F9"/>
            <w:vAlign w:val="top"/>
          </w:tcPr>
          <w:p>
            <w:pPr>
              <w:spacing w:after="0"/>
            </w:pPr>
            <w:r/>
            <w:r>
              <w:rPr>
                <w:rFonts w:ascii="Calibri" w:hAnsi="Calibri"/>
                <w:b w:val="0"/>
                <w:sz w:val="19"/>
              </w:rPr>
              <w:t>`npm run build` completed successfully and generated 34 app routes.</w:t>
            </w:r>
          </w:p>
        </w:tc>
      </w:tr>
      <w:tr>
        <w:tc>
          <w:tcPr>
            <w:tcW w:type="dxa" w:w="2268"/>
            <w:shd w:fill="FFFFFF"/>
            <w:vAlign w:val="top"/>
          </w:tcPr>
          <w:p>
            <w:pPr>
              <w:spacing w:after="0"/>
            </w:pPr>
            <w:r/>
            <w:r>
              <w:rPr>
                <w:rFonts w:ascii="Calibri" w:hAnsi="Calibri"/>
                <w:b w:val="0"/>
                <w:sz w:val="19"/>
              </w:rPr>
              <w:t>Bridge tables</w:t>
            </w:r>
          </w:p>
        </w:tc>
        <w:tc>
          <w:tcPr>
            <w:tcW w:type="dxa" w:w="1304"/>
            <w:shd w:fill="FFFFFF"/>
            <w:vAlign w:val="top"/>
          </w:tcPr>
          <w:p>
            <w:pPr>
              <w:spacing w:after="0"/>
            </w:pPr>
            <w:r/>
            <w:r>
              <w:rPr>
                <w:rFonts w:ascii="Calibri" w:hAnsi="Calibri"/>
                <w:b w:val="0"/>
                <w:sz w:val="19"/>
              </w:rPr>
              <w:t>Pass</w:t>
            </w:r>
          </w:p>
        </w:tc>
        <w:tc>
          <w:tcPr>
            <w:tcW w:type="dxa" w:w="5783"/>
            <w:shd w:fill="FFFFFF"/>
            <w:vAlign w:val="top"/>
          </w:tcPr>
          <w:p>
            <w:pPr>
              <w:spacing w:after="0"/>
            </w:pPr>
            <w:r/>
            <w:r>
              <w:rPr>
                <w:rFonts w:ascii="Calibri" w:hAnsi="Calibri"/>
                <w:b w:val="0"/>
                <w:sz w:val="19"/>
              </w:rPr>
              <w:t>Database contains no ProjectStatus or RiskStatus tables.</w:t>
            </w:r>
          </w:p>
        </w:tc>
      </w:tr>
      <w:tr>
        <w:tc>
          <w:tcPr>
            <w:tcW w:type="dxa" w:w="2268"/>
            <w:shd w:fill="F3F6F9"/>
            <w:vAlign w:val="top"/>
          </w:tcPr>
          <w:p>
            <w:pPr>
              <w:spacing w:after="0"/>
            </w:pPr>
            <w:r/>
            <w:r>
              <w:rPr>
                <w:rFonts w:ascii="Calibri" w:hAnsi="Calibri"/>
                <w:b w:val="0"/>
                <w:sz w:val="19"/>
              </w:rPr>
              <w:t>Required status links</w:t>
            </w:r>
          </w:p>
        </w:tc>
        <w:tc>
          <w:tcPr>
            <w:tcW w:type="dxa" w:w="1304"/>
            <w:shd w:fill="F3F6F9"/>
            <w:vAlign w:val="top"/>
          </w:tcPr>
          <w:p>
            <w:pPr>
              <w:spacing w:after="0"/>
            </w:pPr>
            <w:r/>
            <w:r>
              <w:rPr>
                <w:rFonts w:ascii="Calibri" w:hAnsi="Calibri"/>
                <w:b w:val="0"/>
                <w:sz w:val="19"/>
              </w:rPr>
              <w:t>Pass</w:t>
            </w:r>
          </w:p>
        </w:tc>
        <w:tc>
          <w:tcPr>
            <w:tcW w:type="dxa" w:w="5783"/>
            <w:shd w:fill="F3F6F9"/>
            <w:vAlign w:val="top"/>
          </w:tcPr>
          <w:p>
            <w:pPr>
              <w:spacing w:after="0"/>
            </w:pPr>
            <w:r/>
            <w:r>
              <w:rPr>
                <w:rFonts w:ascii="Calibri" w:hAnsi="Calibri"/>
                <w:b w:val="0"/>
                <w:sz w:val="19"/>
              </w:rPr>
              <w:t>Projects missing governedStatusId: 0; risks missing statusId: 0; risk actions missing statusId: 0; decisions missing statusId: 0.</w:t>
            </w:r>
          </w:p>
        </w:tc>
      </w:tr>
      <w:tr>
        <w:tc>
          <w:tcPr>
            <w:tcW w:type="dxa" w:w="2268"/>
            <w:shd w:fill="FFFFFF"/>
            <w:vAlign w:val="top"/>
          </w:tcPr>
          <w:p>
            <w:pPr>
              <w:spacing w:after="0"/>
            </w:pPr>
            <w:r/>
            <w:r>
              <w:rPr>
                <w:rFonts w:ascii="Calibri" w:hAnsi="Calibri"/>
                <w:b w:val="0"/>
                <w:sz w:val="19"/>
              </w:rPr>
              <w:t>Seed file</w:t>
            </w:r>
          </w:p>
        </w:tc>
        <w:tc>
          <w:tcPr>
            <w:tcW w:type="dxa" w:w="1304"/>
            <w:shd w:fill="FFFFFF"/>
            <w:vAlign w:val="top"/>
          </w:tcPr>
          <w:p>
            <w:pPr>
              <w:spacing w:after="0"/>
            </w:pPr>
            <w:r/>
            <w:r>
              <w:rPr>
                <w:rFonts w:ascii="Calibri" w:hAnsi="Calibri"/>
                <w:b w:val="0"/>
                <w:sz w:val="19"/>
              </w:rPr>
              <w:t>Pass</w:t>
            </w:r>
          </w:p>
        </w:tc>
        <w:tc>
          <w:tcPr>
            <w:tcW w:type="dxa" w:w="5783"/>
            <w:shd w:fill="FFFFFF"/>
            <w:vAlign w:val="top"/>
          </w:tcPr>
          <w:p>
            <w:pPr>
              <w:spacing w:after="0"/>
            </w:pPr>
            <w:r/>
            <w:r>
              <w:rPr>
                <w:rFonts w:ascii="Calibri" w:hAnsi="Calibri"/>
                <w:b w:val="0"/>
                <w:sz w:val="19"/>
              </w:rPr>
              <w:t>`prisma/seed.ts` and the package seed script have been removed.</w:t>
            </w:r>
          </w:p>
        </w:tc>
      </w:tr>
      <w:tr>
        <w:tc>
          <w:tcPr>
            <w:tcW w:type="dxa" w:w="2268"/>
            <w:shd w:fill="F3F6F9"/>
            <w:vAlign w:val="top"/>
          </w:tcPr>
          <w:p>
            <w:pPr>
              <w:spacing w:after="0"/>
            </w:pPr>
            <w:r/>
            <w:r>
              <w:rPr>
                <w:rFonts w:ascii="Calibri" w:hAnsi="Calibri"/>
                <w:b w:val="0"/>
                <w:sz w:val="19"/>
              </w:rPr>
              <w:t>Historical references</w:t>
            </w:r>
          </w:p>
        </w:tc>
        <w:tc>
          <w:tcPr>
            <w:tcW w:type="dxa" w:w="1304"/>
            <w:shd w:fill="F3F6F9"/>
            <w:vAlign w:val="top"/>
          </w:tcPr>
          <w:p>
            <w:pPr>
              <w:spacing w:after="0"/>
            </w:pPr>
            <w:r/>
            <w:r>
              <w:rPr>
                <w:rFonts w:ascii="Calibri" w:hAnsi="Calibri"/>
                <w:b w:val="0"/>
                <w:sz w:val="19"/>
              </w:rPr>
              <w:t>Expected</w:t>
            </w:r>
          </w:p>
        </w:tc>
        <w:tc>
          <w:tcPr>
            <w:tcW w:type="dxa" w:w="5783"/>
            <w:shd w:fill="F3F6F9"/>
            <w:vAlign w:val="top"/>
          </w:tcPr>
          <w:p>
            <w:pPr>
              <w:spacing w:after="0"/>
            </w:pPr>
            <w:r/>
            <w:r>
              <w:rPr>
                <w:rFonts w:ascii="Calibri" w:hAnsi="Calibri"/>
                <w:b w:val="0"/>
                <w:sz w:val="19"/>
              </w:rPr>
              <w:t>Old migration files and historical docs still mention bridge fields. This is normal history, not active code dependency.</w:t>
            </w:r>
          </w:p>
        </w:tc>
      </w:tr>
    </w:tbl>
    <w:p/>
    <w:p>
      <w:pPr>
        <w:pStyle w:val="Heading1"/>
      </w:pPr>
      <w:r>
        <w:rPr>
          <w:rFonts w:ascii="Calibri" w:hAnsi="Calibri"/>
          <w:color w:val="1F4E79"/>
        </w:rPr>
        <w:t>Audit Findings</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2268"/>
            <w:shd w:fill="1F4E79"/>
          </w:tcPr>
          <w:p>
            <w:pPr>
              <w:spacing w:after="0"/>
            </w:pPr>
            <w:r/>
            <w:r>
              <w:rPr>
                <w:rFonts w:ascii="Calibri" w:hAnsi="Calibri"/>
                <w:b/>
                <w:color w:val="FFFFFF"/>
                <w:sz w:val="19"/>
              </w:rPr>
              <w:t>Area</w:t>
            </w:r>
          </w:p>
        </w:tc>
        <w:tc>
          <w:tcPr>
            <w:tcW w:type="dxa" w:w="1361"/>
            <w:shd w:fill="1F4E79"/>
          </w:tcPr>
          <w:p>
            <w:pPr>
              <w:spacing w:after="0"/>
            </w:pPr>
            <w:r/>
            <w:r>
              <w:rPr>
                <w:rFonts w:ascii="Calibri" w:hAnsi="Calibri"/>
                <w:b/>
                <w:color w:val="FFFFFF"/>
                <w:sz w:val="19"/>
              </w:rPr>
              <w:t>Rating</w:t>
            </w:r>
          </w:p>
        </w:tc>
        <w:tc>
          <w:tcPr>
            <w:tcW w:type="dxa" w:w="3515"/>
            <w:shd w:fill="1F4E79"/>
          </w:tcPr>
          <w:p>
            <w:pPr>
              <w:spacing w:after="0"/>
            </w:pPr>
            <w:r/>
            <w:r>
              <w:rPr>
                <w:rFonts w:ascii="Calibri" w:hAnsi="Calibri"/>
                <w:b/>
                <w:color w:val="FFFFFF"/>
                <w:sz w:val="19"/>
              </w:rPr>
              <w:t>Evidence</w:t>
            </w:r>
          </w:p>
        </w:tc>
        <w:tc>
          <w:tcPr>
            <w:tcW w:type="dxa" w:w="2381"/>
            <w:shd w:fill="1F4E79"/>
          </w:tcPr>
          <w:p>
            <w:pPr>
              <w:spacing w:after="0"/>
            </w:pPr>
            <w:r/>
            <w:r>
              <w:rPr>
                <w:rFonts w:ascii="Calibri" w:hAnsi="Calibri"/>
                <w:b/>
                <w:color w:val="FFFFFF"/>
                <w:sz w:val="19"/>
              </w:rPr>
              <w:t>Next action</w:t>
            </w:r>
          </w:p>
        </w:tc>
      </w:tr>
      <w:tr>
        <w:tc>
          <w:tcPr>
            <w:tcW w:type="dxa" w:w="2268"/>
            <w:shd w:fill="FFFFFF"/>
            <w:vAlign w:val="top"/>
          </w:tcPr>
          <w:p>
            <w:pPr>
              <w:spacing w:after="0"/>
            </w:pPr>
            <w:r/>
            <w:r>
              <w:rPr>
                <w:rFonts w:ascii="Calibri" w:hAnsi="Calibri"/>
                <w:b w:val="0"/>
                <w:sz w:val="19"/>
              </w:rPr>
              <w:t>Bridge-field removal</w:t>
            </w:r>
          </w:p>
        </w:tc>
        <w:tc>
          <w:tcPr>
            <w:tcW w:type="dxa" w:w="1361"/>
            <w:shd w:fill="D9F5E3"/>
            <w:vAlign w:val="top"/>
          </w:tcPr>
          <w:p>
            <w:pPr>
              <w:spacing w:after="0"/>
            </w:pPr>
            <w:r/>
            <w:r>
              <w:rPr>
                <w:rFonts w:ascii="Calibri" w:hAnsi="Calibri"/>
                <w:b/>
                <w:sz w:val="19"/>
              </w:rPr>
              <w:t>Green</w:t>
            </w:r>
          </w:p>
        </w:tc>
        <w:tc>
          <w:tcPr>
            <w:tcW w:type="dxa" w:w="3515"/>
            <w:shd w:fill="FFFFFF"/>
            <w:vAlign w:val="top"/>
          </w:tcPr>
          <w:p>
            <w:pPr>
              <w:spacing w:after="0"/>
            </w:pPr>
            <w:r/>
            <w:r>
              <w:rPr>
                <w:rFonts w:ascii="Calibri" w:hAnsi="Calibri"/>
                <w:b w:val="0"/>
                <w:sz w:val="19"/>
              </w:rPr>
              <w:t>Active schema and code no longer depend on ProjectStatus, RiskStatus, projectManagerId, sponsorId, workstream/task legacy status, risk action text status, or decision status bridges.</w:t>
            </w:r>
          </w:p>
        </w:tc>
        <w:tc>
          <w:tcPr>
            <w:tcW w:type="dxa" w:w="2381"/>
            <w:shd w:fill="FFFFFF"/>
            <w:vAlign w:val="top"/>
          </w:tcPr>
          <w:p>
            <w:pPr>
              <w:spacing w:after="0"/>
            </w:pPr>
            <w:r/>
            <w:r>
              <w:rPr>
                <w:rFonts w:ascii="Calibri" w:hAnsi="Calibri"/>
                <w:b w:val="0"/>
                <w:sz w:val="19"/>
              </w:rPr>
              <w:t>Keep bridge cleanup register as historical evidence.</w:t>
            </w:r>
          </w:p>
        </w:tc>
      </w:tr>
      <w:tr>
        <w:tc>
          <w:tcPr>
            <w:tcW w:type="dxa" w:w="2268"/>
            <w:shd w:fill="FFFFFF"/>
            <w:vAlign w:val="top"/>
          </w:tcPr>
          <w:p>
            <w:pPr>
              <w:spacing w:after="0"/>
            </w:pPr>
            <w:r/>
            <w:r>
              <w:rPr>
                <w:rFonts w:ascii="Calibri" w:hAnsi="Calibri"/>
                <w:b w:val="0"/>
                <w:sz w:val="19"/>
              </w:rPr>
              <w:t>Database health</w:t>
            </w:r>
          </w:p>
        </w:tc>
        <w:tc>
          <w:tcPr>
            <w:tcW w:type="dxa" w:w="1361"/>
            <w:shd w:fill="D9F5E3"/>
            <w:vAlign w:val="top"/>
          </w:tcPr>
          <w:p>
            <w:pPr>
              <w:spacing w:after="0"/>
            </w:pPr>
            <w:r/>
            <w:r>
              <w:rPr>
                <w:rFonts w:ascii="Calibri" w:hAnsi="Calibri"/>
                <w:b/>
                <w:sz w:val="19"/>
              </w:rPr>
              <w:t>Green</w:t>
            </w:r>
          </w:p>
        </w:tc>
        <w:tc>
          <w:tcPr>
            <w:tcW w:type="dxa" w:w="3515"/>
            <w:shd w:fill="FFFFFF"/>
            <w:vAlign w:val="top"/>
          </w:tcPr>
          <w:p>
            <w:pPr>
              <w:spacing w:after="0"/>
            </w:pPr>
            <w:r/>
            <w:r>
              <w:rPr>
                <w:rFonts w:ascii="Calibri" w:hAnsi="Calibri"/>
                <w:b w:val="0"/>
                <w:sz w:val="19"/>
              </w:rPr>
              <w:t>Database schema is up to date. Required status references are populated. Business data exists across projects, workstreams, decisions, risks, reporting packs, and time entries.</w:t>
            </w:r>
          </w:p>
        </w:tc>
        <w:tc>
          <w:tcPr>
            <w:tcW w:type="dxa" w:w="2381"/>
            <w:shd w:fill="FFFFFF"/>
            <w:vAlign w:val="top"/>
          </w:tcPr>
          <w:p>
            <w:pPr>
              <w:spacing w:after="0"/>
            </w:pPr>
            <w:r/>
            <w:r>
              <w:rPr>
                <w:rFonts w:ascii="Calibri" w:hAnsi="Calibri"/>
                <w:b w:val="0"/>
                <w:sz w:val="19"/>
              </w:rPr>
              <w:t>Add backup/restore procedure before production.</w:t>
            </w:r>
          </w:p>
        </w:tc>
      </w:tr>
      <w:tr>
        <w:tc>
          <w:tcPr>
            <w:tcW w:type="dxa" w:w="2268"/>
            <w:shd w:fill="FFFFFF"/>
            <w:vAlign w:val="top"/>
          </w:tcPr>
          <w:p>
            <w:pPr>
              <w:spacing w:after="0"/>
            </w:pPr>
            <w:r/>
            <w:r>
              <w:rPr>
                <w:rFonts w:ascii="Calibri" w:hAnsi="Calibri"/>
                <w:b w:val="0"/>
                <w:sz w:val="19"/>
              </w:rPr>
              <w:t>Build and lint health</w:t>
            </w:r>
          </w:p>
        </w:tc>
        <w:tc>
          <w:tcPr>
            <w:tcW w:type="dxa" w:w="1361"/>
            <w:shd w:fill="D9F5E3"/>
            <w:vAlign w:val="top"/>
          </w:tcPr>
          <w:p>
            <w:pPr>
              <w:spacing w:after="0"/>
            </w:pPr>
            <w:r/>
            <w:r>
              <w:rPr>
                <w:rFonts w:ascii="Calibri" w:hAnsi="Calibri"/>
                <w:b/>
                <w:sz w:val="19"/>
              </w:rPr>
              <w:t>Green</w:t>
            </w:r>
          </w:p>
        </w:tc>
        <w:tc>
          <w:tcPr>
            <w:tcW w:type="dxa" w:w="3515"/>
            <w:shd w:fill="FFFFFF"/>
            <w:vAlign w:val="top"/>
          </w:tcPr>
          <w:p>
            <w:pPr>
              <w:spacing w:after="0"/>
            </w:pPr>
            <w:r/>
            <w:r>
              <w:rPr>
                <w:rFonts w:ascii="Calibri" w:hAnsi="Calibri"/>
                <w:b w:val="0"/>
                <w:sz w:val="19"/>
              </w:rPr>
              <w:t>Full lint and production build pass. One lint issue in ProjectReportSelector was corrected during audit.</w:t>
            </w:r>
          </w:p>
        </w:tc>
        <w:tc>
          <w:tcPr>
            <w:tcW w:type="dxa" w:w="2381"/>
            <w:shd w:fill="FFFFFF"/>
            <w:vAlign w:val="top"/>
          </w:tcPr>
          <w:p>
            <w:pPr>
              <w:spacing w:after="0"/>
            </w:pPr>
            <w:r/>
            <w:r>
              <w:rPr>
                <w:rFonts w:ascii="Calibri" w:hAnsi="Calibri"/>
                <w:b w:val="0"/>
                <w:sz w:val="19"/>
              </w:rPr>
              <w:t>Add CI checks so this stays automatic.</w:t>
            </w:r>
          </w:p>
        </w:tc>
      </w:tr>
      <w:tr>
        <w:tc>
          <w:tcPr>
            <w:tcW w:type="dxa" w:w="2268"/>
            <w:shd w:fill="FFFFFF"/>
            <w:vAlign w:val="top"/>
          </w:tcPr>
          <w:p>
            <w:pPr>
              <w:spacing w:after="0"/>
            </w:pPr>
            <w:r/>
            <w:r>
              <w:rPr>
                <w:rFonts w:ascii="Calibri" w:hAnsi="Calibri"/>
                <w:b w:val="0"/>
                <w:sz w:val="19"/>
              </w:rPr>
              <w:t>Reusable UI adoption</w:t>
            </w:r>
          </w:p>
        </w:tc>
        <w:tc>
          <w:tcPr>
            <w:tcW w:type="dxa" w:w="1361"/>
            <w:shd w:fill="FFF1CC"/>
            <w:vAlign w:val="top"/>
          </w:tcPr>
          <w:p>
            <w:pPr>
              <w:spacing w:after="0"/>
            </w:pPr>
            <w:r/>
            <w:r>
              <w:rPr>
                <w:rFonts w:ascii="Calibri" w:hAnsi="Calibri"/>
                <w:b/>
                <w:sz w:val="19"/>
              </w:rPr>
              <w:t>Amber</w:t>
            </w:r>
          </w:p>
        </w:tc>
        <w:tc>
          <w:tcPr>
            <w:tcW w:type="dxa" w:w="3515"/>
            <w:shd w:fill="FFFFFF"/>
            <w:vAlign w:val="top"/>
          </w:tcPr>
          <w:p>
            <w:pPr>
              <w:spacing w:after="0"/>
            </w:pPr>
            <w:r/>
            <w:r>
              <w:rPr>
                <w:rFonts w:ascii="Calibri" w:hAnsi="Calibri"/>
                <w:b w:val="0"/>
                <w:sz w:val="19"/>
              </w:rPr>
              <w:t>Core shared primitives exist and are widely used. Some older admin/configuration pages still use direct table styles and page-local form markup.</w:t>
            </w:r>
          </w:p>
        </w:tc>
        <w:tc>
          <w:tcPr>
            <w:tcW w:type="dxa" w:w="2381"/>
            <w:shd w:fill="FFFFFF"/>
            <w:vAlign w:val="top"/>
          </w:tcPr>
          <w:p>
            <w:pPr>
              <w:spacing w:after="0"/>
            </w:pPr>
            <w:r/>
            <w:r>
              <w:rPr>
                <w:rFonts w:ascii="Calibri" w:hAnsi="Calibri"/>
                <w:b w:val="0"/>
                <w:sz w:val="19"/>
              </w:rPr>
              <w:t>Convert opportunistically when touching those entities; no urgent broad rewrite needed.</w:t>
            </w:r>
          </w:p>
        </w:tc>
      </w:tr>
      <w:tr>
        <w:tc>
          <w:tcPr>
            <w:tcW w:type="dxa" w:w="2268"/>
            <w:shd w:fill="FFFFFF"/>
            <w:vAlign w:val="top"/>
          </w:tcPr>
          <w:p>
            <w:pPr>
              <w:spacing w:after="0"/>
            </w:pPr>
            <w:r/>
            <w:r>
              <w:rPr>
                <w:rFonts w:ascii="Calibri" w:hAnsi="Calibri"/>
                <w:b w:val="0"/>
                <w:sz w:val="19"/>
              </w:rPr>
              <w:t>Domain logic consistency</w:t>
            </w:r>
          </w:p>
        </w:tc>
        <w:tc>
          <w:tcPr>
            <w:tcW w:type="dxa" w:w="1361"/>
            <w:shd w:fill="FFF1CC"/>
            <w:vAlign w:val="top"/>
          </w:tcPr>
          <w:p>
            <w:pPr>
              <w:spacing w:after="0"/>
            </w:pPr>
            <w:r/>
            <w:r>
              <w:rPr>
                <w:rFonts w:ascii="Calibri" w:hAnsi="Calibri"/>
                <w:b/>
                <w:sz w:val="19"/>
              </w:rPr>
              <w:t>Amber</w:t>
            </w:r>
          </w:p>
        </w:tc>
        <w:tc>
          <w:tcPr>
            <w:tcW w:type="dxa" w:w="3515"/>
            <w:shd w:fill="FFFFFF"/>
            <w:vAlign w:val="top"/>
          </w:tcPr>
          <w:p>
            <w:pPr>
              <w:spacing w:after="0"/>
            </w:pPr>
            <w:r/>
            <w:r>
              <w:rPr>
                <w:rFonts w:ascii="Calibri" w:hAnsi="Calibri"/>
                <w:b w:val="0"/>
                <w:sz w:val="19"/>
              </w:rPr>
              <w:t>Decisions, risks, reporting, statuses, templates, projects, workstreams, phases, event types, task families, and project types now have domain modules. Some page-level server actions remain, especially admin/configuration/time tracking.</w:t>
            </w:r>
          </w:p>
        </w:tc>
        <w:tc>
          <w:tcPr>
            <w:tcW w:type="dxa" w:w="2381"/>
            <w:shd w:fill="FFFFFF"/>
            <w:vAlign w:val="top"/>
          </w:tcPr>
          <w:p>
            <w:pPr>
              <w:spacing w:after="0"/>
            </w:pPr>
            <w:r/>
            <w:r>
              <w:rPr>
                <w:rFonts w:ascii="Calibri" w:hAnsi="Calibri"/>
                <w:b w:val="0"/>
                <w:sz w:val="19"/>
              </w:rPr>
              <w:t>Extract shared action factories or entity service helpers where duplication becomes costly.</w:t>
            </w:r>
          </w:p>
        </w:tc>
      </w:tr>
      <w:tr>
        <w:tc>
          <w:tcPr>
            <w:tcW w:type="dxa" w:w="2268"/>
            <w:shd w:fill="FFFFFF"/>
            <w:vAlign w:val="top"/>
          </w:tcPr>
          <w:p>
            <w:pPr>
              <w:spacing w:after="0"/>
            </w:pPr>
            <w:r/>
            <w:r>
              <w:rPr>
                <w:rFonts w:ascii="Calibri" w:hAnsi="Calibri"/>
                <w:b w:val="0"/>
                <w:sz w:val="19"/>
              </w:rPr>
              <w:t>Reporting single point of truth</w:t>
            </w:r>
          </w:p>
        </w:tc>
        <w:tc>
          <w:tcPr>
            <w:tcW w:type="dxa" w:w="1361"/>
            <w:shd w:fill="D9F5E3"/>
            <w:vAlign w:val="top"/>
          </w:tcPr>
          <w:p>
            <w:pPr>
              <w:spacing w:after="0"/>
            </w:pPr>
            <w:r/>
            <w:r>
              <w:rPr>
                <w:rFonts w:ascii="Calibri" w:hAnsi="Calibri"/>
                <w:b/>
                <w:sz w:val="19"/>
              </w:rPr>
              <w:t>Green</w:t>
            </w:r>
          </w:p>
        </w:tc>
        <w:tc>
          <w:tcPr>
            <w:tcW w:type="dxa" w:w="3515"/>
            <w:shd w:fill="FFFFFF"/>
            <w:vAlign w:val="top"/>
          </w:tcPr>
          <w:p>
            <w:pPr>
              <w:spacing w:after="0"/>
            </w:pPr>
            <w:r/>
            <w:r>
              <w:rPr>
                <w:rFonts w:ascii="Calibri" w:hAnsi="Calibri"/>
                <w:b w:val="0"/>
                <w:sz w:val="19"/>
              </w:rPr>
              <w:t>Executive screen, PDF, PPT, cockpits, and Gantt use shared report data/model contracts. Gantt PDF is confirmed as high quality.</w:t>
            </w:r>
          </w:p>
        </w:tc>
        <w:tc>
          <w:tcPr>
            <w:tcW w:type="dxa" w:w="2381"/>
            <w:shd w:fill="FFFFFF"/>
            <w:vAlign w:val="top"/>
          </w:tcPr>
          <w:p>
            <w:pPr>
              <w:spacing w:after="0"/>
            </w:pPr>
            <w:r/>
            <w:r>
              <w:rPr>
                <w:rFonts w:ascii="Calibri" w:hAnsi="Calibri"/>
                <w:b w:val="0"/>
                <w:sz w:val="19"/>
              </w:rPr>
              <w:t>Keep PPT visual polish as future enhancement, not blocker.</w:t>
            </w:r>
          </w:p>
        </w:tc>
      </w:tr>
      <w:tr>
        <w:tc>
          <w:tcPr>
            <w:tcW w:type="dxa" w:w="2268"/>
            <w:shd w:fill="FFFFFF"/>
            <w:vAlign w:val="top"/>
          </w:tcPr>
          <w:p>
            <w:pPr>
              <w:spacing w:after="0"/>
            </w:pPr>
            <w:r/>
            <w:r>
              <w:rPr>
                <w:rFonts w:ascii="Calibri" w:hAnsi="Calibri"/>
                <w:b w:val="0"/>
                <w:sz w:val="19"/>
              </w:rPr>
              <w:t>Security readiness</w:t>
            </w:r>
          </w:p>
        </w:tc>
        <w:tc>
          <w:tcPr>
            <w:tcW w:type="dxa" w:w="1361"/>
            <w:shd w:fill="FFF1CC"/>
            <w:vAlign w:val="top"/>
          </w:tcPr>
          <w:p>
            <w:pPr>
              <w:spacing w:after="0"/>
            </w:pPr>
            <w:r/>
            <w:r>
              <w:rPr>
                <w:rFonts w:ascii="Calibri" w:hAnsi="Calibri"/>
                <w:b/>
                <w:sz w:val="19"/>
              </w:rPr>
              <w:t>Amber</w:t>
            </w:r>
          </w:p>
        </w:tc>
        <w:tc>
          <w:tcPr>
            <w:tcW w:type="dxa" w:w="3515"/>
            <w:shd w:fill="FFFFFF"/>
            <w:vAlign w:val="top"/>
          </w:tcPr>
          <w:p>
            <w:pPr>
              <w:spacing w:after="0"/>
            </w:pPr>
            <w:r/>
            <w:r>
              <w:rPr>
                <w:rFonts w:ascii="Calibri" w:hAnsi="Calibri"/>
                <w:b w:val="0"/>
                <w:sz w:val="19"/>
              </w:rPr>
              <w:t>Configuration is separated from Admin, and delete safeguards exist. No authentication, role enforcement, row-level segmentation, or audit log yet.</w:t>
            </w:r>
          </w:p>
        </w:tc>
        <w:tc>
          <w:tcPr>
            <w:tcW w:type="dxa" w:w="2381"/>
            <w:shd w:fill="FFFFFF"/>
            <w:vAlign w:val="top"/>
          </w:tcPr>
          <w:p>
            <w:pPr>
              <w:spacing w:after="0"/>
            </w:pPr>
            <w:r/>
            <w:r>
              <w:rPr>
                <w:rFonts w:ascii="Calibri" w:hAnsi="Calibri"/>
                <w:b w:val="0"/>
                <w:sz w:val="19"/>
              </w:rPr>
              <w:t>Design roles before production: administrator, project manager, contributor, viewer.</w:t>
            </w:r>
          </w:p>
        </w:tc>
      </w:tr>
      <w:tr>
        <w:tc>
          <w:tcPr>
            <w:tcW w:type="dxa" w:w="2268"/>
            <w:shd w:fill="FFFFFF"/>
            <w:vAlign w:val="top"/>
          </w:tcPr>
          <w:p>
            <w:pPr>
              <w:spacing w:after="0"/>
            </w:pPr>
            <w:r/>
            <w:r>
              <w:rPr>
                <w:rFonts w:ascii="Calibri" w:hAnsi="Calibri"/>
                <w:b w:val="0"/>
                <w:sz w:val="19"/>
              </w:rPr>
              <w:t>Translation readiness</w:t>
            </w:r>
          </w:p>
        </w:tc>
        <w:tc>
          <w:tcPr>
            <w:tcW w:type="dxa" w:w="1361"/>
            <w:shd w:fill="FFF1CC"/>
            <w:vAlign w:val="top"/>
          </w:tcPr>
          <w:p>
            <w:pPr>
              <w:spacing w:after="0"/>
            </w:pPr>
            <w:r/>
            <w:r>
              <w:rPr>
                <w:rFonts w:ascii="Calibri" w:hAnsi="Calibri"/>
                <w:b/>
                <w:sz w:val="19"/>
              </w:rPr>
              <w:t>Amber</w:t>
            </w:r>
          </w:p>
        </w:tc>
        <w:tc>
          <w:tcPr>
            <w:tcW w:type="dxa" w:w="3515"/>
            <w:shd w:fill="FFFFFF"/>
            <w:vAlign w:val="top"/>
          </w:tcPr>
          <w:p>
            <w:pPr>
              <w:spacing w:after="0"/>
            </w:pPr>
            <w:r/>
            <w:r>
              <w:rPr>
                <w:rFonts w:ascii="Calibri" w:hAnsi="Calibri"/>
                <w:b w:val="0"/>
                <w:sz w:val="19"/>
              </w:rPr>
              <w:t>Schema has multilingual fields and report language mode. UI labels, statuses, report text, and validation messages are still mostly hardcoded English strings.</w:t>
            </w:r>
          </w:p>
        </w:tc>
        <w:tc>
          <w:tcPr>
            <w:tcW w:type="dxa" w:w="2381"/>
            <w:shd w:fill="FFFFFF"/>
            <w:vAlign w:val="top"/>
          </w:tcPr>
          <w:p>
            <w:pPr>
              <w:spacing w:after="0"/>
            </w:pPr>
            <w:r/>
            <w:r>
              <w:rPr>
                <w:rFonts w:ascii="Calibri" w:hAnsi="Calibri"/>
                <w:b w:val="0"/>
                <w:sz w:val="19"/>
              </w:rPr>
              <w:t>Introduce a translation catalog and message keys before adding Spanish UI.</w:t>
            </w:r>
          </w:p>
        </w:tc>
      </w:tr>
      <w:tr>
        <w:tc>
          <w:tcPr>
            <w:tcW w:type="dxa" w:w="2268"/>
            <w:shd w:fill="FFFFFF"/>
            <w:vAlign w:val="top"/>
          </w:tcPr>
          <w:p>
            <w:pPr>
              <w:spacing w:after="0"/>
            </w:pPr>
            <w:r/>
            <w:r>
              <w:rPr>
                <w:rFonts w:ascii="Calibri" w:hAnsi="Calibri"/>
                <w:b w:val="0"/>
                <w:sz w:val="19"/>
              </w:rPr>
              <w:t>Automated test readiness</w:t>
            </w:r>
          </w:p>
        </w:tc>
        <w:tc>
          <w:tcPr>
            <w:tcW w:type="dxa" w:w="1361"/>
            <w:shd w:fill="FFF1CC"/>
            <w:vAlign w:val="top"/>
          </w:tcPr>
          <w:p>
            <w:pPr>
              <w:spacing w:after="0"/>
            </w:pPr>
            <w:r/>
            <w:r>
              <w:rPr>
                <w:rFonts w:ascii="Calibri" w:hAnsi="Calibri"/>
                <w:b/>
                <w:sz w:val="19"/>
              </w:rPr>
              <w:t>Amber</w:t>
            </w:r>
          </w:p>
        </w:tc>
        <w:tc>
          <w:tcPr>
            <w:tcW w:type="dxa" w:w="3515"/>
            <w:shd w:fill="FFFFFF"/>
            <w:vAlign w:val="top"/>
          </w:tcPr>
          <w:p>
            <w:pPr>
              <w:spacing w:after="0"/>
            </w:pPr>
            <w:r/>
            <w:r>
              <w:rPr>
                <w:rFonts w:ascii="Calibri" w:hAnsi="Calibri"/>
                <w:b w:val="0"/>
                <w:sz w:val="19"/>
              </w:rPr>
              <w:t>Manual user validation has been strong; lint/build cover compilation. No automated regression suite exists for critical workflows.</w:t>
            </w:r>
          </w:p>
        </w:tc>
        <w:tc>
          <w:tcPr>
            <w:tcW w:type="dxa" w:w="2381"/>
            <w:shd w:fill="FFFFFF"/>
            <w:vAlign w:val="top"/>
          </w:tcPr>
          <w:p>
            <w:pPr>
              <w:spacing w:after="0"/>
            </w:pPr>
            <w:r/>
            <w:r>
              <w:rPr>
                <w:rFonts w:ascii="Calibri" w:hAnsi="Calibri"/>
                <w:b w:val="0"/>
                <w:sz w:val="19"/>
              </w:rPr>
              <w:t>Add smoke tests for project creation, report pack lifecycle, decisions, risks/actions, time tracking, and exports.</w:t>
            </w:r>
          </w:p>
        </w:tc>
      </w:tr>
      <w:tr>
        <w:tc>
          <w:tcPr>
            <w:tcW w:type="dxa" w:w="2268"/>
            <w:shd w:fill="FFFFFF"/>
            <w:vAlign w:val="top"/>
          </w:tcPr>
          <w:p>
            <w:pPr>
              <w:spacing w:after="0"/>
            </w:pPr>
            <w:r/>
            <w:r>
              <w:rPr>
                <w:rFonts w:ascii="Calibri" w:hAnsi="Calibri"/>
                <w:b w:val="0"/>
                <w:sz w:val="19"/>
              </w:rPr>
              <w:t>Operational safety</w:t>
            </w:r>
          </w:p>
        </w:tc>
        <w:tc>
          <w:tcPr>
            <w:tcW w:type="dxa" w:w="1361"/>
            <w:shd w:fill="FFF1CC"/>
            <w:vAlign w:val="top"/>
          </w:tcPr>
          <w:p>
            <w:pPr>
              <w:spacing w:after="0"/>
            </w:pPr>
            <w:r/>
            <w:r>
              <w:rPr>
                <w:rFonts w:ascii="Calibri" w:hAnsi="Calibri"/>
                <w:b/>
                <w:sz w:val="19"/>
              </w:rPr>
              <w:t>Amber</w:t>
            </w:r>
          </w:p>
        </w:tc>
        <w:tc>
          <w:tcPr>
            <w:tcW w:type="dxa" w:w="3515"/>
            <w:shd w:fill="FFFFFF"/>
            <w:vAlign w:val="top"/>
          </w:tcPr>
          <w:p>
            <w:pPr>
              <w:spacing w:after="0"/>
            </w:pPr>
            <w:r/>
            <w:r>
              <w:rPr>
                <w:rFonts w:ascii="Calibri" w:hAnsi="Calibri"/>
                <w:b w:val="0"/>
                <w:sz w:val="19"/>
              </w:rPr>
              <w:t>Powerful purge/reopen tools exist in Configuration. This is correct structurally but unsafe without roles and audit trail.</w:t>
            </w:r>
          </w:p>
        </w:tc>
        <w:tc>
          <w:tcPr>
            <w:tcW w:type="dxa" w:w="2381"/>
            <w:shd w:fill="FFFFFF"/>
            <w:vAlign w:val="top"/>
          </w:tcPr>
          <w:p>
            <w:pPr>
              <w:spacing w:after="0"/>
            </w:pPr>
            <w:r/>
            <w:r>
              <w:rPr>
                <w:rFonts w:ascii="Calibri" w:hAnsi="Calibri"/>
                <w:b w:val="0"/>
                <w:sz w:val="19"/>
              </w:rPr>
              <w:t>Add confirmation, permissions, and audit records before shared usage.</w:t>
            </w:r>
          </w:p>
        </w:tc>
      </w:tr>
      <w:tr>
        <w:tc>
          <w:tcPr>
            <w:tcW w:type="dxa" w:w="2268"/>
            <w:shd w:fill="FFFFFF"/>
            <w:vAlign w:val="top"/>
          </w:tcPr>
          <w:p>
            <w:pPr>
              <w:spacing w:after="0"/>
            </w:pPr>
            <w:r/>
            <w:r>
              <w:rPr>
                <w:rFonts w:ascii="Calibri" w:hAnsi="Calibri"/>
                <w:b w:val="0"/>
                <w:sz w:val="19"/>
              </w:rPr>
              <w:t>Documentation state</w:t>
            </w:r>
          </w:p>
        </w:tc>
        <w:tc>
          <w:tcPr>
            <w:tcW w:type="dxa" w:w="1361"/>
            <w:shd w:fill="FFF1CC"/>
            <w:vAlign w:val="top"/>
          </w:tcPr>
          <w:p>
            <w:pPr>
              <w:spacing w:after="0"/>
            </w:pPr>
            <w:r/>
            <w:r>
              <w:rPr>
                <w:rFonts w:ascii="Calibri" w:hAnsi="Calibri"/>
                <w:b/>
                <w:sz w:val="19"/>
              </w:rPr>
              <w:t>Amber</w:t>
            </w:r>
          </w:p>
        </w:tc>
        <w:tc>
          <w:tcPr>
            <w:tcW w:type="dxa" w:w="3515"/>
            <w:shd w:fill="FFFFFF"/>
            <w:vAlign w:val="top"/>
          </w:tcPr>
          <w:p>
            <w:pPr>
              <w:spacing w:after="0"/>
            </w:pPr>
            <w:r/>
            <w:r>
              <w:rPr>
                <w:rFonts w:ascii="Calibri" w:hAnsi="Calibri"/>
                <w:b w:val="0"/>
                <w:sz w:val="19"/>
              </w:rPr>
              <w:t>Current bridge register is updated. Older context/audit docs are historical and intentionally contain legacy references.</w:t>
            </w:r>
          </w:p>
        </w:tc>
        <w:tc>
          <w:tcPr>
            <w:tcW w:type="dxa" w:w="2381"/>
            <w:shd w:fill="FFFFFF"/>
            <w:vAlign w:val="top"/>
          </w:tcPr>
          <w:p>
            <w:pPr>
              <w:spacing w:after="0"/>
            </w:pPr>
            <w:r/>
            <w:r>
              <w:rPr>
                <w:rFonts w:ascii="Calibri" w:hAnsi="Calibri"/>
                <w:b w:val="0"/>
                <w:sz w:val="19"/>
              </w:rPr>
              <w:t>Add a 'historical' note or archive folder later to avoid confusion.</w:t>
            </w:r>
          </w:p>
        </w:tc>
      </w:tr>
    </w:tbl>
    <w:p/>
    <w:p>
      <w:pPr>
        <w:pStyle w:val="Heading1"/>
      </w:pPr>
      <w:r>
        <w:rPr>
          <w:rFonts w:ascii="Calibri" w:hAnsi="Calibri"/>
          <w:color w:val="1F4E79"/>
        </w:rPr>
        <w:t>Current Standardization Status By Area</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268"/>
            <w:shd w:fill="1F4E79"/>
            <w:vAlign w:val="center"/>
          </w:tcPr>
          <w:p>
            <w:pPr>
              <w:spacing w:after="0"/>
            </w:pPr>
            <w:r/>
            <w:r>
              <w:rPr>
                <w:rFonts w:ascii="Calibri" w:hAnsi="Calibri"/>
                <w:b/>
                <w:color w:val="FFFFFF"/>
                <w:sz w:val="19"/>
              </w:rPr>
              <w:t>Area</w:t>
            </w:r>
          </w:p>
        </w:tc>
        <w:tc>
          <w:tcPr>
            <w:tcW w:type="dxa" w:w="1814"/>
            <w:shd w:fill="1F4E79"/>
            <w:vAlign w:val="center"/>
          </w:tcPr>
          <w:p>
            <w:pPr>
              <w:spacing w:after="0"/>
            </w:pPr>
            <w:r/>
            <w:r>
              <w:rPr>
                <w:rFonts w:ascii="Calibri" w:hAnsi="Calibri"/>
                <w:b/>
                <w:color w:val="FFFFFF"/>
                <w:sz w:val="19"/>
              </w:rPr>
              <w:t>Standardization level</w:t>
            </w:r>
          </w:p>
        </w:tc>
        <w:tc>
          <w:tcPr>
            <w:tcW w:type="dxa" w:w="5272"/>
            <w:shd w:fill="1F4E79"/>
            <w:vAlign w:val="center"/>
          </w:tcPr>
          <w:p>
            <w:pPr>
              <w:spacing w:after="0"/>
            </w:pPr>
            <w:r/>
            <w:r>
              <w:rPr>
                <w:rFonts w:ascii="Calibri" w:hAnsi="Calibri"/>
                <w:b/>
                <w:color w:val="FFFFFF"/>
                <w:sz w:val="19"/>
              </w:rPr>
              <w:t>Notes</w:t>
            </w:r>
          </w:p>
        </w:tc>
      </w:tr>
      <w:tr>
        <w:tc>
          <w:tcPr>
            <w:tcW w:type="dxa" w:w="2268"/>
            <w:shd w:fill="FFFFFF"/>
            <w:vAlign w:val="top"/>
          </w:tcPr>
          <w:p>
            <w:pPr>
              <w:spacing w:after="0"/>
            </w:pPr>
            <w:r/>
            <w:r>
              <w:rPr>
                <w:rFonts w:ascii="Calibri" w:hAnsi="Calibri"/>
                <w:b w:val="0"/>
                <w:sz w:val="19"/>
              </w:rPr>
              <w:t>Executive reporting package</w:t>
            </w:r>
          </w:p>
        </w:tc>
        <w:tc>
          <w:tcPr>
            <w:tcW w:type="dxa" w:w="1814"/>
            <w:shd w:fill="FFFFFF"/>
            <w:vAlign w:val="top"/>
          </w:tcPr>
          <w:p>
            <w:pPr>
              <w:spacing w:after="0"/>
            </w:pPr>
            <w:r/>
            <w:r>
              <w:rPr>
                <w:rFonts w:ascii="Calibri" w:hAnsi="Calibri"/>
                <w:b w:val="0"/>
                <w:sz w:val="19"/>
              </w:rPr>
              <w:t>High</w:t>
            </w:r>
          </w:p>
        </w:tc>
        <w:tc>
          <w:tcPr>
            <w:tcW w:type="dxa" w:w="5272"/>
            <w:shd w:fill="FFFFFF"/>
            <w:vAlign w:val="top"/>
          </w:tcPr>
          <w:p>
            <w:pPr>
              <w:spacing w:after="0"/>
            </w:pPr>
            <w:r/>
            <w:r>
              <w:rPr>
                <w:rFonts w:ascii="Calibri" w:hAnsi="Calibri"/>
                <w:b w:val="0"/>
                <w:sz w:val="19"/>
              </w:rPr>
              <w:t>Reference implementation for domain-driven data, lifecycle safeguards, and output contracts.</w:t>
            </w:r>
          </w:p>
        </w:tc>
      </w:tr>
      <w:tr>
        <w:tc>
          <w:tcPr>
            <w:tcW w:type="dxa" w:w="2268"/>
            <w:shd w:fill="F3F6F9"/>
            <w:vAlign w:val="top"/>
          </w:tcPr>
          <w:p>
            <w:pPr>
              <w:spacing w:after="0"/>
            </w:pPr>
            <w:r/>
            <w:r>
              <w:rPr>
                <w:rFonts w:ascii="Calibri" w:hAnsi="Calibri"/>
                <w:b w:val="0"/>
                <w:sz w:val="19"/>
              </w:rPr>
              <w:t>Projects and project execution</w:t>
            </w:r>
          </w:p>
        </w:tc>
        <w:tc>
          <w:tcPr>
            <w:tcW w:type="dxa" w:w="1814"/>
            <w:shd w:fill="F3F6F9"/>
            <w:vAlign w:val="top"/>
          </w:tcPr>
          <w:p>
            <w:pPr>
              <w:spacing w:after="0"/>
            </w:pPr>
            <w:r/>
            <w:r>
              <w:rPr>
                <w:rFonts w:ascii="Calibri" w:hAnsi="Calibri"/>
                <w:b w:val="0"/>
                <w:sz w:val="19"/>
              </w:rPr>
              <w:t>High</w:t>
            </w:r>
          </w:p>
        </w:tc>
        <w:tc>
          <w:tcPr>
            <w:tcW w:type="dxa" w:w="5272"/>
            <w:shd w:fill="F3F6F9"/>
            <w:vAlign w:val="top"/>
          </w:tcPr>
          <w:p>
            <w:pPr>
              <w:spacing w:after="0"/>
            </w:pPr>
            <w:r/>
            <w:r>
              <w:rPr>
                <w:rFonts w:ascii="Calibri" w:hAnsi="Calibri"/>
                <w:b w:val="0"/>
                <w:sz w:val="19"/>
              </w:rPr>
              <w:t>Project, workstream, milestone, task/subtask, timeline, and delete behavior are standardized and user-tested.</w:t>
            </w:r>
          </w:p>
        </w:tc>
      </w:tr>
      <w:tr>
        <w:tc>
          <w:tcPr>
            <w:tcW w:type="dxa" w:w="2268"/>
            <w:shd w:fill="FFFFFF"/>
            <w:vAlign w:val="top"/>
          </w:tcPr>
          <w:p>
            <w:pPr>
              <w:spacing w:after="0"/>
            </w:pPr>
            <w:r/>
            <w:r>
              <w:rPr>
                <w:rFonts w:ascii="Calibri" w:hAnsi="Calibri"/>
                <w:b w:val="0"/>
                <w:sz w:val="19"/>
              </w:rPr>
              <w:t>Decisions</w:t>
            </w:r>
          </w:p>
        </w:tc>
        <w:tc>
          <w:tcPr>
            <w:tcW w:type="dxa" w:w="1814"/>
            <w:shd w:fill="FFFFFF"/>
            <w:vAlign w:val="top"/>
          </w:tcPr>
          <w:p>
            <w:pPr>
              <w:spacing w:after="0"/>
            </w:pPr>
            <w:r/>
            <w:r>
              <w:rPr>
                <w:rFonts w:ascii="Calibri" w:hAnsi="Calibri"/>
                <w:b w:val="0"/>
                <w:sz w:val="19"/>
              </w:rPr>
              <w:t>High</w:t>
            </w:r>
          </w:p>
        </w:tc>
        <w:tc>
          <w:tcPr>
            <w:tcW w:type="dxa" w:w="5272"/>
            <w:shd w:fill="FFFFFF"/>
            <w:vAlign w:val="top"/>
          </w:tcPr>
          <w:p>
            <w:pPr>
              <w:spacing w:after="0"/>
            </w:pPr>
            <w:r/>
            <w:r>
              <w:rPr>
                <w:rFonts w:ascii="Calibri" w:hAnsi="Calibri"/>
                <w:b w:val="0"/>
                <w:sz w:val="19"/>
              </w:rPr>
              <w:t>Uses generic Status, scoped usage, delete only when Open, reporting visibility, and executive attention logic.</w:t>
            </w:r>
          </w:p>
        </w:tc>
      </w:tr>
      <w:tr>
        <w:tc>
          <w:tcPr>
            <w:tcW w:type="dxa" w:w="2268"/>
            <w:shd w:fill="F3F6F9"/>
            <w:vAlign w:val="top"/>
          </w:tcPr>
          <w:p>
            <w:pPr>
              <w:spacing w:after="0"/>
            </w:pPr>
            <w:r/>
            <w:r>
              <w:rPr>
                <w:rFonts w:ascii="Calibri" w:hAnsi="Calibri"/>
                <w:b w:val="0"/>
                <w:sz w:val="19"/>
              </w:rPr>
              <w:t>Risks and risk actions</w:t>
            </w:r>
          </w:p>
        </w:tc>
        <w:tc>
          <w:tcPr>
            <w:tcW w:type="dxa" w:w="1814"/>
            <w:shd w:fill="F3F6F9"/>
            <w:vAlign w:val="top"/>
          </w:tcPr>
          <w:p>
            <w:pPr>
              <w:spacing w:after="0"/>
            </w:pPr>
            <w:r/>
            <w:r>
              <w:rPr>
                <w:rFonts w:ascii="Calibri" w:hAnsi="Calibri"/>
                <w:b w:val="0"/>
                <w:sz w:val="19"/>
              </w:rPr>
              <w:t>High</w:t>
            </w:r>
          </w:p>
        </w:tc>
        <w:tc>
          <w:tcPr>
            <w:tcW w:type="dxa" w:w="5272"/>
            <w:shd w:fill="F3F6F9"/>
            <w:vAlign w:val="top"/>
          </w:tcPr>
          <w:p>
            <w:pPr>
              <w:spacing w:after="0"/>
            </w:pPr>
            <w:r/>
            <w:r>
              <w:rPr>
                <w:rFonts w:ascii="Calibri" w:hAnsi="Calibri"/>
                <w:b w:val="0"/>
                <w:sz w:val="19"/>
              </w:rPr>
              <w:t>Uses generic Status, mitigation action nesting, delete safeguards, cockpit metrics, and report inclusion logic.</w:t>
            </w:r>
          </w:p>
        </w:tc>
      </w:tr>
      <w:tr>
        <w:tc>
          <w:tcPr>
            <w:tcW w:type="dxa" w:w="2268"/>
            <w:shd w:fill="FFFFFF"/>
            <w:vAlign w:val="top"/>
          </w:tcPr>
          <w:p>
            <w:pPr>
              <w:spacing w:after="0"/>
            </w:pPr>
            <w:r/>
            <w:r>
              <w:rPr>
                <w:rFonts w:ascii="Calibri" w:hAnsi="Calibri"/>
                <w:b w:val="0"/>
                <w:sz w:val="19"/>
              </w:rPr>
              <w:t>Organizations and contacts</w:t>
            </w:r>
          </w:p>
        </w:tc>
        <w:tc>
          <w:tcPr>
            <w:tcW w:type="dxa" w:w="1814"/>
            <w:shd w:fill="FFFFFF"/>
            <w:vAlign w:val="top"/>
          </w:tcPr>
          <w:p>
            <w:pPr>
              <w:spacing w:after="0"/>
            </w:pPr>
            <w:r/>
            <w:r>
              <w:rPr>
                <w:rFonts w:ascii="Calibri" w:hAnsi="Calibri"/>
                <w:b w:val="0"/>
                <w:sz w:val="19"/>
              </w:rPr>
              <w:t>Medium-high</w:t>
            </w:r>
          </w:p>
        </w:tc>
        <w:tc>
          <w:tcPr>
            <w:tcW w:type="dxa" w:w="5272"/>
            <w:shd w:fill="FFFFFF"/>
            <w:vAlign w:val="top"/>
          </w:tcPr>
          <w:p>
            <w:pPr>
              <w:spacing w:after="0"/>
            </w:pPr>
            <w:r/>
            <w:r>
              <w:rPr>
                <w:rFonts w:ascii="Calibri" w:hAnsi="Calibri"/>
                <w:b w:val="0"/>
                <w:sz w:val="19"/>
              </w:rPr>
              <w:t>Working and structured around organization records; project manager and sponsor now use contacts.</w:t>
            </w:r>
          </w:p>
        </w:tc>
      </w:tr>
      <w:tr>
        <w:tc>
          <w:tcPr>
            <w:tcW w:type="dxa" w:w="2268"/>
            <w:shd w:fill="F3F6F9"/>
            <w:vAlign w:val="top"/>
          </w:tcPr>
          <w:p>
            <w:pPr>
              <w:spacing w:after="0"/>
            </w:pPr>
            <w:r/>
            <w:r>
              <w:rPr>
                <w:rFonts w:ascii="Calibri" w:hAnsi="Calibri"/>
                <w:b w:val="0"/>
                <w:sz w:val="19"/>
              </w:rPr>
              <w:t>Time tracking</w:t>
            </w:r>
          </w:p>
        </w:tc>
        <w:tc>
          <w:tcPr>
            <w:tcW w:type="dxa" w:w="1814"/>
            <w:shd w:fill="F3F6F9"/>
            <w:vAlign w:val="top"/>
          </w:tcPr>
          <w:p>
            <w:pPr>
              <w:spacing w:after="0"/>
            </w:pPr>
            <w:r/>
            <w:r>
              <w:rPr>
                <w:rFonts w:ascii="Calibri" w:hAnsi="Calibri"/>
                <w:b w:val="0"/>
                <w:sz w:val="19"/>
              </w:rPr>
              <w:t>Medium-high</w:t>
            </w:r>
          </w:p>
        </w:tc>
        <w:tc>
          <w:tcPr>
            <w:tcW w:type="dxa" w:w="5272"/>
            <w:shd w:fill="F3F6F9"/>
            <w:vAlign w:val="top"/>
          </w:tcPr>
          <w:p>
            <w:pPr>
              <w:spacing w:after="0"/>
            </w:pPr>
            <w:r/>
            <w:r>
              <w:rPr>
                <w:rFonts w:ascii="Calibri" w:hAnsi="Calibri"/>
                <w:b w:val="0"/>
                <w:sz w:val="19"/>
              </w:rPr>
              <w:t>Functional and standardized enough for current use; page still has direct query/action structure.</w:t>
            </w:r>
          </w:p>
        </w:tc>
      </w:tr>
      <w:tr>
        <w:tc>
          <w:tcPr>
            <w:tcW w:type="dxa" w:w="2268"/>
            <w:shd w:fill="FFFFFF"/>
            <w:vAlign w:val="top"/>
          </w:tcPr>
          <w:p>
            <w:pPr>
              <w:spacing w:after="0"/>
            </w:pPr>
            <w:r/>
            <w:r>
              <w:rPr>
                <w:rFonts w:ascii="Calibri" w:hAnsi="Calibri"/>
                <w:b w:val="0"/>
                <w:sz w:val="19"/>
              </w:rPr>
              <w:t>Business admin tables</w:t>
            </w:r>
          </w:p>
        </w:tc>
        <w:tc>
          <w:tcPr>
            <w:tcW w:type="dxa" w:w="1814"/>
            <w:shd w:fill="FFFFFF"/>
            <w:vAlign w:val="top"/>
          </w:tcPr>
          <w:p>
            <w:pPr>
              <w:spacing w:after="0"/>
            </w:pPr>
            <w:r/>
            <w:r>
              <w:rPr>
                <w:rFonts w:ascii="Calibri" w:hAnsi="Calibri"/>
                <w:b w:val="0"/>
                <w:sz w:val="19"/>
              </w:rPr>
              <w:t>Medium-high</w:t>
            </w:r>
          </w:p>
        </w:tc>
        <w:tc>
          <w:tcPr>
            <w:tcW w:type="dxa" w:w="5272"/>
            <w:shd w:fill="FFFFFF"/>
            <w:vAlign w:val="top"/>
          </w:tcPr>
          <w:p>
            <w:pPr>
              <w:spacing w:after="0"/>
            </w:pPr>
            <w:r/>
            <w:r>
              <w:rPr>
                <w:rFonts w:ascii="Calibri" w:hAnsi="Calibri"/>
                <w:b w:val="0"/>
                <w:sz w:val="19"/>
              </w:rPr>
              <w:t>Consistent CRUD, activation/deactivation, safeguards, and table styling. Some reusable form/table primitives can be adopted further over time.</w:t>
            </w:r>
          </w:p>
        </w:tc>
      </w:tr>
      <w:tr>
        <w:tc>
          <w:tcPr>
            <w:tcW w:type="dxa" w:w="2268"/>
            <w:shd w:fill="F3F6F9"/>
            <w:vAlign w:val="top"/>
          </w:tcPr>
          <w:p>
            <w:pPr>
              <w:spacing w:after="0"/>
            </w:pPr>
            <w:r/>
            <w:r>
              <w:rPr>
                <w:rFonts w:ascii="Calibri" w:hAnsi="Calibri"/>
                <w:b w:val="0"/>
                <w:sz w:val="19"/>
              </w:rPr>
              <w:t>Configuration tools</w:t>
            </w:r>
          </w:p>
        </w:tc>
        <w:tc>
          <w:tcPr>
            <w:tcW w:type="dxa" w:w="1814"/>
            <w:shd w:fill="F3F6F9"/>
            <w:vAlign w:val="top"/>
          </w:tcPr>
          <w:p>
            <w:pPr>
              <w:spacing w:after="0"/>
            </w:pPr>
            <w:r/>
            <w:r>
              <w:rPr>
                <w:rFonts w:ascii="Calibri" w:hAnsi="Calibri"/>
                <w:b w:val="0"/>
                <w:sz w:val="19"/>
              </w:rPr>
              <w:t>Medium</w:t>
            </w:r>
          </w:p>
        </w:tc>
        <w:tc>
          <w:tcPr>
            <w:tcW w:type="dxa" w:w="5272"/>
            <w:shd w:fill="F3F6F9"/>
            <w:vAlign w:val="top"/>
          </w:tcPr>
          <w:p>
            <w:pPr>
              <w:spacing w:after="0"/>
            </w:pPr>
            <w:r/>
            <w:r>
              <w:rPr>
                <w:rFonts w:ascii="Calibri" w:hAnsi="Calibri"/>
                <w:b w:val="0"/>
                <w:sz w:val="19"/>
              </w:rPr>
              <w:t>Correctly separated for future security; intentionally powerful and should be locked down first.</w:t>
            </w:r>
          </w:p>
        </w:tc>
      </w:tr>
      <w:tr>
        <w:tc>
          <w:tcPr>
            <w:tcW w:type="dxa" w:w="2268"/>
            <w:shd w:fill="FFFFFF"/>
            <w:vAlign w:val="top"/>
          </w:tcPr>
          <w:p>
            <w:pPr>
              <w:spacing w:after="0"/>
            </w:pPr>
            <w:r/>
            <w:r>
              <w:rPr>
                <w:rFonts w:ascii="Calibri" w:hAnsi="Calibri"/>
                <w:b w:val="0"/>
                <w:sz w:val="19"/>
              </w:rPr>
              <w:t>PDF output</w:t>
            </w:r>
          </w:p>
        </w:tc>
        <w:tc>
          <w:tcPr>
            <w:tcW w:type="dxa" w:w="1814"/>
            <w:shd w:fill="FFFFFF"/>
            <w:vAlign w:val="top"/>
          </w:tcPr>
          <w:p>
            <w:pPr>
              <w:spacing w:after="0"/>
            </w:pPr>
            <w:r/>
            <w:r>
              <w:rPr>
                <w:rFonts w:ascii="Calibri" w:hAnsi="Calibri"/>
                <w:b w:val="0"/>
                <w:sz w:val="19"/>
              </w:rPr>
              <w:t>High</w:t>
            </w:r>
          </w:p>
        </w:tc>
        <w:tc>
          <w:tcPr>
            <w:tcW w:type="dxa" w:w="5272"/>
            <w:shd w:fill="FFFFFF"/>
            <w:vAlign w:val="top"/>
          </w:tcPr>
          <w:p>
            <w:pPr>
              <w:spacing w:after="0"/>
            </w:pPr>
            <w:r/>
            <w:r>
              <w:rPr>
                <w:rFonts w:ascii="Calibri" w:hAnsi="Calibri"/>
                <w:b w:val="0"/>
                <w:sz w:val="19"/>
              </w:rPr>
              <w:t>Server-side PDF and Gantt output are consistent with screen expectations.</w:t>
            </w:r>
          </w:p>
        </w:tc>
      </w:tr>
      <w:tr>
        <w:tc>
          <w:tcPr>
            <w:tcW w:type="dxa" w:w="2268"/>
            <w:shd w:fill="F3F6F9"/>
            <w:vAlign w:val="top"/>
          </w:tcPr>
          <w:p>
            <w:pPr>
              <w:spacing w:after="0"/>
            </w:pPr>
            <w:r/>
            <w:r>
              <w:rPr>
                <w:rFonts w:ascii="Calibri" w:hAnsi="Calibri"/>
                <w:b w:val="0"/>
                <w:sz w:val="19"/>
              </w:rPr>
              <w:t>PPT output</w:t>
            </w:r>
          </w:p>
        </w:tc>
        <w:tc>
          <w:tcPr>
            <w:tcW w:type="dxa" w:w="1814"/>
            <w:shd w:fill="F3F6F9"/>
            <w:vAlign w:val="top"/>
          </w:tcPr>
          <w:p>
            <w:pPr>
              <w:spacing w:after="0"/>
            </w:pPr>
            <w:r/>
            <w:r>
              <w:rPr>
                <w:rFonts w:ascii="Calibri" w:hAnsi="Calibri"/>
                <w:b w:val="0"/>
                <w:sz w:val="19"/>
              </w:rPr>
              <w:t>Medium</w:t>
            </w:r>
          </w:p>
        </w:tc>
        <w:tc>
          <w:tcPr>
            <w:tcW w:type="dxa" w:w="5272"/>
            <w:shd w:fill="F3F6F9"/>
            <w:vAlign w:val="top"/>
          </w:tcPr>
          <w:p>
            <w:pPr>
              <w:spacing w:after="0"/>
            </w:pPr>
            <w:r/>
            <w:r>
              <w:rPr>
                <w:rFonts w:ascii="Calibri" w:hAnsi="Calibri"/>
                <w:b w:val="0"/>
                <w:sz w:val="19"/>
              </w:rPr>
              <w:t>Functionally aligned with shared data model; visual quality can be improved later.</w:t>
            </w:r>
          </w:p>
        </w:tc>
      </w:tr>
    </w:tbl>
    <w:p/>
    <w:p>
      <w:pPr>
        <w:pStyle w:val="Heading1"/>
      </w:pPr>
      <w:r>
        <w:rPr>
          <w:rFonts w:ascii="Calibri" w:hAnsi="Calibri"/>
          <w:color w:val="1F4E79"/>
        </w:rPr>
        <w:t>Recommended Hardening Roadmap</w:t>
      </w:r>
    </w:p>
    <w:p>
      <w:pPr>
        <w:pStyle w:val="ListNumber"/>
        <w:spacing w:after="80"/>
      </w:pPr>
      <w:r>
        <w:t>Freeze the current development baseline with a backup and optional source control checkpoint.</w:t>
      </w:r>
    </w:p>
    <w:p>
      <w:pPr>
        <w:pStyle w:val="ListNumber"/>
        <w:spacing w:after="80"/>
      </w:pPr>
      <w:r>
        <w:t>Create a small automated regression suite for the workflows that users have validated manually.</w:t>
      </w:r>
    </w:p>
    <w:p>
      <w:pPr>
        <w:pStyle w:val="ListNumber"/>
        <w:spacing w:after="80"/>
      </w:pPr>
      <w:r>
        <w:t>Design the security model: roles, route groups, record-level project access, configuration-only permissions, and audit logging.</w:t>
      </w:r>
    </w:p>
    <w:p>
      <w:pPr>
        <w:pStyle w:val="ListNumber"/>
        <w:spacing w:after="80"/>
      </w:pPr>
      <w:r>
        <w:t>Implement audit log records for destructive and privileged operations, especially configuration purge and reporting pack reopening.</w:t>
      </w:r>
    </w:p>
    <w:p>
      <w:pPr>
        <w:pStyle w:val="ListNumber"/>
        <w:spacing w:after="80"/>
      </w:pPr>
      <w:r>
        <w:t>Introduce a translation catalog and replace hardcoded labels/messages progressively by entity.</w:t>
      </w:r>
    </w:p>
    <w:p>
      <w:pPr>
        <w:pStyle w:val="ListNumber"/>
        <w:spacing w:after="80"/>
      </w:pPr>
      <w:r>
        <w:t>Standardize remaining page-level admin/time tracking actions only when changing those areas for business reasons.</w:t>
      </w:r>
    </w:p>
    <w:p>
      <w:pPr>
        <w:pStyle w:val="ListNumber"/>
        <w:spacing w:after="80"/>
      </w:pPr>
      <w:r>
        <w:t>Polish PPT output after security and test foundations are in place.</w:t>
      </w:r>
    </w:p>
    <w:p>
      <w:pPr>
        <w:pStyle w:val="Heading1"/>
      </w:pPr>
      <w:r>
        <w:rPr>
          <w:rFonts w:ascii="Calibri" w:hAnsi="Calibri"/>
          <w:color w:val="1F4E79"/>
        </w:rPr>
        <w:t>Security And Segmentation Readiness</w:t>
      </w:r>
    </w:p>
    <w:p>
      <w:r>
        <w:t>The architecture is now ready to receive a security layer, but security is not yet implemented. The most important design choice is to keep configuration functions separate from normal business administration. This has already started structurally, which is good. The next step is to enforce it technically.</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814"/>
            <w:shd w:fill="1F4E79"/>
            <w:vAlign w:val="center"/>
          </w:tcPr>
          <w:p>
            <w:pPr>
              <w:spacing w:after="0"/>
            </w:pPr>
            <w:r/>
            <w:r>
              <w:rPr>
                <w:rFonts w:ascii="Calibri" w:hAnsi="Calibri"/>
                <w:b/>
                <w:color w:val="FFFFFF"/>
                <w:sz w:val="19"/>
              </w:rPr>
              <w:t>Future role</w:t>
            </w:r>
          </w:p>
        </w:tc>
        <w:tc>
          <w:tcPr>
            <w:tcW w:type="dxa" w:w="4649"/>
            <w:shd w:fill="1F4E79"/>
            <w:vAlign w:val="center"/>
          </w:tcPr>
          <w:p>
            <w:pPr>
              <w:spacing w:after="0"/>
            </w:pPr>
            <w:r/>
            <w:r>
              <w:rPr>
                <w:rFonts w:ascii="Calibri" w:hAnsi="Calibri"/>
                <w:b/>
                <w:color w:val="FFFFFF"/>
                <w:sz w:val="19"/>
              </w:rPr>
              <w:t>Typical permissions</w:t>
            </w:r>
          </w:p>
        </w:tc>
        <w:tc>
          <w:tcPr>
            <w:tcW w:type="dxa" w:w="2891"/>
            <w:shd w:fill="1F4E79"/>
            <w:vAlign w:val="center"/>
          </w:tcPr>
          <w:p>
            <w:pPr>
              <w:spacing w:after="0"/>
            </w:pPr>
            <w:r/>
            <w:r>
              <w:rPr>
                <w:rFonts w:ascii="Calibri" w:hAnsi="Calibri"/>
                <w:b/>
                <w:color w:val="FFFFFF"/>
                <w:sz w:val="19"/>
              </w:rPr>
              <w:t>Notes</w:t>
            </w:r>
          </w:p>
        </w:tc>
      </w:tr>
      <w:tr>
        <w:tc>
          <w:tcPr>
            <w:tcW w:type="dxa" w:w="1814"/>
            <w:shd w:fill="FFFFFF"/>
            <w:vAlign w:val="top"/>
          </w:tcPr>
          <w:p>
            <w:pPr>
              <w:spacing w:after="0"/>
            </w:pPr>
            <w:r/>
            <w:r>
              <w:rPr>
                <w:rFonts w:ascii="Calibri" w:hAnsi="Calibri"/>
                <w:b w:val="0"/>
                <w:sz w:val="19"/>
              </w:rPr>
              <w:t>Administrator</w:t>
            </w:r>
          </w:p>
        </w:tc>
        <w:tc>
          <w:tcPr>
            <w:tcW w:type="dxa" w:w="4649"/>
            <w:shd w:fill="FFFFFF"/>
            <w:vAlign w:val="top"/>
          </w:tcPr>
          <w:p>
            <w:pPr>
              <w:spacing w:after="0"/>
            </w:pPr>
            <w:r/>
            <w:r>
              <w:rPr>
                <w:rFonts w:ascii="Calibri" w:hAnsi="Calibri"/>
                <w:b w:val="0"/>
                <w:sz w:val="19"/>
              </w:rPr>
              <w:t>Configuration, status usage, business code reset/purge, reporting pack reopening, user/security setup.</w:t>
            </w:r>
          </w:p>
        </w:tc>
        <w:tc>
          <w:tcPr>
            <w:tcW w:type="dxa" w:w="2891"/>
            <w:shd w:fill="FFFFFF"/>
            <w:vAlign w:val="top"/>
          </w:tcPr>
          <w:p>
            <w:pPr>
              <w:spacing w:after="0"/>
            </w:pPr>
            <w:r/>
            <w:r>
              <w:rPr>
                <w:rFonts w:ascii="Calibri" w:hAnsi="Calibri"/>
                <w:b w:val="0"/>
                <w:sz w:val="19"/>
              </w:rPr>
              <w:t>Highest privilege; all actions should be audit logged.</w:t>
            </w:r>
          </w:p>
        </w:tc>
      </w:tr>
      <w:tr>
        <w:tc>
          <w:tcPr>
            <w:tcW w:type="dxa" w:w="1814"/>
            <w:shd w:fill="F3F6F9"/>
            <w:vAlign w:val="top"/>
          </w:tcPr>
          <w:p>
            <w:pPr>
              <w:spacing w:after="0"/>
            </w:pPr>
            <w:r/>
            <w:r>
              <w:rPr>
                <w:rFonts w:ascii="Calibri" w:hAnsi="Calibri"/>
                <w:b w:val="0"/>
                <w:sz w:val="19"/>
              </w:rPr>
              <w:t>Project Manager</w:t>
            </w:r>
          </w:p>
        </w:tc>
        <w:tc>
          <w:tcPr>
            <w:tcW w:type="dxa" w:w="4649"/>
            <w:shd w:fill="F3F6F9"/>
            <w:vAlign w:val="top"/>
          </w:tcPr>
          <w:p>
            <w:pPr>
              <w:spacing w:after="0"/>
            </w:pPr>
            <w:r/>
            <w:r>
              <w:rPr>
                <w:rFonts w:ascii="Calibri" w:hAnsi="Calibri"/>
                <w:b w:val="0"/>
                <w:sz w:val="19"/>
              </w:rPr>
              <w:t>Create/update projects, report packs, decisions, risks, milestones, workstreams, tasks, and time entries for assigned projects.</w:t>
            </w:r>
          </w:p>
        </w:tc>
        <w:tc>
          <w:tcPr>
            <w:tcW w:type="dxa" w:w="2891"/>
            <w:shd w:fill="F3F6F9"/>
            <w:vAlign w:val="top"/>
          </w:tcPr>
          <w:p>
            <w:pPr>
              <w:spacing w:after="0"/>
            </w:pPr>
            <w:r/>
            <w:r>
              <w:rPr>
                <w:rFonts w:ascii="Calibri" w:hAnsi="Calibri"/>
                <w:b w:val="0"/>
                <w:sz w:val="19"/>
              </w:rPr>
              <w:t>Main business role.</w:t>
            </w:r>
          </w:p>
        </w:tc>
      </w:tr>
      <w:tr>
        <w:tc>
          <w:tcPr>
            <w:tcW w:type="dxa" w:w="1814"/>
            <w:shd w:fill="FFFFFF"/>
            <w:vAlign w:val="top"/>
          </w:tcPr>
          <w:p>
            <w:pPr>
              <w:spacing w:after="0"/>
            </w:pPr>
            <w:r/>
            <w:r>
              <w:rPr>
                <w:rFonts w:ascii="Calibri" w:hAnsi="Calibri"/>
                <w:b w:val="0"/>
                <w:sz w:val="19"/>
              </w:rPr>
              <w:t>Contributor</w:t>
            </w:r>
          </w:p>
        </w:tc>
        <w:tc>
          <w:tcPr>
            <w:tcW w:type="dxa" w:w="4649"/>
            <w:shd w:fill="FFFFFF"/>
            <w:vAlign w:val="top"/>
          </w:tcPr>
          <w:p>
            <w:pPr>
              <w:spacing w:after="0"/>
            </w:pPr>
            <w:r/>
            <w:r>
              <w:rPr>
                <w:rFonts w:ascii="Calibri" w:hAnsi="Calibri"/>
                <w:b w:val="0"/>
                <w:sz w:val="19"/>
              </w:rPr>
              <w:t>Update assigned risks/actions, decisions, tasks, and time entries.</w:t>
            </w:r>
          </w:p>
        </w:tc>
        <w:tc>
          <w:tcPr>
            <w:tcW w:type="dxa" w:w="2891"/>
            <w:shd w:fill="FFFFFF"/>
            <w:vAlign w:val="top"/>
          </w:tcPr>
          <w:p>
            <w:pPr>
              <w:spacing w:after="0"/>
            </w:pPr>
            <w:r/>
            <w:r>
              <w:rPr>
                <w:rFonts w:ascii="Calibri" w:hAnsi="Calibri"/>
                <w:b w:val="0"/>
                <w:sz w:val="19"/>
              </w:rPr>
              <w:t>Should not control configuration or purge data.</w:t>
            </w:r>
          </w:p>
        </w:tc>
      </w:tr>
      <w:tr>
        <w:tc>
          <w:tcPr>
            <w:tcW w:type="dxa" w:w="1814"/>
            <w:shd w:fill="F3F6F9"/>
            <w:vAlign w:val="top"/>
          </w:tcPr>
          <w:p>
            <w:pPr>
              <w:spacing w:after="0"/>
            </w:pPr>
            <w:r/>
            <w:r>
              <w:rPr>
                <w:rFonts w:ascii="Calibri" w:hAnsi="Calibri"/>
                <w:b w:val="0"/>
                <w:sz w:val="19"/>
              </w:rPr>
              <w:t>Viewer</w:t>
            </w:r>
          </w:p>
        </w:tc>
        <w:tc>
          <w:tcPr>
            <w:tcW w:type="dxa" w:w="4649"/>
            <w:shd w:fill="F3F6F9"/>
            <w:vAlign w:val="top"/>
          </w:tcPr>
          <w:p>
            <w:pPr>
              <w:spacing w:after="0"/>
            </w:pPr>
            <w:r/>
            <w:r>
              <w:rPr>
                <w:rFonts w:ascii="Calibri" w:hAnsi="Calibri"/>
                <w:b w:val="0"/>
                <w:sz w:val="19"/>
              </w:rPr>
              <w:t>Read project and executive reporting information.</w:t>
            </w:r>
          </w:p>
        </w:tc>
        <w:tc>
          <w:tcPr>
            <w:tcW w:type="dxa" w:w="2891"/>
            <w:shd w:fill="F3F6F9"/>
            <w:vAlign w:val="top"/>
          </w:tcPr>
          <w:p>
            <w:pPr>
              <w:spacing w:after="0"/>
            </w:pPr>
            <w:r/>
            <w:r>
              <w:rPr>
                <w:rFonts w:ascii="Calibri" w:hAnsi="Calibri"/>
                <w:b w:val="0"/>
                <w:sz w:val="19"/>
              </w:rPr>
              <w:t>Useful for steering committee and client views.</w:t>
            </w:r>
          </w:p>
        </w:tc>
      </w:tr>
    </w:tbl>
    <w:p/>
    <w:p>
      <w:pPr>
        <w:pStyle w:val="Heading1"/>
      </w:pPr>
      <w:r>
        <w:rPr>
          <w:rFonts w:ascii="Calibri" w:hAnsi="Calibri"/>
          <w:color w:val="1F4E79"/>
        </w:rPr>
        <w:t>Translation Readiness</w:t>
      </w:r>
    </w:p>
    <w:p>
      <w:pPr>
        <w:pStyle w:val="ListBullet"/>
        <w:spacing w:after="80"/>
      </w:pPr>
      <w:r>
        <w:t>The data model already includes several Spanish fields such as nameEs and descriptionEs.</w:t>
      </w:r>
    </w:p>
    <w:p>
      <w:pPr>
        <w:pStyle w:val="ListBullet"/>
        <w:spacing w:after="80"/>
      </w:pPr>
      <w:r>
        <w:t>The report language model exists, but UI and validation strings are still embedded in components/actions.</w:t>
      </w:r>
    </w:p>
    <w:p>
      <w:pPr>
        <w:pStyle w:val="ListBullet"/>
        <w:spacing w:after="80"/>
      </w:pPr>
      <w:r>
        <w:t>Statuses should continue to be centralized so labels can be translated once per status rather than per page.</w:t>
      </w:r>
    </w:p>
    <w:p>
      <w:pPr>
        <w:pStyle w:val="ListBullet"/>
        <w:spacing w:after="80"/>
      </w:pPr>
      <w:r>
        <w:t>Before adding Spanish UI, introduce a message catalog and helper for validation/action messages.</w:t>
      </w:r>
    </w:p>
    <w:p>
      <w:pPr>
        <w:pStyle w:val="ListBullet"/>
        <w:spacing w:after="80"/>
      </w:pPr>
      <w:r>
        <w:t>Avoid translating by duplicating components; translate by passing label dictionaries into shared components.</w:t>
      </w:r>
    </w:p>
    <w:p>
      <w:pPr>
        <w:pStyle w:val="Heading1"/>
      </w:pPr>
      <w:r>
        <w:rPr>
          <w:rFonts w:ascii="Calibri" w:hAnsi="Calibri"/>
          <w:color w:val="1F4E79"/>
        </w:rPr>
        <w:t>Open Items And Non-Blocking Risks</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381"/>
            <w:shd w:fill="1F4E79"/>
            <w:vAlign w:val="center"/>
          </w:tcPr>
          <w:p>
            <w:pPr>
              <w:spacing w:after="0"/>
            </w:pPr>
            <w:r/>
            <w:r>
              <w:rPr>
                <w:rFonts w:ascii="Calibri" w:hAnsi="Calibri"/>
                <w:b/>
                <w:color w:val="FFFFFF"/>
                <w:sz w:val="19"/>
              </w:rPr>
              <w:t>Item</w:t>
            </w:r>
          </w:p>
        </w:tc>
        <w:tc>
          <w:tcPr>
            <w:tcW w:type="dxa" w:w="2948"/>
            <w:shd w:fill="1F4E79"/>
            <w:vAlign w:val="center"/>
          </w:tcPr>
          <w:p>
            <w:pPr>
              <w:spacing w:after="0"/>
            </w:pPr>
            <w:r/>
            <w:r>
              <w:rPr>
                <w:rFonts w:ascii="Calibri" w:hAnsi="Calibri"/>
                <w:b/>
                <w:color w:val="FFFFFF"/>
                <w:sz w:val="19"/>
              </w:rPr>
              <w:t>Risk</w:t>
            </w:r>
          </w:p>
        </w:tc>
        <w:tc>
          <w:tcPr>
            <w:tcW w:type="dxa" w:w="4025"/>
            <w:shd w:fill="1F4E79"/>
            <w:vAlign w:val="center"/>
          </w:tcPr>
          <w:p>
            <w:pPr>
              <w:spacing w:after="0"/>
            </w:pPr>
            <w:r/>
            <w:r>
              <w:rPr>
                <w:rFonts w:ascii="Calibri" w:hAnsi="Calibri"/>
                <w:b/>
                <w:color w:val="FFFFFF"/>
                <w:sz w:val="19"/>
              </w:rPr>
              <w:t>Recommendation</w:t>
            </w:r>
          </w:p>
        </w:tc>
      </w:tr>
      <w:tr>
        <w:tc>
          <w:tcPr>
            <w:tcW w:type="dxa" w:w="2381"/>
            <w:shd w:fill="FFFFFF"/>
            <w:vAlign w:val="top"/>
          </w:tcPr>
          <w:p>
            <w:pPr>
              <w:spacing w:after="0"/>
            </w:pPr>
            <w:r/>
            <w:r>
              <w:rPr>
                <w:rFonts w:ascii="Calibri" w:hAnsi="Calibri"/>
                <w:b w:val="0"/>
                <w:sz w:val="19"/>
              </w:rPr>
              <w:t>Historical docs mention removed bridge fields</w:t>
            </w:r>
          </w:p>
        </w:tc>
        <w:tc>
          <w:tcPr>
            <w:tcW w:type="dxa" w:w="2948"/>
            <w:shd w:fill="FFFFFF"/>
            <w:vAlign w:val="top"/>
          </w:tcPr>
          <w:p>
            <w:pPr>
              <w:spacing w:after="0"/>
            </w:pPr>
            <w:r/>
            <w:r>
              <w:rPr>
                <w:rFonts w:ascii="Calibri" w:hAnsi="Calibri"/>
                <w:b w:val="0"/>
                <w:sz w:val="19"/>
              </w:rPr>
              <w:t>Could confuse future readers.</w:t>
            </w:r>
          </w:p>
        </w:tc>
        <w:tc>
          <w:tcPr>
            <w:tcW w:type="dxa" w:w="4025"/>
            <w:shd w:fill="FFFFFF"/>
            <w:vAlign w:val="top"/>
          </w:tcPr>
          <w:p>
            <w:pPr>
              <w:spacing w:after="0"/>
            </w:pPr>
            <w:r/>
            <w:r>
              <w:rPr>
                <w:rFonts w:ascii="Calibri" w:hAnsi="Calibri"/>
                <w:b w:val="0"/>
                <w:sz w:val="19"/>
              </w:rPr>
              <w:t>Keep them as historical records but add a clear archive note or move to docs/history.</w:t>
            </w:r>
          </w:p>
        </w:tc>
      </w:tr>
      <w:tr>
        <w:tc>
          <w:tcPr>
            <w:tcW w:type="dxa" w:w="2381"/>
            <w:shd w:fill="F3F6F9"/>
            <w:vAlign w:val="top"/>
          </w:tcPr>
          <w:p>
            <w:pPr>
              <w:spacing w:after="0"/>
            </w:pPr>
            <w:r/>
            <w:r>
              <w:rPr>
                <w:rFonts w:ascii="Calibri" w:hAnsi="Calibri"/>
                <w:b w:val="0"/>
                <w:sz w:val="19"/>
              </w:rPr>
              <w:t>Configuration purge tools</w:t>
            </w:r>
          </w:p>
        </w:tc>
        <w:tc>
          <w:tcPr>
            <w:tcW w:type="dxa" w:w="2948"/>
            <w:shd w:fill="F3F6F9"/>
            <w:vAlign w:val="top"/>
          </w:tcPr>
          <w:p>
            <w:pPr>
              <w:spacing w:after="0"/>
            </w:pPr>
            <w:r/>
            <w:r>
              <w:rPr>
                <w:rFonts w:ascii="Calibri" w:hAnsi="Calibri"/>
                <w:b w:val="0"/>
                <w:sz w:val="19"/>
              </w:rPr>
              <w:t>Correct for testing but powerful.</w:t>
            </w:r>
          </w:p>
        </w:tc>
        <w:tc>
          <w:tcPr>
            <w:tcW w:type="dxa" w:w="4025"/>
            <w:shd w:fill="F3F6F9"/>
            <w:vAlign w:val="top"/>
          </w:tcPr>
          <w:p>
            <w:pPr>
              <w:spacing w:after="0"/>
            </w:pPr>
            <w:r/>
            <w:r>
              <w:rPr>
                <w:rFonts w:ascii="Calibri" w:hAnsi="Calibri"/>
                <w:b w:val="0"/>
                <w:sz w:val="19"/>
              </w:rPr>
              <w:t>Restrict to administrator role and audit every use.</w:t>
            </w:r>
          </w:p>
        </w:tc>
      </w:tr>
      <w:tr>
        <w:tc>
          <w:tcPr>
            <w:tcW w:type="dxa" w:w="2381"/>
            <w:shd w:fill="FFFFFF"/>
            <w:vAlign w:val="top"/>
          </w:tcPr>
          <w:p>
            <w:pPr>
              <w:spacing w:after="0"/>
            </w:pPr>
            <w:r/>
            <w:r>
              <w:rPr>
                <w:rFonts w:ascii="Calibri" w:hAnsi="Calibri"/>
                <w:b w:val="0"/>
                <w:sz w:val="19"/>
              </w:rPr>
              <w:t>PPT visual layout</w:t>
            </w:r>
          </w:p>
        </w:tc>
        <w:tc>
          <w:tcPr>
            <w:tcW w:type="dxa" w:w="2948"/>
            <w:shd w:fill="FFFFFF"/>
            <w:vAlign w:val="top"/>
          </w:tcPr>
          <w:p>
            <w:pPr>
              <w:spacing w:after="0"/>
            </w:pPr>
            <w:r/>
            <w:r>
              <w:rPr>
                <w:rFonts w:ascii="Calibri" w:hAnsi="Calibri"/>
                <w:b w:val="0"/>
                <w:sz w:val="19"/>
              </w:rPr>
              <w:t>Good enough functionally but less polished than PDF.</w:t>
            </w:r>
          </w:p>
        </w:tc>
        <w:tc>
          <w:tcPr>
            <w:tcW w:type="dxa" w:w="4025"/>
            <w:shd w:fill="FFFFFF"/>
            <w:vAlign w:val="top"/>
          </w:tcPr>
          <w:p>
            <w:pPr>
              <w:spacing w:after="0"/>
            </w:pPr>
            <w:r/>
            <w:r>
              <w:rPr>
                <w:rFonts w:ascii="Calibri" w:hAnsi="Calibri"/>
                <w:b w:val="0"/>
                <w:sz w:val="19"/>
              </w:rPr>
              <w:t>Defer until after security/test hardening.</w:t>
            </w:r>
          </w:p>
        </w:tc>
      </w:tr>
      <w:tr>
        <w:tc>
          <w:tcPr>
            <w:tcW w:type="dxa" w:w="2381"/>
            <w:shd w:fill="F3F6F9"/>
            <w:vAlign w:val="top"/>
          </w:tcPr>
          <w:p>
            <w:pPr>
              <w:spacing w:after="0"/>
            </w:pPr>
            <w:r/>
            <w:r>
              <w:rPr>
                <w:rFonts w:ascii="Calibri" w:hAnsi="Calibri"/>
                <w:b w:val="0"/>
                <w:sz w:val="19"/>
              </w:rPr>
              <w:t>Mixed styling implementation</w:t>
            </w:r>
          </w:p>
        </w:tc>
        <w:tc>
          <w:tcPr>
            <w:tcW w:type="dxa" w:w="2948"/>
            <w:shd w:fill="F3F6F9"/>
            <w:vAlign w:val="top"/>
          </w:tcPr>
          <w:p>
            <w:pPr>
              <w:spacing w:after="0"/>
            </w:pPr>
            <w:r/>
            <w:r>
              <w:rPr>
                <w:rFonts w:ascii="Calibri" w:hAnsi="Calibri"/>
                <w:b w:val="0"/>
                <w:sz w:val="19"/>
              </w:rPr>
              <w:t>Some pages use direct styles rather than shared components.</w:t>
            </w:r>
          </w:p>
        </w:tc>
        <w:tc>
          <w:tcPr>
            <w:tcW w:type="dxa" w:w="4025"/>
            <w:shd w:fill="F3F6F9"/>
            <w:vAlign w:val="top"/>
          </w:tcPr>
          <w:p>
            <w:pPr>
              <w:spacing w:after="0"/>
            </w:pPr>
            <w:r/>
            <w:r>
              <w:rPr>
                <w:rFonts w:ascii="Calibri" w:hAnsi="Calibri"/>
                <w:b w:val="0"/>
                <w:sz w:val="19"/>
              </w:rPr>
              <w:t>Progressively convert when touching those pages.</w:t>
            </w:r>
          </w:p>
        </w:tc>
      </w:tr>
      <w:tr>
        <w:tc>
          <w:tcPr>
            <w:tcW w:type="dxa" w:w="2381"/>
            <w:shd w:fill="FFFFFF"/>
            <w:vAlign w:val="top"/>
          </w:tcPr>
          <w:p>
            <w:pPr>
              <w:spacing w:after="0"/>
            </w:pPr>
            <w:r/>
            <w:r>
              <w:rPr>
                <w:rFonts w:ascii="Calibri" w:hAnsi="Calibri"/>
                <w:b w:val="0"/>
                <w:sz w:val="19"/>
              </w:rPr>
              <w:t>Manual testing reliance</w:t>
            </w:r>
          </w:p>
        </w:tc>
        <w:tc>
          <w:tcPr>
            <w:tcW w:type="dxa" w:w="2948"/>
            <w:shd w:fill="FFFFFF"/>
            <w:vAlign w:val="top"/>
          </w:tcPr>
          <w:p>
            <w:pPr>
              <w:spacing w:after="0"/>
            </w:pPr>
            <w:r/>
            <w:r>
              <w:rPr>
                <w:rFonts w:ascii="Calibri" w:hAnsi="Calibri"/>
                <w:b w:val="0"/>
                <w:sz w:val="19"/>
              </w:rPr>
              <w:t>Regression risk grows with new features.</w:t>
            </w:r>
          </w:p>
        </w:tc>
        <w:tc>
          <w:tcPr>
            <w:tcW w:type="dxa" w:w="4025"/>
            <w:shd w:fill="FFFFFF"/>
            <w:vAlign w:val="top"/>
          </w:tcPr>
          <w:p>
            <w:pPr>
              <w:spacing w:after="0"/>
            </w:pPr>
            <w:r/>
            <w:r>
              <w:rPr>
                <w:rFonts w:ascii="Calibri" w:hAnsi="Calibri"/>
                <w:b w:val="0"/>
                <w:sz w:val="19"/>
              </w:rPr>
              <w:t>Add a focused smoke/regression test suite.</w:t>
            </w:r>
          </w:p>
        </w:tc>
      </w:tr>
      <w:tr>
        <w:tc>
          <w:tcPr>
            <w:tcW w:type="dxa" w:w="2381"/>
            <w:shd w:fill="F3F6F9"/>
            <w:vAlign w:val="top"/>
          </w:tcPr>
          <w:p>
            <w:pPr>
              <w:spacing w:after="0"/>
            </w:pPr>
            <w:r/>
            <w:r>
              <w:rPr>
                <w:rFonts w:ascii="Calibri" w:hAnsi="Calibri"/>
                <w:b w:val="0"/>
                <w:sz w:val="19"/>
              </w:rPr>
              <w:t>User model still limited</w:t>
            </w:r>
          </w:p>
        </w:tc>
        <w:tc>
          <w:tcPr>
            <w:tcW w:type="dxa" w:w="2948"/>
            <w:shd w:fill="F3F6F9"/>
            <w:vAlign w:val="top"/>
          </w:tcPr>
          <w:p>
            <w:pPr>
              <w:spacing w:after="0"/>
            </w:pPr>
            <w:r/>
            <w:r>
              <w:rPr>
                <w:rFonts w:ascii="Calibri" w:hAnsi="Calibri"/>
                <w:b w:val="0"/>
                <w:sz w:val="19"/>
              </w:rPr>
              <w:t>Current User supports risk/action owners, not real authentication.</w:t>
            </w:r>
          </w:p>
        </w:tc>
        <w:tc>
          <w:tcPr>
            <w:tcW w:type="dxa" w:w="4025"/>
            <w:shd w:fill="F3F6F9"/>
            <w:vAlign w:val="top"/>
          </w:tcPr>
          <w:p>
            <w:pPr>
              <w:spacing w:after="0"/>
            </w:pPr>
            <w:r/>
            <w:r>
              <w:rPr>
                <w:rFonts w:ascii="Calibri" w:hAnsi="Calibri"/>
                <w:b w:val="0"/>
                <w:sz w:val="19"/>
              </w:rPr>
              <w:t>Redesign identity and membership when implementing security.</w:t>
            </w:r>
          </w:p>
        </w:tc>
      </w:tr>
    </w:tbl>
    <w:p/>
    <w:p>
      <w:pPr>
        <w:pStyle w:val="Heading1"/>
      </w:pPr>
      <w:r>
        <w:rPr>
          <w:rFonts w:ascii="Calibri" w:hAnsi="Calibri"/>
          <w:color w:val="1F4E79"/>
        </w:rPr>
        <w:t>Recommended Next Step</w:t>
      </w:r>
    </w:p>
    <w:tbl>
      <w:tblPr>
        <w:tblStyle w:val="TableGrid"/>
        <w:tblW w:type="auto" w:w="0"/>
        <w:jc w:val="center"/>
        <w:tblLook w:firstColumn="1" w:firstRow="1" w:lastColumn="0" w:lastRow="0" w:noHBand="0" w:noVBand="1" w:val="04A0"/>
      </w:tblPr>
      <w:tblGrid>
        <w:gridCol w:w="9972"/>
      </w:tblGrid>
      <w:tr>
        <w:tc>
          <w:tcPr>
            <w:tcW w:type="dxa" w:w="9972"/>
            <w:shd w:fill="FFF1CC"/>
          </w:tcPr>
          <w:p>
            <w:pPr>
              <w:spacing w:after="60"/>
            </w:pPr>
            <w:r>
              <w:rPr>
                <w:rFonts w:ascii="Calibri" w:hAnsi="Calibri"/>
                <w:b/>
                <w:color w:val="0B2545"/>
                <w:sz w:val="21"/>
              </w:rPr>
              <w:t>Next architectural move</w:t>
            </w:r>
          </w:p>
          <w:p>
            <w:pPr>
              <w:spacing w:after="0"/>
            </w:pPr>
            <w:r>
              <w:rPr>
                <w:rFonts w:ascii="Calibri" w:hAnsi="Calibri"/>
                <w:sz w:val="19"/>
              </w:rPr>
              <w:t>Create a small regression test harness before adding security. The application is now stable enough that tests will protect the standardization work already completed.</w:t>
            </w:r>
          </w:p>
        </w:tc>
      </w:tr>
    </w:tbl>
    <w:p/>
    <w:p>
      <w:r>
        <w:t>After the regression harness is in place, the best next production-level step is the security model: administrator-only Configuration, project-level access segmentation, audit logging, and role-aware navigation. Translation should follow once the security boundaries and message catalog pattern are defined.</w:t>
      </w:r>
    </w:p>
    <w:sectPr w:rsidR="00FC693F" w:rsidRPr="0006063C" w:rsidSect="00034616">
      <w:footerReference w:type="default" r:id="rId9"/>
      <w:pgSz w:w="12240" w:h="15840"/>
      <w:pgMar w:top="119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6"/>
      </w:rPr>
      <w:t>Project Ops System - Codex audit - 1 June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