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Operations System - Checkpoint Update</w:t>
      </w:r>
    </w:p>
    <w:p>
      <w:pPr>
        <w:spacing w:after="240"/>
      </w:pPr>
      <w:r>
        <w:rPr>
          <w:i/>
          <w:color w:val="475569"/>
        </w:rPr>
        <w:t>Translation hardening, agent foundation, mobile testing, and risk lifecycle progress since the 2026-06-10 executive risk review package checkpoint.</w:t>
      </w:r>
    </w:p>
    <w:p>
      <w:r>
        <w:rPr>
          <w:b/>
        </w:rPr>
        <w:t xml:space="preserve">Date: </w:t>
      </w:r>
      <w:r>
        <w:t>2026-06-18</w:t>
      </w:r>
      <w:r>
        <w:rPr>
          <w:b/>
        </w:rPr>
        <w:t xml:space="preserve">   |   Scope: </w:t>
      </w:r>
      <w:r>
        <w:t>Changes completed after Project_Ops_System_Executive_Risk_Review_Package_Checkpoint_2026-06-10.docx</w:t>
      </w:r>
    </w:p>
    <w:p>
      <w:pPr>
        <w:pStyle w:val="Heading1"/>
      </w:pPr>
      <w:r>
        <w:t>Executive Summary</w:t>
      </w:r>
    </w:p>
    <w:p>
      <w:pPr>
        <w:pStyle w:val="ListBullet"/>
        <w:spacing w:after="80"/>
      </w:pPr>
      <w:r>
        <w:t>The application has moved from feature-building into architecture hardening: the same functional areas are increasingly using shared components, shared display contracts, and controlled workflow rules.</w:t>
      </w:r>
    </w:p>
    <w:p>
      <w:pPr>
        <w:pStyle w:val="ListBullet"/>
        <w:spacing w:after="80"/>
      </w:pPr>
      <w:r>
        <w:t>The translation wave is now serving two purposes: making the application usable in Spanish and exposing places where legacy or parallel UI implementations still bypass reusable standards.</w:t>
      </w:r>
    </w:p>
    <w:p>
      <w:pPr>
        <w:pStyle w:val="ListBullet"/>
        <w:spacing w:after="80"/>
      </w:pPr>
      <w:r>
        <w:t>Step 3 of the translation bug-solving approach was completed in this pass by applying configured-value display helpers across Projects, Risks, Decisions, and Time Tracking.</w:t>
      </w:r>
    </w:p>
    <w:p>
      <w:pPr>
        <w:pStyle w:val="Heading1"/>
      </w:pPr>
      <w:r>
        <w:t>Completed Since Last Checkpoint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shd w:fill="E8EEF5"/>
            <w:tcMar>
              <w:top w:w="80" w:type="dxa"/>
              <w:left w:w="80" w:type="dxa"/>
              <w:bottom w:w="80" w:type="dxa"/>
              <w:right w:w="80" w:type="dxa"/>
            </w:tcMar>
          </w:tcPr>
          <w:p>
            <w:r/>
            <w:r>
              <w:rPr>
                <w:b/>
                <w:sz w:val="18"/>
              </w:rPr>
              <w:t>Area</w:t>
            </w:r>
          </w:p>
        </w:tc>
        <w:tc>
          <w:tcPr>
            <w:tcW w:type="dxa" w:w="2340"/>
            <w:vAlign w:val="center"/>
            <w:shd w:fill="E8EEF5"/>
            <w:tcMar>
              <w:top w:w="80" w:type="dxa"/>
              <w:left w:w="80" w:type="dxa"/>
              <w:bottom w:w="80" w:type="dxa"/>
              <w:right w:w="80" w:type="dxa"/>
            </w:tcMar>
          </w:tcPr>
          <w:p>
            <w:r/>
            <w:r>
              <w:rPr>
                <w:b/>
                <w:sz w:val="18"/>
              </w:rPr>
              <w:t>What was completed</w:t>
            </w:r>
          </w:p>
        </w:tc>
        <w:tc>
          <w:tcPr>
            <w:tcW w:type="dxa" w:w="2340"/>
            <w:vAlign w:val="center"/>
            <w:shd w:fill="E8EEF5"/>
            <w:tcMar>
              <w:top w:w="80" w:type="dxa"/>
              <w:left w:w="80" w:type="dxa"/>
              <w:bottom w:w="80" w:type="dxa"/>
              <w:right w:w="80" w:type="dxa"/>
            </w:tcMar>
          </w:tcPr>
          <w:p>
            <w:r/>
            <w:r>
              <w:rPr>
                <w:b/>
                <w:sz w:val="18"/>
              </w:rPr>
              <w:t>Architectural value</w:t>
            </w:r>
          </w:p>
        </w:tc>
        <w:tc>
          <w:tcPr>
            <w:tcW w:type="dxa" w:w="2340"/>
            <w:vAlign w:val="center"/>
            <w:shd w:fill="E8EEF5"/>
            <w:tcMar>
              <w:top w:w="80" w:type="dxa"/>
              <w:left w:w="80" w:type="dxa"/>
              <w:bottom w:w="80" w:type="dxa"/>
              <w:right w:w="80" w:type="dxa"/>
            </w:tcMar>
          </w:tcPr>
          <w:p>
            <w:r/>
            <w:r>
              <w:rPr>
                <w:b/>
                <w:sz w:val="18"/>
              </w:rPr>
              <w:t>Current validation</w:t>
            </w:r>
          </w:p>
        </w:tc>
      </w:tr>
      <w:tr>
        <w:tc>
          <w:tcPr>
            <w:tcW w:type="dxa" w:w="2340"/>
            <w:vAlign w:val="center"/>
            <w:tcMar>
              <w:top w:w="80" w:type="dxa"/>
              <w:left w:w="80" w:type="dxa"/>
              <w:bottom w:w="80" w:type="dxa"/>
              <w:right w:w="80" w:type="dxa"/>
            </w:tcMar>
          </w:tcPr>
          <w:p>
            <w:r/>
            <w:r>
              <w:rPr>
                <w:b w:val="0"/>
                <w:sz w:val="18"/>
              </w:rPr>
              <w:t>Risk lifecycle</w:t>
            </w:r>
          </w:p>
        </w:tc>
        <w:tc>
          <w:tcPr>
            <w:tcW w:type="dxa" w:w="2340"/>
            <w:vAlign w:val="center"/>
            <w:tcMar>
              <w:top w:w="80" w:type="dxa"/>
              <w:left w:w="80" w:type="dxa"/>
              <w:bottom w:w="80" w:type="dxa"/>
              <w:right w:w="80" w:type="dxa"/>
            </w:tcMar>
          </w:tcPr>
          <w:p>
            <w:r/>
            <w:r>
              <w:rPr>
                <w:b w:val="0"/>
                <w:sz w:val="18"/>
              </w:rPr>
              <w:t>Added risk assessment, evidence, management review, lifecycle summary, closure behavior, and executive review package detail.</w:t>
            </w:r>
          </w:p>
        </w:tc>
        <w:tc>
          <w:tcPr>
            <w:tcW w:type="dxa" w:w="2340"/>
            <w:vAlign w:val="center"/>
            <w:tcMar>
              <w:top w:w="80" w:type="dxa"/>
              <w:left w:w="80" w:type="dxa"/>
              <w:bottom w:w="80" w:type="dxa"/>
              <w:right w:w="80" w:type="dxa"/>
            </w:tcMar>
          </w:tcPr>
          <w:p>
            <w:r/>
            <w:r>
              <w:rPr>
                <w:b w:val="0"/>
                <w:sz w:val="18"/>
              </w:rPr>
              <w:t>Risk lifecycle is now modelled as a controlled workflow rather than isolated risk rows.</w:t>
            </w:r>
          </w:p>
        </w:tc>
        <w:tc>
          <w:tcPr>
            <w:tcW w:type="dxa" w:w="2340"/>
            <w:vAlign w:val="center"/>
            <w:tcMar>
              <w:top w:w="80" w:type="dxa"/>
              <w:left w:w="80" w:type="dxa"/>
              <w:bottom w:w="80" w:type="dxa"/>
              <w:right w:w="80" w:type="dxa"/>
            </w:tcMar>
          </w:tcPr>
          <w:p>
            <w:r/>
            <w:r>
              <w:rPr>
                <w:b w:val="0"/>
                <w:sz w:val="18"/>
              </w:rPr>
              <w:t>User-tested creation, assessment, review, closure logic, and executive reporting behavior.</w:t>
            </w:r>
          </w:p>
        </w:tc>
      </w:tr>
      <w:tr>
        <w:tc>
          <w:tcPr>
            <w:tcW w:type="dxa" w:w="2340"/>
            <w:vAlign w:val="center"/>
            <w:tcMar>
              <w:top w:w="80" w:type="dxa"/>
              <w:left w:w="80" w:type="dxa"/>
              <w:bottom w:w="80" w:type="dxa"/>
              <w:right w:w="80" w:type="dxa"/>
            </w:tcMar>
          </w:tcPr>
          <w:p>
            <w:r/>
            <w:r>
              <w:rPr>
                <w:b w:val="0"/>
                <w:sz w:val="18"/>
              </w:rPr>
              <w:t>Attention workspace</w:t>
            </w:r>
          </w:p>
        </w:tc>
        <w:tc>
          <w:tcPr>
            <w:tcW w:type="dxa" w:w="2340"/>
            <w:vAlign w:val="center"/>
            <w:tcMar>
              <w:top w:w="80" w:type="dxa"/>
              <w:left w:w="80" w:type="dxa"/>
              <w:bottom w:w="80" w:type="dxa"/>
              <w:right w:w="80" w:type="dxa"/>
            </w:tcMar>
          </w:tcPr>
          <w:p>
            <w:r/>
            <w:r>
              <w:rPr>
                <w:b w:val="0"/>
                <w:sz w:val="18"/>
              </w:rPr>
              <w:t>Added daily attention handling for risk evidence, assessments, management reviews, and direct navigation to source records.</w:t>
            </w:r>
          </w:p>
        </w:tc>
        <w:tc>
          <w:tcPr>
            <w:tcW w:type="dxa" w:w="2340"/>
            <w:vAlign w:val="center"/>
            <w:tcMar>
              <w:top w:w="80" w:type="dxa"/>
              <w:left w:w="80" w:type="dxa"/>
              <w:bottom w:w="80" w:type="dxa"/>
              <w:right w:w="80" w:type="dxa"/>
            </w:tcMar>
          </w:tcPr>
          <w:p>
            <w:r/>
            <w:r>
              <w:rPr>
                <w:b w:val="0"/>
                <w:sz w:val="18"/>
              </w:rPr>
              <w:t>Creates an exception-management layer that keeps operational data clean and current.</w:t>
            </w:r>
          </w:p>
        </w:tc>
        <w:tc>
          <w:tcPr>
            <w:tcW w:type="dxa" w:w="2340"/>
            <w:vAlign w:val="center"/>
            <w:tcMar>
              <w:top w:w="80" w:type="dxa"/>
              <w:left w:w="80" w:type="dxa"/>
              <w:bottom w:w="80" w:type="dxa"/>
              <w:right w:w="80" w:type="dxa"/>
            </w:tcMar>
          </w:tcPr>
          <w:p>
            <w:r/>
            <w:r>
              <w:rPr>
                <w:b w:val="0"/>
                <w:sz w:val="18"/>
              </w:rPr>
              <w:t>User confirmed attention items disappear when resolved and navigation works.</w:t>
            </w:r>
          </w:p>
        </w:tc>
      </w:tr>
      <w:tr>
        <w:tc>
          <w:tcPr>
            <w:tcW w:type="dxa" w:w="2340"/>
            <w:vAlign w:val="center"/>
            <w:tcMar>
              <w:top w:w="80" w:type="dxa"/>
              <w:left w:w="80" w:type="dxa"/>
              <w:bottom w:w="80" w:type="dxa"/>
              <w:right w:w="80" w:type="dxa"/>
            </w:tcMar>
          </w:tcPr>
          <w:p>
            <w:r/>
            <w:r>
              <w:rPr>
                <w:b w:val="0"/>
                <w:sz w:val="18"/>
              </w:rPr>
              <w:t>Agents</w:t>
            </w:r>
          </w:p>
        </w:tc>
        <w:tc>
          <w:tcPr>
            <w:tcW w:type="dxa" w:w="2340"/>
            <w:vAlign w:val="center"/>
            <w:tcMar>
              <w:top w:w="80" w:type="dxa"/>
              <w:left w:w="80" w:type="dxa"/>
              <w:bottom w:w="80" w:type="dxa"/>
              <w:right w:w="80" w:type="dxa"/>
            </w:tcMar>
          </w:tcPr>
          <w:p>
            <w:r/>
            <w:r>
              <w:rPr>
                <w:b w:val="0"/>
                <w:sz w:val="18"/>
              </w:rPr>
              <w:t>Built one-user agent foundation, time tracking assistant, project progress assistant, natural-language interpretation, voice pilot, approvals, and agent transaction logs.</w:t>
            </w:r>
          </w:p>
        </w:tc>
        <w:tc>
          <w:tcPr>
            <w:tcW w:type="dxa" w:w="2340"/>
            <w:vAlign w:val="center"/>
            <w:tcMar>
              <w:top w:w="80" w:type="dxa"/>
              <w:left w:w="80" w:type="dxa"/>
              <w:bottom w:w="80" w:type="dxa"/>
              <w:right w:w="80" w:type="dxa"/>
            </w:tcMar>
          </w:tcPr>
          <w:p>
            <w:r/>
            <w:r>
              <w:rPr>
                <w:b w:val="0"/>
                <w:sz w:val="18"/>
              </w:rPr>
              <w:t>Agents use typed instructions, suggestions, approvals, and logs instead of applying hidden changes directly.</w:t>
            </w:r>
          </w:p>
        </w:tc>
        <w:tc>
          <w:tcPr>
            <w:tcW w:type="dxa" w:w="2340"/>
            <w:vAlign w:val="center"/>
            <w:tcMar>
              <w:top w:w="80" w:type="dxa"/>
              <w:left w:w="80" w:type="dxa"/>
              <w:bottom w:w="80" w:type="dxa"/>
              <w:right w:w="80" w:type="dxa"/>
            </w:tcMar>
          </w:tcPr>
          <w:p>
            <w:r/>
            <w:r>
              <w:rPr>
                <w:b w:val="0"/>
                <w:sz w:val="18"/>
              </w:rPr>
              <w:t>User-tested text and voice flows for time tracking and project progress suggestions.</w:t>
            </w:r>
          </w:p>
        </w:tc>
      </w:tr>
      <w:tr>
        <w:tc>
          <w:tcPr>
            <w:tcW w:type="dxa" w:w="2340"/>
            <w:vAlign w:val="center"/>
            <w:tcMar>
              <w:top w:w="80" w:type="dxa"/>
              <w:left w:w="80" w:type="dxa"/>
              <w:bottom w:w="80" w:type="dxa"/>
              <w:right w:w="80" w:type="dxa"/>
            </w:tcMar>
          </w:tcPr>
          <w:p>
            <w:r/>
            <w:r>
              <w:rPr>
                <w:b w:val="0"/>
                <w:sz w:val="18"/>
              </w:rPr>
              <w:t>Mobile pilot</w:t>
            </w:r>
          </w:p>
        </w:tc>
        <w:tc>
          <w:tcPr>
            <w:tcW w:type="dxa" w:w="2340"/>
            <w:vAlign w:val="center"/>
            <w:tcMar>
              <w:top w:w="80" w:type="dxa"/>
              <w:left w:w="80" w:type="dxa"/>
              <w:bottom w:w="80" w:type="dxa"/>
              <w:right w:w="80" w:type="dxa"/>
            </w:tcMar>
          </w:tcPr>
          <w:p>
            <w:r/>
            <w:r>
              <w:rPr>
                <w:b w:val="0"/>
                <w:sz w:val="18"/>
              </w:rPr>
              <w:t>Exposed the local app through a Cloudflare tunnel and adjusted navigation and touch behavior observations.</w:t>
            </w:r>
          </w:p>
        </w:tc>
        <w:tc>
          <w:tcPr>
            <w:tcW w:type="dxa" w:w="2340"/>
            <w:vAlign w:val="center"/>
            <w:tcMar>
              <w:top w:w="80" w:type="dxa"/>
              <w:left w:w="80" w:type="dxa"/>
              <w:bottom w:w="80" w:type="dxa"/>
              <w:right w:w="80" w:type="dxa"/>
            </w:tcMar>
          </w:tcPr>
          <w:p>
            <w:r/>
            <w:r>
              <w:rPr>
                <w:b w:val="0"/>
                <w:sz w:val="18"/>
              </w:rPr>
              <w:t>Identified mobile-specific UI constraints before turning agents into a mobile workflow.</w:t>
            </w:r>
          </w:p>
        </w:tc>
        <w:tc>
          <w:tcPr>
            <w:tcW w:type="dxa" w:w="2340"/>
            <w:vAlign w:val="center"/>
            <w:tcMar>
              <w:top w:w="80" w:type="dxa"/>
              <w:left w:w="80" w:type="dxa"/>
              <w:bottom w:w="80" w:type="dxa"/>
              <w:right w:w="80" w:type="dxa"/>
            </w:tcMar>
          </w:tcPr>
          <w:p>
            <w:r/>
            <w:r>
              <w:rPr>
                <w:b w:val="0"/>
                <w:sz w:val="18"/>
              </w:rPr>
              <w:t>User accessed the app on mobile and documented touch/readability behavior.</w:t>
            </w:r>
          </w:p>
        </w:tc>
      </w:tr>
      <w:tr>
        <w:tc>
          <w:tcPr>
            <w:tcW w:type="dxa" w:w="2340"/>
            <w:vAlign w:val="center"/>
            <w:tcMar>
              <w:top w:w="80" w:type="dxa"/>
              <w:left w:w="80" w:type="dxa"/>
              <w:bottom w:w="80" w:type="dxa"/>
              <w:right w:w="80" w:type="dxa"/>
            </w:tcMar>
          </w:tcPr>
          <w:p>
            <w:r/>
            <w:r>
              <w:rPr>
                <w:b w:val="0"/>
                <w:sz w:val="18"/>
              </w:rPr>
              <w:t>Multilingual foundation</w:t>
            </w:r>
          </w:p>
        </w:tc>
        <w:tc>
          <w:tcPr>
            <w:tcW w:type="dxa" w:w="2340"/>
            <w:vAlign w:val="center"/>
            <w:tcMar>
              <w:top w:w="80" w:type="dxa"/>
              <w:left w:w="80" w:type="dxa"/>
              <w:bottom w:w="80" w:type="dxa"/>
              <w:right w:w="80" w:type="dxa"/>
            </w:tcMar>
          </w:tcPr>
          <w:p>
            <w:r/>
            <w:r>
              <w:rPr>
                <w:b w:val="0"/>
                <w:sz w:val="18"/>
              </w:rPr>
              <w:t>Added language selector, translated major navigation and shared labels, and started data-value translation hardening.</w:t>
            </w:r>
          </w:p>
        </w:tc>
        <w:tc>
          <w:tcPr>
            <w:tcW w:type="dxa" w:w="2340"/>
            <w:vAlign w:val="center"/>
            <w:tcMar>
              <w:top w:w="80" w:type="dxa"/>
              <w:left w:w="80" w:type="dxa"/>
              <w:bottom w:w="80" w:type="dxa"/>
              <w:right w:w="80" w:type="dxa"/>
            </w:tcMar>
          </w:tcPr>
          <w:p>
            <w:r/>
            <w:r>
              <w:rPr>
                <w:b w:val="0"/>
                <w:sz w:val="18"/>
              </w:rPr>
              <w:t>Translation is becoming a shared display layer, not page-by-page text patching.</w:t>
            </w:r>
          </w:p>
        </w:tc>
        <w:tc>
          <w:tcPr>
            <w:tcW w:type="dxa" w:w="2340"/>
            <w:vAlign w:val="center"/>
            <w:tcMar>
              <w:top w:w="80" w:type="dxa"/>
              <w:left w:w="80" w:type="dxa"/>
              <w:bottom w:w="80" w:type="dxa"/>
              <w:right w:w="80" w:type="dxa"/>
            </w:tcMar>
          </w:tcPr>
          <w:p>
            <w:r/>
            <w:r>
              <w:rPr>
                <w:b w:val="0"/>
                <w:sz w:val="18"/>
              </w:rPr>
              <w:t>Menu, buttons, risk/decision labels, executive index behavior, and selected data values tested progressively.</w:t>
            </w:r>
          </w:p>
        </w:tc>
      </w:tr>
      <w:tr>
        <w:tc>
          <w:tcPr>
            <w:tcW w:type="dxa" w:w="2340"/>
            <w:vAlign w:val="center"/>
            <w:tcMar>
              <w:top w:w="80" w:type="dxa"/>
              <w:left w:w="80" w:type="dxa"/>
              <w:bottom w:w="80" w:type="dxa"/>
              <w:right w:w="80" w:type="dxa"/>
            </w:tcMar>
          </w:tcPr>
          <w:p>
            <w:r/>
            <w:r>
              <w:rPr>
                <w:b w:val="0"/>
                <w:sz w:val="18"/>
              </w:rPr>
              <w:t>Translation step 3</w:t>
            </w:r>
          </w:p>
        </w:tc>
        <w:tc>
          <w:tcPr>
            <w:tcW w:type="dxa" w:w="2340"/>
            <w:vAlign w:val="center"/>
            <w:tcMar>
              <w:top w:w="80" w:type="dxa"/>
              <w:left w:w="80" w:type="dxa"/>
              <w:bottom w:w="80" w:type="dxa"/>
              <w:right w:w="80" w:type="dxa"/>
            </w:tcMar>
          </w:tcPr>
          <w:p>
            <w:r/>
            <w:r>
              <w:rPr>
                <w:b w:val="0"/>
                <w:sz w:val="18"/>
              </w:rPr>
              <w:t>Applied configured-value display helpers to Projects, Risks, Decisions, and Time Tracking.</w:t>
            </w:r>
          </w:p>
        </w:tc>
        <w:tc>
          <w:tcPr>
            <w:tcW w:type="dxa" w:w="2340"/>
            <w:vAlign w:val="center"/>
            <w:tcMar>
              <w:top w:w="80" w:type="dxa"/>
              <w:left w:w="80" w:type="dxa"/>
              <w:bottom w:w="80" w:type="dxa"/>
              <w:right w:w="80" w:type="dxa"/>
            </w:tcMar>
          </w:tcPr>
          <w:p>
            <w:r/>
            <w:r>
              <w:rPr>
                <w:b w:val="0"/>
                <w:sz w:val="18"/>
              </w:rPr>
              <w:t>Statuses, visibility, health, impact, risk scores, assessment types, reporting pack statuses, categories, evidence types, and review values now have a standard display route.</w:t>
            </w:r>
          </w:p>
        </w:tc>
        <w:tc>
          <w:tcPr>
            <w:tcW w:type="dxa" w:w="2340"/>
            <w:vAlign w:val="center"/>
            <w:tcMar>
              <w:top w:w="80" w:type="dxa"/>
              <w:left w:w="80" w:type="dxa"/>
              <w:bottom w:w="80" w:type="dxa"/>
              <w:right w:w="80" w:type="dxa"/>
            </w:tcMar>
          </w:tcPr>
          <w:p>
            <w:r/>
            <w:r>
              <w:rPr>
                <w:b w:val="0"/>
                <w:sz w:val="18"/>
              </w:rPr>
              <w:t>TypeScript and lint passed after implementation.</w:t>
            </w:r>
          </w:p>
        </w:tc>
      </w:tr>
    </w:tbl>
    <w:p>
      <w:pPr>
        <w:pStyle w:val="Heading1"/>
      </w:pPr>
      <w:r>
        <w:t>Translation Hardening - Step 3 Result</w:t>
      </w:r>
    </w:p>
    <w:p>
      <w:pPr>
        <w:pStyle w:val="ListBullet"/>
        <w:spacing w:after="80"/>
      </w:pPr>
      <w:r>
        <w:t>A shared display translation helper now centralizes enum-like values and configured records instead of leaving each page to decide how to show values.</w:t>
      </w:r>
    </w:p>
    <w:p>
      <w:pPr>
        <w:pStyle w:val="ListBullet"/>
        <w:spacing w:after="80"/>
      </w:pPr>
      <w:r>
        <w:t>Projects now translate project health and governed project status in the portfolio and detail header.</w:t>
      </w:r>
    </w:p>
    <w:p>
      <w:pPr>
        <w:pStyle w:val="ListBullet"/>
        <w:spacing w:after="80"/>
      </w:pPr>
      <w:r>
        <w:t>Risks now translate risk categories, risk/action statuses, evidence types, risk assessment score/type values, review type/outcome values, and lifecycle stage labels in the relevant tables.</w:t>
      </w:r>
    </w:p>
    <w:p>
      <w:pPr>
        <w:pStyle w:val="ListBullet"/>
        <w:spacing w:after="80"/>
      </w:pPr>
      <w:r>
        <w:t>Decisions now translate impact, visibility, and status option labels through the shared helper.</w:t>
      </w:r>
    </w:p>
    <w:p>
      <w:pPr>
        <w:pStyle w:val="ListBullet"/>
        <w:spacing w:after="80"/>
      </w:pPr>
      <w:r>
        <w:t>Time Tracking now translates task-family choices, work-session statuses, closed/inactive workstream labels, active interval labels, and suggestion task-family display where the underlying localized data is available.</w:t>
      </w:r>
    </w:p>
    <w:p>
      <w:pPr>
        <w:pStyle w:val="ListBullet"/>
        <w:spacing w:after="80"/>
      </w:pPr>
      <w:r>
        <w:t>Reporting pack status display now translates DRAFT, READY, APPROVED, and ARCHIVED while preserving the stored workflow codes.</w:t>
      </w:r>
    </w:p>
    <w:p>
      <w:pPr>
        <w:pStyle w:val="Heading1"/>
      </w:pPr>
      <w:r>
        <w:t>Architecture Notes</w:t>
      </w:r>
    </w:p>
    <w:p>
      <w:pPr>
        <w:pStyle w:val="ListBullet"/>
        <w:spacing w:after="80"/>
      </w:pPr>
      <w:r>
        <w:t>The current approach intentionally separates stored codes from displayed labels. This preserves stable workflow logic and avoids corrupting data when the UI language changes.</w:t>
      </w:r>
    </w:p>
    <w:p>
      <w:pPr>
        <w:pStyle w:val="ListBullet"/>
        <w:spacing w:after="80"/>
      </w:pPr>
      <w:r>
        <w:t>For records with existing Spanish names, such as statuses and task families, the helper uses the configured localized name. For stable coded records without localized columns, such as evidence and review types, the helper uses code-based dictionary keys.</w:t>
      </w:r>
    </w:p>
    <w:p>
      <w:pPr>
        <w:pStyle w:val="ListBullet"/>
        <w:spacing w:after="80"/>
      </w:pPr>
      <w:r>
        <w:t>This is pragmatic for the current app size. If the app later supports many languages or client-specific terminology, the next evolution should be a normalized translation table keyed by entity, record id or code, and locale.</w:t>
      </w:r>
    </w:p>
    <w:p>
      <w:pPr>
        <w:pStyle w:val="ListBullet"/>
        <w:spacing w:after="80"/>
      </w:pPr>
      <w:r>
        <w:t>The translation exercise continues to harden architecture because every untranslated shared control reveals either a missing dictionary key or a component that is not yet using the standard reusable layer.</w:t>
      </w:r>
    </w:p>
    <w:p>
      <w:pPr>
        <w:pStyle w:val="Heading1"/>
      </w:pPr>
      <w:r>
        <w:t>Validation Performed</w:t>
      </w:r>
    </w:p>
    <w:p>
      <w:pPr>
        <w:pStyle w:val="ListBullet"/>
        <w:spacing w:after="80"/>
      </w:pPr>
      <w:r>
        <w:t>npm TypeScript validation: npx tsc --noEmit passed.</w:t>
      </w:r>
    </w:p>
    <w:p>
      <w:pPr>
        <w:pStyle w:val="ListBullet"/>
        <w:spacing w:after="80"/>
      </w:pPr>
      <w:r>
        <w:t>ESLint validation: npm run lint passed.</w:t>
      </w:r>
    </w:p>
    <w:p>
      <w:pPr>
        <w:pStyle w:val="ListBullet"/>
        <w:spacing w:after="80"/>
      </w:pPr>
      <w:r>
        <w:t>No database migration was required for this step.</w:t>
      </w:r>
    </w:p>
    <w:p>
      <w:pPr>
        <w:pStyle w:val="ListBullet"/>
        <w:spacing w:after="80"/>
      </w:pPr>
      <w:r>
        <w:t>Stored workflow codes remain unchanged; only display labels were routed through translation helpers.</w:t>
      </w:r>
    </w:p>
    <w:p>
      <w:pPr>
        <w:pStyle w:val="Heading1"/>
      </w:pPr>
      <w:r>
        <w:t>Open Items / Recommended Next Sequence</w:t>
      </w:r>
    </w:p>
    <w:p>
      <w:pPr>
        <w:pStyle w:val="ListBullet"/>
        <w:spacing w:after="80"/>
      </w:pPr>
      <w:r>
        <w:t>Continue with the Executive Report export translation pass: PDF/PPT index titles, section titles, field labels, and translated configured values in generated outputs.</w:t>
      </w:r>
    </w:p>
    <w:p>
      <w:pPr>
        <w:pStyle w:val="ListBullet"/>
        <w:spacing w:after="80"/>
      </w:pPr>
      <w:r>
        <w:t>Review remaining functional refinements identified in translation testing: time-tracking task-family refresh, risk filter transition behavior, per-risk expand-all-children behavior, and language selector placement.</w:t>
      </w:r>
    </w:p>
    <w:p>
      <w:pPr>
        <w:pStyle w:val="ListBullet"/>
        <w:spacing w:after="80"/>
      </w:pPr>
      <w:r>
        <w:t>Decide whether the long-term multilingual model should remain dictionary-plus-nameEs for controlled values or move to a normalized translation table before adding a third language.</w:t>
      </w:r>
    </w:p>
    <w:p>
      <w:pPr>
        <w:pStyle w:val="ListBullet"/>
        <w:spacing w:after="80"/>
      </w:pPr>
      <w:r>
        <w:t>Keep automated testing as a separate upcoming foundation workstream so translation and agent behavior can be regression-tested without touching real project data.</w:t>
      </w:r>
    </w:p>
    <w:p>
      <w:pPr>
        <w:pStyle w:val="Heading1"/>
      </w:pPr>
      <w:r>
        <w:t>Decision Log</w:t>
      </w:r>
    </w:p>
    <w:p>
      <w:pPr>
        <w:pStyle w:val="ListBullet"/>
        <w:spacing w:after="80"/>
      </w:pPr>
      <w:r>
        <w:t>Do not translate by changing stored business values. Preserve codes and translate at display/export boundaries.</w:t>
      </w:r>
    </w:p>
    <w:p>
      <w:pPr>
        <w:pStyle w:val="ListBullet"/>
        <w:spacing w:after="80"/>
      </w:pPr>
      <w:r>
        <w:t>Do not multiply page-specific translation patches. Use shared controls, dictionaries, and display helpers first.</w:t>
      </w:r>
    </w:p>
    <w:p>
      <w:pPr>
        <w:pStyle w:val="ListBullet"/>
        <w:spacing w:after="80"/>
      </w:pPr>
      <w:r>
        <w:t>Do not build voice or agent behavior as a black box. Keep suggestions, approvals, and logs visible and auditable.</w:t>
      </w:r>
    </w:p>
    <w:p>
      <w:pPr>
        <w:pStyle w:val="ListBullet"/>
        <w:spacing w:after="80"/>
      </w:pPr>
      <w:r>
        <w:t>Defer heavier multilingual schema changes until there is a clear need for more than English/Spanish or client-specific vocabularies.</w:t>
      </w:r>
    </w:p>
    <w:p>
      <w:pPr>
        <w:spacing w:before="240"/>
      </w:pPr>
      <w:r>
        <w:rPr>
          <w:i/>
          <w:color w:val="475569"/>
        </w:rPr>
        <w:t>Prepared by Codex as a working architecture checkpoint for continued co-creation and progressive hardening.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