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5B6573"/>
          <w:sz w:val="20"/>
        </w:rPr>
        <w:t>PROJECT OPERATIONS SYSTEM</w:t>
      </w:r>
    </w:p>
    <w:p>
      <w:pPr>
        <w:spacing w:after="40"/>
      </w:pPr>
      <w:r>
        <w:rPr>
          <w:rFonts w:ascii="Calibri" w:hAnsi="Calibri"/>
          <w:b/>
          <w:i w:val="0"/>
          <w:color w:val="1F4D78"/>
          <w:sz w:val="48"/>
        </w:rPr>
        <w:t>Technical Architecture V3.3</w:t>
      </w:r>
    </w:p>
    <w:p>
      <w:pPr>
        <w:spacing w:after="320"/>
      </w:pPr>
      <w:r>
        <w:rPr>
          <w:rFonts w:ascii="Calibri" w:hAnsi="Calibri"/>
          <w:b w:val="0"/>
          <w:i w:val="0"/>
          <w:color w:val="5B6573"/>
          <w:sz w:val="28"/>
        </w:rPr>
        <w:t>Security Foundation, Controlled Demo Access and Live Data Migration Protocol</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shd w:fill="F2F4F7"/>
            <w:vAlign w:val="center"/>
            <w:tcMar>
              <w:top w:w="80" w:type="dxa"/>
              <w:start w:w="120" w:type="dxa"/>
              <w:bottom w:w="80" w:type="dxa"/>
              <w:end w:w="120" w:type="dxa"/>
            </w:tcMar>
          </w:tcPr>
          <w:p>
            <w:pPr>
              <w:spacing w:after="0"/>
            </w:pPr>
            <w:r>
              <w:rPr>
                <w:rFonts w:ascii="Calibri" w:hAnsi="Calibri"/>
                <w:b/>
                <w:i w:val="0"/>
                <w:color w:val="1F4D78"/>
                <w:sz w:val="18"/>
              </w:rPr>
              <w:t>Document control</w:t>
            </w:r>
          </w:p>
        </w:tc>
        <w:tc>
          <w:tcPr>
            <w:tcW w:type="dxa" w:w="7128"/>
            <w:shd w:fill="F2F4F7"/>
            <w:vAlign w:val="center"/>
            <w:tcMar>
              <w:top w:w="80" w:type="dxa"/>
              <w:start w:w="120" w:type="dxa"/>
              <w:bottom w:w="80" w:type="dxa"/>
              <w:end w:w="120" w:type="dxa"/>
            </w:tcMar>
          </w:tcPr>
          <w:p>
            <w:pPr>
              <w:spacing w:after="0"/>
            </w:pPr>
            <w:r>
              <w:rPr>
                <w:rFonts w:ascii="Calibri" w:hAnsi="Calibri"/>
                <w:b/>
                <w:i w:val="0"/>
                <w:color w:val="1F4D78"/>
                <w:sz w:val="18"/>
              </w:rPr>
              <w:t>Value</w:t>
            </w:r>
          </w:p>
        </w:tc>
      </w:tr>
      <w:tr>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Document type</w:t>
            </w:r>
          </w:p>
        </w:tc>
        <w:tc>
          <w:tcPr>
            <w:tcW w:type="dxa" w:w="7128"/>
            <w:vAlign w:val="center"/>
            <w:tcMar>
              <w:top w:w="80" w:type="dxa"/>
              <w:start w:w="120" w:type="dxa"/>
              <w:bottom w:w="80" w:type="dxa"/>
              <w:end w:w="120" w:type="dxa"/>
            </w:tcMar>
          </w:tcPr>
          <w:p>
            <w:pPr>
              <w:spacing w:after="0"/>
            </w:pPr>
            <w:r>
              <w:rPr>
                <w:rFonts w:ascii="Calibri" w:hAnsi="Calibri"/>
                <w:b w:val="0"/>
                <w:i w:val="0"/>
                <w:color w:val="172B4D"/>
                <w:sz w:val="18"/>
              </w:rPr>
              <w:t>Codex implementation architecture and migration handover</w:t>
            </w:r>
          </w:p>
        </w:tc>
      </w:tr>
      <w:tr>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Baseline</w:t>
            </w:r>
          </w:p>
        </w:tc>
        <w:tc>
          <w:tcPr>
            <w:tcW w:type="dxa" w:w="7128"/>
            <w:vAlign w:val="center"/>
            <w:tcMar>
              <w:top w:w="80" w:type="dxa"/>
              <w:start w:w="120" w:type="dxa"/>
              <w:bottom w:w="80" w:type="dxa"/>
              <w:end w:w="120" w:type="dxa"/>
            </w:tcMar>
          </w:tcPr>
          <w:p>
            <w:pPr>
              <w:spacing w:after="0"/>
            </w:pPr>
            <w:r>
              <w:rPr>
                <w:rFonts w:ascii="Calibri" w:hAnsi="Calibri"/>
                <w:b w:val="0"/>
                <w:i w:val="0"/>
                <w:color w:val="172B4D"/>
                <w:sz w:val="18"/>
              </w:rPr>
              <w:t>V3.2 Master plus Status Homogenization Closure Update</w:t>
            </w:r>
          </w:p>
        </w:tc>
      </w:tr>
      <w:tr>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Target outcome</w:t>
            </w:r>
          </w:p>
        </w:tc>
        <w:tc>
          <w:tcPr>
            <w:tcW w:type="dxa" w:w="7128"/>
            <w:vAlign w:val="center"/>
            <w:tcMar>
              <w:top w:w="80" w:type="dxa"/>
              <w:start w:w="120" w:type="dxa"/>
              <w:bottom w:w="80" w:type="dxa"/>
              <w:end w:w="120" w:type="dxa"/>
            </w:tcMar>
          </w:tcPr>
          <w:p>
            <w:pPr>
              <w:spacing w:after="0"/>
            </w:pPr>
            <w:r>
              <w:rPr>
                <w:rFonts w:ascii="Calibri" w:hAnsi="Calibri"/>
                <w:b w:val="0"/>
                <w:i w:val="0"/>
                <w:color w:val="172B4D"/>
                <w:sz w:val="18"/>
              </w:rPr>
              <w:t>One codebase supporting private live use and a curated, restricted demo workspace</w:t>
            </w:r>
          </w:p>
        </w:tc>
      </w:tr>
      <w:tr>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Migration posture</w:t>
            </w:r>
          </w:p>
        </w:tc>
        <w:tc>
          <w:tcPr>
            <w:tcW w:type="dxa" w:w="7128"/>
            <w:vAlign w:val="center"/>
            <w:tcMar>
              <w:top w:w="80" w:type="dxa"/>
              <w:start w:w="120" w:type="dxa"/>
              <w:bottom w:w="80" w:type="dxa"/>
              <w:end w:w="120" w:type="dxa"/>
            </w:tcMar>
          </w:tcPr>
          <w:p>
            <w:pPr>
              <w:spacing w:after="0"/>
            </w:pPr>
            <w:r>
              <w:rPr>
                <w:rFonts w:ascii="Calibri" w:hAnsi="Calibri"/>
                <w:b w:val="0"/>
                <w:i w:val="0"/>
                <w:color w:val="172B4D"/>
                <w:sz w:val="18"/>
              </w:rPr>
              <w:t>Additive, reversible, evidence-based; no reset or destructive reseeding</w:t>
            </w:r>
          </w:p>
        </w:tc>
      </w:tr>
      <w:tr>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Prepared</w:t>
            </w:r>
          </w:p>
        </w:tc>
        <w:tc>
          <w:tcPr>
            <w:tcW w:type="dxa" w:w="7128"/>
            <w:vAlign w:val="center"/>
            <w:tcMar>
              <w:top w:w="80" w:type="dxa"/>
              <w:start w:w="120" w:type="dxa"/>
              <w:bottom w:w="80" w:type="dxa"/>
              <w:end w:w="120" w:type="dxa"/>
            </w:tcMar>
          </w:tcPr>
          <w:p>
            <w:pPr>
              <w:spacing w:after="0"/>
            </w:pPr>
            <w:r>
              <w:rPr>
                <w:rFonts w:ascii="Calibri" w:hAnsi="Calibri"/>
                <w:b w:val="0"/>
                <w:i w:val="0"/>
                <w:color w:val="172B4D"/>
                <w:sz w:val="18"/>
              </w:rPr>
              <w:t>17 July 2026</w:t>
            </w:r>
          </w:p>
        </w:tc>
      </w:tr>
      <w:tr>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Decision status</w:t>
            </w:r>
          </w:p>
        </w:tc>
        <w:tc>
          <w:tcPr>
            <w:tcW w:type="dxa" w:w="7128"/>
            <w:vAlign w:val="center"/>
            <w:tcMar>
              <w:top w:w="80" w:type="dxa"/>
              <w:start w:w="120" w:type="dxa"/>
              <w:bottom w:w="80" w:type="dxa"/>
              <w:end w:w="120" w:type="dxa"/>
            </w:tcMar>
          </w:tcPr>
          <w:p>
            <w:pPr>
              <w:spacing w:after="0"/>
            </w:pPr>
            <w:r>
              <w:rPr>
                <w:rFonts w:ascii="Calibri" w:hAnsi="Calibri"/>
                <w:b w:val="0"/>
                <w:i w:val="0"/>
                <w:color w:val="172B4D"/>
                <w:sz w:val="18"/>
              </w:rPr>
              <w:t>Architecture approved in principle; implementation to proceed in controlled phases</w:t>
            </w:r>
          </w:p>
        </w:tc>
      </w:tr>
    </w:tbl>
    <w:p>
      <w:pPr>
        <w:spacing w:after="40"/>
      </w:pPr>
    </w:p>
    <w:p>
      <w:pPr>
        <w:pStyle w:val="Heading1"/>
      </w:pPr>
      <w:r>
        <w:rPr>
          <w:rFonts w:ascii="Calibri" w:hAnsi="Calibri"/>
          <w:b w:val="0"/>
          <w:i w:val="0"/>
          <w:color w:val="172B4D"/>
          <w:sz w:val="22"/>
        </w:rPr>
        <w:t>Architectural decision</w:t>
      </w:r>
    </w:p>
    <w:p>
      <w:pPr>
        <w:pStyle w:val="Callout"/>
      </w:pPr>
      <w:r>
        <w:rPr>
          <w:rFonts w:ascii="Calibri" w:hAnsi="Calibri"/>
          <w:b w:val="0"/>
          <w:i w:val="0"/>
          <w:color w:val="172B4D"/>
          <w:sz w:val="22"/>
        </w:rPr>
        <w:t>Do not create a separate demo application. Extend the existing Project Operations System with a reusable identity, authorization and workspace-access layer. The live project and the demonstration use the same code and governed models, but operate on explicitly separated data with different permissions.</w:t>
      </w:r>
    </w:p>
    <w:p>
      <w:r>
        <w:rPr>
          <w:rFonts w:ascii="Calibri" w:hAnsi="Calibri"/>
          <w:b w:val="0"/>
          <w:i w:val="0"/>
          <w:color w:val="172B4D"/>
          <w:sz w:val="22"/>
        </w:rPr>
        <w:t>This document is written for direct use by Codex. It defines the target architecture, implementation boundaries, schema direction, migration protocol, validation evidence, rollback rules and release gates. Code must be reconciled against the actual repository and Prisma schema before any migration is generated.</w:t>
      </w:r>
    </w:p>
    <w:p>
      <w:pPr>
        <w:pStyle w:val="Heading1"/>
      </w:pPr>
      <w:r>
        <w:rPr>
          <w:rFonts w:ascii="Calibri" w:hAnsi="Calibri"/>
          <w:b w:val="0"/>
          <w:i w:val="0"/>
          <w:color w:val="172B4D"/>
          <w:sz w:val="22"/>
        </w:rPr>
        <w:t>1. Objectives and Non-Negotiable Principles</w:t>
      </w:r>
    </w:p>
    <w:p>
      <w:pPr>
        <w:pStyle w:val="ListBullet"/>
        <w:spacing w:after="80"/>
      </w:pPr>
      <w:r>
        <w:t>Maintain one codebase and one architectural source of truth.</w:t>
      </w:r>
    </w:p>
    <w:p>
      <w:pPr>
        <w:pStyle w:val="ListBullet"/>
        <w:spacing w:after="80"/>
      </w:pPr>
      <w:r>
        <w:t>Protect the live Zaragoza project data while enabling controlled external demonstration.</w:t>
      </w:r>
    </w:p>
    <w:p>
      <w:pPr>
        <w:pStyle w:val="ListBullet"/>
        <w:spacing w:after="80"/>
      </w:pPr>
      <w:r>
        <w:t>Identify every user individually; the existing PPS access token remains only a perimeter gate during transition, not the application identity model.</w:t>
      </w:r>
    </w:p>
    <w:p>
      <w:pPr>
        <w:pStyle w:val="ListBullet"/>
        <w:spacing w:after="80"/>
      </w:pPr>
      <w:r>
        <w:t>Enforce authorization in server-side queries and mutations, not only by hiding navigation or buttons.</w:t>
      </w:r>
    </w:p>
    <w:p>
      <w:pPr>
        <w:pStyle w:val="ListBullet"/>
        <w:spacing w:after="80"/>
      </w:pPr>
      <w:r>
        <w:t>Separate demo and live data logically from the first security release.</w:t>
      </w:r>
    </w:p>
    <w:p>
      <w:pPr>
        <w:pStyle w:val="ListBullet"/>
        <w:spacing w:after="80"/>
      </w:pPr>
      <w:r>
        <w:t>Migrate existing live records without losing IDs, relations, status governance, timestamps or reporting history.</w:t>
      </w:r>
    </w:p>
    <w:p>
      <w:pPr>
        <w:pStyle w:val="ListBullet"/>
        <w:spacing w:after="80"/>
      </w:pPr>
      <w:r>
        <w:t>Use explicit checkpoints, backups, reconciliation reports and rollback criteria.</w:t>
      </w:r>
    </w:p>
    <w:p>
      <w:pPr>
        <w:pStyle w:val="ListBullet"/>
        <w:spacing w:after="80"/>
      </w:pPr>
      <w:r>
        <w:t>Avoid premature enterprise complexity: no full CRM, no arbitrary permission engine, no multi-tenant billing platform and no complete SSO program in this phase.</w:t>
      </w:r>
    </w:p>
    <w:p>
      <w:pPr>
        <w:pStyle w:val="Heading1"/>
      </w:pPr>
      <w:r>
        <w:rPr>
          <w:rFonts w:ascii="Calibri" w:hAnsi="Calibri"/>
          <w:b w:val="0"/>
          <w:i w:val="0"/>
          <w:color w:val="172B4D"/>
          <w:sz w:val="22"/>
        </w:rPr>
        <w:t>2. Current Baseline and Constraints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6"/>
            <w:shd w:fill="F2F4F7"/>
            <w:vAlign w:val="center"/>
            <w:tcMar>
              <w:top w:w="80" w:type="dxa"/>
              <w:start w:w="120" w:type="dxa"/>
              <w:bottom w:w="80" w:type="dxa"/>
              <w:end w:w="120" w:type="dxa"/>
            </w:tcMar>
          </w:tcPr>
          <w:p>
            <w:pPr>
              <w:spacing w:after="0"/>
            </w:pPr>
            <w:r>
              <w:rPr>
                <w:rFonts w:ascii="Calibri" w:hAnsi="Calibri"/>
                <w:b/>
                <w:i w:val="0"/>
                <w:color w:val="1F4D78"/>
                <w:sz w:val="18"/>
              </w:rPr>
              <w:t>Area</w:t>
            </w:r>
          </w:p>
        </w:tc>
        <w:tc>
          <w:tcPr>
            <w:tcW w:type="dxa" w:w="3240"/>
            <w:shd w:fill="F2F4F7"/>
            <w:vAlign w:val="center"/>
            <w:tcMar>
              <w:top w:w="80" w:type="dxa"/>
              <w:start w:w="120" w:type="dxa"/>
              <w:bottom w:w="80" w:type="dxa"/>
              <w:end w:w="120" w:type="dxa"/>
            </w:tcMar>
          </w:tcPr>
          <w:p>
            <w:pPr>
              <w:spacing w:after="0"/>
            </w:pPr>
            <w:r>
              <w:rPr>
                <w:rFonts w:ascii="Calibri" w:hAnsi="Calibri"/>
                <w:b/>
                <w:i w:val="0"/>
                <w:color w:val="1F4D78"/>
                <w:sz w:val="18"/>
              </w:rPr>
              <w:t>Current position</w:t>
            </w:r>
          </w:p>
        </w:tc>
        <w:tc>
          <w:tcPr>
            <w:tcW w:type="dxa" w:w="4464"/>
            <w:shd w:fill="F2F4F7"/>
            <w:vAlign w:val="center"/>
            <w:tcMar>
              <w:top w:w="80" w:type="dxa"/>
              <w:start w:w="120" w:type="dxa"/>
              <w:bottom w:w="80" w:type="dxa"/>
              <w:end w:w="120" w:type="dxa"/>
            </w:tcMar>
          </w:tcPr>
          <w:p>
            <w:pPr>
              <w:spacing w:after="0"/>
            </w:pPr>
            <w:r>
              <w:rPr>
                <w:rFonts w:ascii="Calibri" w:hAnsi="Calibri"/>
                <w:b/>
                <w:i w:val="0"/>
                <w:color w:val="1F4D78"/>
                <w:sz w:val="18"/>
              </w:rPr>
              <w:t>V3.3 implication</w:t>
            </w:r>
          </w:p>
        </w:tc>
      </w:tr>
      <w:tr>
        <w:tc>
          <w:tcPr>
            <w:tcW w:type="dxa" w:w="1656"/>
            <w:vAlign w:val="center"/>
            <w:tcMar>
              <w:top w:w="80" w:type="dxa"/>
              <w:start w:w="120" w:type="dxa"/>
              <w:bottom w:w="80" w:type="dxa"/>
              <w:end w:w="120" w:type="dxa"/>
            </w:tcMar>
          </w:tcPr>
          <w:p>
            <w:pPr>
              <w:spacing w:after="0"/>
            </w:pPr>
            <w:r>
              <w:rPr>
                <w:rFonts w:ascii="Calibri" w:hAnsi="Calibri"/>
                <w:b w:val="0"/>
                <w:i w:val="0"/>
                <w:color w:val="172B4D"/>
                <w:sz w:val="18"/>
              </w:rPr>
              <w:t>Application</w:t>
            </w:r>
          </w:p>
        </w:tc>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Next.js App Router, TypeScript/React, Prisma, SQLite, Server Actions</w:t>
            </w:r>
          </w:p>
        </w:tc>
        <w:tc>
          <w:tcPr>
            <w:tcW w:type="dxa" w:w="4464"/>
            <w:vAlign w:val="center"/>
            <w:tcMar>
              <w:top w:w="80" w:type="dxa"/>
              <w:start w:w="120" w:type="dxa"/>
              <w:bottom w:w="80" w:type="dxa"/>
              <w:end w:w="120" w:type="dxa"/>
            </w:tcMar>
          </w:tcPr>
          <w:p>
            <w:pPr>
              <w:spacing w:after="0"/>
            </w:pPr>
            <w:r>
              <w:rPr>
                <w:rFonts w:ascii="Calibri" w:hAnsi="Calibri"/>
                <w:b w:val="0"/>
                <w:i w:val="0"/>
                <w:color w:val="172B4D"/>
                <w:sz w:val="18"/>
              </w:rPr>
              <w:t>Preserve stack; add centralized identity and authorization services.</w:t>
            </w:r>
          </w:p>
        </w:tc>
      </w:tr>
      <w:tr>
        <w:tc>
          <w:tcPr>
            <w:tcW w:type="dxa" w:w="1656"/>
            <w:vAlign w:val="center"/>
            <w:tcMar>
              <w:top w:w="80" w:type="dxa"/>
              <w:start w:w="120" w:type="dxa"/>
              <w:bottom w:w="80" w:type="dxa"/>
              <w:end w:w="120" w:type="dxa"/>
            </w:tcMar>
          </w:tcPr>
          <w:p>
            <w:pPr>
              <w:spacing w:after="0"/>
            </w:pPr>
            <w:r>
              <w:rPr>
                <w:rFonts w:ascii="Calibri" w:hAnsi="Calibri"/>
                <w:b w:val="0"/>
                <w:i w:val="0"/>
                <w:color w:val="172B4D"/>
                <w:sz w:val="18"/>
              </w:rPr>
              <w:t>Access</w:t>
            </w:r>
          </w:p>
        </w:tc>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Private Tailscale Serve HTTPS plus PPS access token</w:t>
            </w:r>
          </w:p>
        </w:tc>
        <w:tc>
          <w:tcPr>
            <w:tcW w:type="dxa" w:w="4464"/>
            <w:vAlign w:val="center"/>
            <w:tcMar>
              <w:top w:w="80" w:type="dxa"/>
              <w:start w:w="120" w:type="dxa"/>
              <w:bottom w:w="80" w:type="dxa"/>
              <w:end w:w="120" w:type="dxa"/>
            </w:tcMar>
          </w:tcPr>
          <w:p>
            <w:pPr>
              <w:spacing w:after="0"/>
            </w:pPr>
            <w:r>
              <w:rPr>
                <w:rFonts w:ascii="Calibri" w:hAnsi="Calibri"/>
                <w:b w:val="0"/>
                <w:i w:val="0"/>
                <w:color w:val="172B4D"/>
                <w:sz w:val="18"/>
              </w:rPr>
              <w:t>Safe for owner mobile use; not sufficient as named-user authorization.</w:t>
            </w:r>
          </w:p>
        </w:tc>
      </w:tr>
      <w:tr>
        <w:tc>
          <w:tcPr>
            <w:tcW w:type="dxa" w:w="1656"/>
            <w:vAlign w:val="center"/>
            <w:tcMar>
              <w:top w:w="80" w:type="dxa"/>
              <w:start w:w="120" w:type="dxa"/>
              <w:bottom w:w="80" w:type="dxa"/>
              <w:end w:w="120" w:type="dxa"/>
            </w:tcMar>
          </w:tcPr>
          <w:p>
            <w:pPr>
              <w:spacing w:after="0"/>
            </w:pPr>
            <w:r>
              <w:rPr>
                <w:rFonts w:ascii="Calibri" w:hAnsi="Calibri"/>
                <w:b w:val="0"/>
                <w:i w:val="0"/>
                <w:color w:val="172B4D"/>
                <w:sz w:val="18"/>
              </w:rPr>
              <w:t>Live database</w:t>
            </w:r>
          </w:p>
        </w:tc>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C:\Users\maris\dev.db</w:t>
            </w:r>
          </w:p>
        </w:tc>
        <w:tc>
          <w:tcPr>
            <w:tcW w:type="dxa" w:w="4464"/>
            <w:vAlign w:val="center"/>
            <w:tcMar>
              <w:top w:w="80" w:type="dxa"/>
              <w:start w:w="120" w:type="dxa"/>
              <w:bottom w:w="80" w:type="dxa"/>
              <w:end w:w="120" w:type="dxa"/>
            </w:tcMar>
          </w:tcPr>
          <w:p>
            <w:pPr>
              <w:spacing w:after="0"/>
            </w:pPr>
            <w:r>
              <w:rPr>
                <w:rFonts w:ascii="Calibri" w:hAnsi="Calibri"/>
                <w:b w:val="0"/>
                <w:i w:val="0"/>
                <w:color w:val="172B4D"/>
                <w:sz w:val="18"/>
              </w:rPr>
              <w:t>Treat as canonical until verified otherwise. Never assume a project-local dev.db is live.</w:t>
            </w:r>
          </w:p>
        </w:tc>
      </w:tr>
      <w:tr>
        <w:tc>
          <w:tcPr>
            <w:tcW w:type="dxa" w:w="1656"/>
            <w:vAlign w:val="center"/>
            <w:tcMar>
              <w:top w:w="80" w:type="dxa"/>
              <w:start w:w="120" w:type="dxa"/>
              <w:bottom w:w="80" w:type="dxa"/>
              <w:end w:w="120" w:type="dxa"/>
            </w:tcMar>
          </w:tcPr>
          <w:p>
            <w:pPr>
              <w:spacing w:after="0"/>
            </w:pPr>
            <w:r>
              <w:rPr>
                <w:rFonts w:ascii="Calibri" w:hAnsi="Calibri"/>
                <w:b w:val="0"/>
                <w:i w:val="0"/>
                <w:color w:val="172B4D"/>
                <w:sz w:val="18"/>
              </w:rPr>
              <w:t>Governed status</w:t>
            </w:r>
          </w:p>
        </w:tc>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Status, StatusScope and StatusUsage; status homogenization closed</w:t>
            </w:r>
          </w:p>
        </w:tc>
        <w:tc>
          <w:tcPr>
            <w:tcW w:type="dxa" w:w="4464"/>
            <w:vAlign w:val="center"/>
            <w:tcMar>
              <w:top w:w="80" w:type="dxa"/>
              <w:start w:w="120" w:type="dxa"/>
              <w:bottom w:w="80" w:type="dxa"/>
              <w:end w:w="120" w:type="dxa"/>
            </w:tcMar>
          </w:tcPr>
          <w:p>
            <w:pPr>
              <w:spacing w:after="0"/>
            </w:pPr>
            <w:r>
              <w:rPr>
                <w:rFonts w:ascii="Calibri" w:hAnsi="Calibri"/>
                <w:b w:val="0"/>
                <w:i w:val="0"/>
                <w:color w:val="172B4D"/>
                <w:sz w:val="18"/>
              </w:rPr>
              <w:t>Security migration must not reopen or duplicate status architecture.</w:t>
            </w:r>
          </w:p>
        </w:tc>
      </w:tr>
      <w:tr>
        <w:tc>
          <w:tcPr>
            <w:tcW w:type="dxa" w:w="1656"/>
            <w:vAlign w:val="center"/>
            <w:tcMar>
              <w:top w:w="80" w:type="dxa"/>
              <w:start w:w="120" w:type="dxa"/>
              <w:bottom w:w="80" w:type="dxa"/>
              <w:end w:w="120" w:type="dxa"/>
            </w:tcMar>
          </w:tcPr>
          <w:p>
            <w:pPr>
              <w:spacing w:after="0"/>
            </w:pPr>
            <w:r>
              <w:rPr>
                <w:rFonts w:ascii="Calibri" w:hAnsi="Calibri"/>
                <w:b w:val="0"/>
                <w:i w:val="0"/>
                <w:color w:val="172B4D"/>
                <w:sz w:val="18"/>
              </w:rPr>
              <w:t>Project manager</w:t>
            </w:r>
          </w:p>
        </w:tc>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Project.projectManagerId; User master currently seed-managed</w:t>
            </w:r>
          </w:p>
        </w:tc>
        <w:tc>
          <w:tcPr>
            <w:tcW w:type="dxa" w:w="4464"/>
            <w:vAlign w:val="center"/>
            <w:tcMar>
              <w:top w:w="80" w:type="dxa"/>
              <w:start w:w="120" w:type="dxa"/>
              <w:bottom w:w="80" w:type="dxa"/>
              <w:end w:w="120" w:type="dxa"/>
            </w:tcMar>
          </w:tcPr>
          <w:p>
            <w:pPr>
              <w:spacing w:after="0"/>
            </w:pPr>
            <w:r>
              <w:rPr>
                <w:rFonts w:ascii="Calibri" w:hAnsi="Calibri"/>
                <w:b w:val="0"/>
                <w:i w:val="0"/>
                <w:color w:val="172B4D"/>
                <w:sz w:val="18"/>
              </w:rPr>
              <w:t>Existing users require identity reconciliation before authentication linkage.</w:t>
            </w:r>
          </w:p>
        </w:tc>
      </w:tr>
      <w:tr>
        <w:tc>
          <w:tcPr>
            <w:tcW w:type="dxa" w:w="1656"/>
            <w:vAlign w:val="center"/>
            <w:tcMar>
              <w:top w:w="80" w:type="dxa"/>
              <w:start w:w="120" w:type="dxa"/>
              <w:bottom w:w="80" w:type="dxa"/>
              <w:end w:w="120" w:type="dxa"/>
            </w:tcMar>
          </w:tcPr>
          <w:p>
            <w:pPr>
              <w:spacing w:after="0"/>
            </w:pPr>
            <w:r>
              <w:rPr>
                <w:rFonts w:ascii="Calibri" w:hAnsi="Calibri"/>
                <w:b w:val="0"/>
                <w:i w:val="0"/>
                <w:color w:val="172B4D"/>
                <w:sz w:val="18"/>
              </w:rPr>
              <w:t>Data sensitivity</w:t>
            </w:r>
          </w:p>
        </w:tc>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Real project operations, contacts, risks, decisions and reporting narrative</w:t>
            </w:r>
          </w:p>
        </w:tc>
        <w:tc>
          <w:tcPr>
            <w:tcW w:type="dxa" w:w="4464"/>
            <w:vAlign w:val="center"/>
            <w:tcMar>
              <w:top w:w="80" w:type="dxa"/>
              <w:start w:w="120" w:type="dxa"/>
              <w:bottom w:w="80" w:type="dxa"/>
              <w:end w:w="120" w:type="dxa"/>
            </w:tcMar>
          </w:tcPr>
          <w:p>
            <w:pPr>
              <w:spacing w:after="0"/>
            </w:pPr>
            <w:r>
              <w:rPr>
                <w:rFonts w:ascii="Calibri" w:hAnsi="Calibri"/>
                <w:b w:val="0"/>
                <w:i w:val="0"/>
                <w:color w:val="172B4D"/>
                <w:sz w:val="18"/>
              </w:rPr>
              <w:t>Demo must use fictional/synthetic data and explicit project access.</w:t>
            </w:r>
          </w:p>
        </w:tc>
      </w:tr>
    </w:tbl>
    <w:p>
      <w:pPr>
        <w:spacing w:after="40"/>
      </w:pPr>
    </w:p>
    <w:p>
      <w:pPr>
        <w:pStyle w:val="Heading1"/>
      </w:pPr>
      <w:r>
        <w:rPr>
          <w:rFonts w:ascii="Calibri" w:hAnsi="Calibri"/>
          <w:b w:val="0"/>
          <w:i w:val="0"/>
          <w:color w:val="172B4D"/>
          <w:sz w:val="22"/>
        </w:rPr>
        <w:t>3. Target Security Architecture</w:t>
      </w:r>
    </w:p>
    <w:p>
      <w:pPr>
        <w:pStyle w:val="Heading2"/>
      </w:pPr>
      <w:r>
        <w:rPr>
          <w:rFonts w:ascii="Calibri" w:hAnsi="Calibri"/>
          <w:b w:val="0"/>
          <w:i w:val="0"/>
          <w:color w:val="172B4D"/>
          <w:sz w:val="22"/>
        </w:rPr>
        <w:t>3.1 Security layers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12"/>
            <w:shd w:fill="F2F4F7"/>
            <w:vAlign w:val="center"/>
            <w:tcMar>
              <w:top w:w="80" w:type="dxa"/>
              <w:start w:w="120" w:type="dxa"/>
              <w:bottom w:w="80" w:type="dxa"/>
              <w:end w:w="120" w:type="dxa"/>
            </w:tcMar>
          </w:tcPr>
          <w:p>
            <w:pPr>
              <w:spacing w:after="0"/>
            </w:pPr>
            <w:r>
              <w:rPr>
                <w:rFonts w:ascii="Calibri" w:hAnsi="Calibri"/>
                <w:b/>
                <w:i w:val="0"/>
                <w:color w:val="1F4D78"/>
                <w:sz w:val="18"/>
              </w:rPr>
              <w:t>Layer</w:t>
            </w:r>
          </w:p>
        </w:tc>
        <w:tc>
          <w:tcPr>
            <w:tcW w:type="dxa" w:w="3024"/>
            <w:shd w:fill="F2F4F7"/>
            <w:vAlign w:val="center"/>
            <w:tcMar>
              <w:top w:w="80" w:type="dxa"/>
              <w:start w:w="120" w:type="dxa"/>
              <w:bottom w:w="80" w:type="dxa"/>
              <w:end w:w="120" w:type="dxa"/>
            </w:tcMar>
          </w:tcPr>
          <w:p>
            <w:pPr>
              <w:spacing w:after="0"/>
            </w:pPr>
            <w:r>
              <w:rPr>
                <w:rFonts w:ascii="Calibri" w:hAnsi="Calibri"/>
                <w:b/>
                <w:i w:val="0"/>
                <w:color w:val="1F4D78"/>
                <w:sz w:val="18"/>
              </w:rPr>
              <w:t>Responsibility</w:t>
            </w:r>
          </w:p>
        </w:tc>
        <w:tc>
          <w:tcPr>
            <w:tcW w:type="dxa" w:w="4824"/>
            <w:shd w:fill="F2F4F7"/>
            <w:vAlign w:val="center"/>
            <w:tcMar>
              <w:top w:w="80" w:type="dxa"/>
              <w:start w:w="120" w:type="dxa"/>
              <w:bottom w:w="80" w:type="dxa"/>
              <w:end w:w="120" w:type="dxa"/>
            </w:tcMar>
          </w:tcPr>
          <w:p>
            <w:pPr>
              <w:spacing w:after="0"/>
            </w:pPr>
            <w:r>
              <w:rPr>
                <w:rFonts w:ascii="Calibri" w:hAnsi="Calibri"/>
                <w:b/>
                <w:i w:val="0"/>
                <w:color w:val="1F4D78"/>
                <w:sz w:val="18"/>
              </w:rPr>
              <w:t>Examples</w:t>
            </w:r>
          </w:p>
        </w:tc>
      </w:tr>
      <w:tr>
        <w:tc>
          <w:tcPr>
            <w:tcW w:type="dxa" w:w="1512"/>
            <w:vAlign w:val="center"/>
            <w:tcMar>
              <w:top w:w="80" w:type="dxa"/>
              <w:start w:w="120" w:type="dxa"/>
              <w:bottom w:w="80" w:type="dxa"/>
              <w:end w:w="120" w:type="dxa"/>
            </w:tcMar>
          </w:tcPr>
          <w:p>
            <w:pPr>
              <w:spacing w:after="0"/>
            </w:pPr>
            <w:r>
              <w:rPr>
                <w:rFonts w:ascii="Calibri" w:hAnsi="Calibri"/>
                <w:b w:val="0"/>
                <w:i w:val="0"/>
                <w:color w:val="172B4D"/>
                <w:sz w:val="18"/>
              </w:rPr>
              <w:t>Perimeter</w:t>
            </w:r>
          </w:p>
        </w:tc>
        <w:tc>
          <w:tcPr>
            <w:tcW w:type="dxa" w:w="3024"/>
            <w:vAlign w:val="center"/>
            <w:tcMar>
              <w:top w:w="80" w:type="dxa"/>
              <w:start w:w="120" w:type="dxa"/>
              <w:bottom w:w="80" w:type="dxa"/>
              <w:end w:w="120" w:type="dxa"/>
            </w:tcMar>
          </w:tcPr>
          <w:p>
            <w:pPr>
              <w:spacing w:after="0"/>
            </w:pPr>
            <w:r>
              <w:rPr>
                <w:rFonts w:ascii="Calibri" w:hAnsi="Calibri"/>
                <w:b w:val="0"/>
                <w:i w:val="0"/>
                <w:color w:val="172B4D"/>
                <w:sz w:val="18"/>
              </w:rPr>
              <w:t>Restrict network reachability during the transitional local-hosted phase</w:t>
            </w:r>
          </w:p>
        </w:tc>
        <w:tc>
          <w:tcPr>
            <w:tcW w:type="dxa" w:w="4824"/>
            <w:vAlign w:val="center"/>
            <w:tcMar>
              <w:top w:w="80" w:type="dxa"/>
              <w:start w:w="120" w:type="dxa"/>
              <w:bottom w:w="80" w:type="dxa"/>
              <w:end w:w="120" w:type="dxa"/>
            </w:tcMar>
          </w:tcPr>
          <w:p>
            <w:pPr>
              <w:spacing w:after="0"/>
            </w:pPr>
            <w:r>
              <w:rPr>
                <w:rFonts w:ascii="Calibri" w:hAnsi="Calibri"/>
                <w:b w:val="0"/>
                <w:i w:val="0"/>
                <w:color w:val="172B4D"/>
                <w:sz w:val="18"/>
              </w:rPr>
              <w:t>Tailscale Serve HTTPS; PPS access gate retained temporarily.</w:t>
            </w:r>
          </w:p>
        </w:tc>
      </w:tr>
      <w:tr>
        <w:tc>
          <w:tcPr>
            <w:tcW w:type="dxa" w:w="1512"/>
            <w:vAlign w:val="center"/>
            <w:tcMar>
              <w:top w:w="80" w:type="dxa"/>
              <w:start w:w="120" w:type="dxa"/>
              <w:bottom w:w="80" w:type="dxa"/>
              <w:end w:w="120" w:type="dxa"/>
            </w:tcMar>
          </w:tcPr>
          <w:p>
            <w:pPr>
              <w:spacing w:after="0"/>
            </w:pPr>
            <w:r>
              <w:rPr>
                <w:rFonts w:ascii="Calibri" w:hAnsi="Calibri"/>
                <w:b w:val="0"/>
                <w:i w:val="0"/>
                <w:color w:val="172B4D"/>
                <w:sz w:val="18"/>
              </w:rPr>
              <w:t>Authentication</w:t>
            </w:r>
          </w:p>
        </w:tc>
        <w:tc>
          <w:tcPr>
            <w:tcW w:type="dxa" w:w="3024"/>
            <w:vAlign w:val="center"/>
            <w:tcMar>
              <w:top w:w="80" w:type="dxa"/>
              <w:start w:w="120" w:type="dxa"/>
              <w:bottom w:w="80" w:type="dxa"/>
              <w:end w:w="120" w:type="dxa"/>
            </w:tcMar>
          </w:tcPr>
          <w:p>
            <w:pPr>
              <w:spacing w:after="0"/>
            </w:pPr>
            <w:r>
              <w:rPr>
                <w:rFonts w:ascii="Calibri" w:hAnsi="Calibri"/>
                <w:b w:val="0"/>
                <w:i w:val="0"/>
                <w:color w:val="172B4D"/>
                <w:sz w:val="18"/>
              </w:rPr>
              <w:t>Establish who the user is</w:t>
            </w:r>
          </w:p>
        </w:tc>
        <w:tc>
          <w:tcPr>
            <w:tcW w:type="dxa" w:w="4824"/>
            <w:vAlign w:val="center"/>
            <w:tcMar>
              <w:top w:w="80" w:type="dxa"/>
              <w:start w:w="120" w:type="dxa"/>
              <w:bottom w:w="80" w:type="dxa"/>
              <w:end w:w="120" w:type="dxa"/>
            </w:tcMar>
          </w:tcPr>
          <w:p>
            <w:pPr>
              <w:spacing w:after="0"/>
            </w:pPr>
            <w:r>
              <w:rPr>
                <w:rFonts w:ascii="Calibri" w:hAnsi="Calibri"/>
                <w:b w:val="0"/>
                <w:i w:val="0"/>
                <w:color w:val="172B4D"/>
                <w:sz w:val="18"/>
              </w:rPr>
              <w:t>Named account, secure session, password hash or selected identity provider.</w:t>
            </w:r>
          </w:p>
        </w:tc>
      </w:tr>
      <w:tr>
        <w:tc>
          <w:tcPr>
            <w:tcW w:type="dxa" w:w="1512"/>
            <w:vAlign w:val="center"/>
            <w:tcMar>
              <w:top w:w="80" w:type="dxa"/>
              <w:start w:w="120" w:type="dxa"/>
              <w:bottom w:w="80" w:type="dxa"/>
              <w:end w:w="120" w:type="dxa"/>
            </w:tcMar>
          </w:tcPr>
          <w:p>
            <w:pPr>
              <w:spacing w:after="0"/>
            </w:pPr>
            <w:r>
              <w:rPr>
                <w:rFonts w:ascii="Calibri" w:hAnsi="Calibri"/>
                <w:b w:val="0"/>
                <w:i w:val="0"/>
                <w:color w:val="172B4D"/>
                <w:sz w:val="18"/>
              </w:rPr>
              <w:t>Authorization</w:t>
            </w:r>
          </w:p>
        </w:tc>
        <w:tc>
          <w:tcPr>
            <w:tcW w:type="dxa" w:w="3024"/>
            <w:vAlign w:val="center"/>
            <w:tcMar>
              <w:top w:w="80" w:type="dxa"/>
              <w:start w:w="120" w:type="dxa"/>
              <w:bottom w:w="80" w:type="dxa"/>
              <w:end w:w="120" w:type="dxa"/>
            </w:tcMar>
          </w:tcPr>
          <w:p>
            <w:pPr>
              <w:spacing w:after="0"/>
            </w:pPr>
            <w:r>
              <w:rPr>
                <w:rFonts w:ascii="Calibri" w:hAnsi="Calibri"/>
                <w:b w:val="0"/>
                <w:i w:val="0"/>
                <w:color w:val="172B4D"/>
                <w:sz w:val="18"/>
              </w:rPr>
              <w:t>Decide what an authenticated user may do</w:t>
            </w:r>
          </w:p>
        </w:tc>
        <w:tc>
          <w:tcPr>
            <w:tcW w:type="dxa" w:w="4824"/>
            <w:vAlign w:val="center"/>
            <w:tcMar>
              <w:top w:w="80" w:type="dxa"/>
              <w:start w:w="120" w:type="dxa"/>
              <w:bottom w:w="80" w:type="dxa"/>
              <w:end w:w="120" w:type="dxa"/>
            </w:tcMar>
          </w:tcPr>
          <w:p>
            <w:pPr>
              <w:spacing w:after="0"/>
            </w:pPr>
            <w:r>
              <w:rPr>
                <w:rFonts w:ascii="Calibri" w:hAnsi="Calibri"/>
                <w:b w:val="0"/>
                <w:i w:val="0"/>
                <w:color w:val="172B4D"/>
                <w:sz w:val="18"/>
              </w:rPr>
              <w:t>Role capabilities plus explicit workspace/project memberships.</w:t>
            </w:r>
          </w:p>
        </w:tc>
      </w:tr>
      <w:tr>
        <w:tc>
          <w:tcPr>
            <w:tcW w:type="dxa" w:w="1512"/>
            <w:vAlign w:val="center"/>
            <w:tcMar>
              <w:top w:w="80" w:type="dxa"/>
              <w:start w:w="120" w:type="dxa"/>
              <w:bottom w:w="80" w:type="dxa"/>
              <w:end w:w="120" w:type="dxa"/>
            </w:tcMar>
          </w:tcPr>
          <w:p>
            <w:pPr>
              <w:spacing w:after="0"/>
            </w:pPr>
            <w:r>
              <w:rPr>
                <w:rFonts w:ascii="Calibri" w:hAnsi="Calibri"/>
                <w:b w:val="0"/>
                <w:i w:val="0"/>
                <w:color w:val="172B4D"/>
                <w:sz w:val="18"/>
              </w:rPr>
              <w:t>Data scope</w:t>
            </w:r>
          </w:p>
        </w:tc>
        <w:tc>
          <w:tcPr>
            <w:tcW w:type="dxa" w:w="3024"/>
            <w:vAlign w:val="center"/>
            <w:tcMar>
              <w:top w:w="80" w:type="dxa"/>
              <w:start w:w="120" w:type="dxa"/>
              <w:bottom w:w="80" w:type="dxa"/>
              <w:end w:w="120" w:type="dxa"/>
            </w:tcMar>
          </w:tcPr>
          <w:p>
            <w:pPr>
              <w:spacing w:after="0"/>
            </w:pPr>
            <w:r>
              <w:rPr>
                <w:rFonts w:ascii="Calibri" w:hAnsi="Calibri"/>
                <w:b w:val="0"/>
                <w:i w:val="0"/>
                <w:color w:val="172B4D"/>
                <w:sz w:val="18"/>
              </w:rPr>
              <w:t>Constrain every read and mutation</w:t>
            </w:r>
          </w:p>
        </w:tc>
        <w:tc>
          <w:tcPr>
            <w:tcW w:type="dxa" w:w="4824"/>
            <w:vAlign w:val="center"/>
            <w:tcMar>
              <w:top w:w="80" w:type="dxa"/>
              <w:start w:w="120" w:type="dxa"/>
              <w:bottom w:w="80" w:type="dxa"/>
              <w:end w:w="120" w:type="dxa"/>
            </w:tcMar>
          </w:tcPr>
          <w:p>
            <w:pPr>
              <w:spacing w:after="0"/>
            </w:pPr>
            <w:r>
              <w:rPr>
                <w:rFonts w:ascii="Calibri" w:hAnsi="Calibri"/>
                <w:b w:val="0"/>
                <w:i w:val="0"/>
                <w:color w:val="172B4D"/>
                <w:sz w:val="18"/>
              </w:rPr>
              <w:t>Workspace and project filters applied server-side.</w:t>
            </w:r>
          </w:p>
        </w:tc>
      </w:tr>
      <w:tr>
        <w:tc>
          <w:tcPr>
            <w:tcW w:type="dxa" w:w="1512"/>
            <w:vAlign w:val="center"/>
            <w:tcMar>
              <w:top w:w="80" w:type="dxa"/>
              <w:start w:w="120" w:type="dxa"/>
              <w:bottom w:w="80" w:type="dxa"/>
              <w:end w:w="120" w:type="dxa"/>
            </w:tcMar>
          </w:tcPr>
          <w:p>
            <w:pPr>
              <w:spacing w:after="0"/>
            </w:pPr>
            <w:r>
              <w:rPr>
                <w:rFonts w:ascii="Calibri" w:hAnsi="Calibri"/>
                <w:b w:val="0"/>
                <w:i w:val="0"/>
                <w:color w:val="172B4D"/>
                <w:sz w:val="18"/>
              </w:rPr>
              <w:t>Audit</w:t>
            </w:r>
          </w:p>
        </w:tc>
        <w:tc>
          <w:tcPr>
            <w:tcW w:type="dxa" w:w="3024"/>
            <w:vAlign w:val="center"/>
            <w:tcMar>
              <w:top w:w="80" w:type="dxa"/>
              <w:start w:w="120" w:type="dxa"/>
              <w:bottom w:w="80" w:type="dxa"/>
              <w:end w:w="120" w:type="dxa"/>
            </w:tcMar>
          </w:tcPr>
          <w:p>
            <w:pPr>
              <w:spacing w:after="0"/>
            </w:pPr>
            <w:r>
              <w:rPr>
                <w:rFonts w:ascii="Calibri" w:hAnsi="Calibri"/>
                <w:b w:val="0"/>
                <w:i w:val="0"/>
                <w:color w:val="172B4D"/>
                <w:sz w:val="18"/>
              </w:rPr>
              <w:t>Record security-relevant changes and access events</w:t>
            </w:r>
          </w:p>
        </w:tc>
        <w:tc>
          <w:tcPr>
            <w:tcW w:type="dxa" w:w="4824"/>
            <w:vAlign w:val="center"/>
            <w:tcMar>
              <w:top w:w="80" w:type="dxa"/>
              <w:start w:w="120" w:type="dxa"/>
              <w:bottom w:w="80" w:type="dxa"/>
              <w:end w:w="120" w:type="dxa"/>
            </w:tcMar>
          </w:tcPr>
          <w:p>
            <w:pPr>
              <w:spacing w:after="0"/>
            </w:pPr>
            <w:r>
              <w:rPr>
                <w:rFonts w:ascii="Calibri" w:hAnsi="Calibri"/>
                <w:b w:val="0"/>
                <w:i w:val="0"/>
                <w:color w:val="172B4D"/>
                <w:sz w:val="18"/>
              </w:rPr>
              <w:t>Login outcomes, membership changes, critical mutations, exports.</w:t>
            </w:r>
          </w:p>
        </w:tc>
      </w:tr>
      <w:tr>
        <w:tc>
          <w:tcPr>
            <w:tcW w:type="dxa" w:w="1512"/>
            <w:vAlign w:val="center"/>
            <w:tcMar>
              <w:top w:w="80" w:type="dxa"/>
              <w:start w:w="120" w:type="dxa"/>
              <w:bottom w:w="80" w:type="dxa"/>
              <w:end w:w="120" w:type="dxa"/>
            </w:tcMar>
          </w:tcPr>
          <w:p>
            <w:pPr>
              <w:spacing w:after="0"/>
            </w:pPr>
            <w:r>
              <w:rPr>
                <w:rFonts w:ascii="Calibri" w:hAnsi="Calibri"/>
                <w:b w:val="0"/>
                <w:i w:val="0"/>
                <w:color w:val="172B4D"/>
                <w:sz w:val="18"/>
              </w:rPr>
              <w:t>Operational protection</w:t>
            </w:r>
          </w:p>
        </w:tc>
        <w:tc>
          <w:tcPr>
            <w:tcW w:type="dxa" w:w="3024"/>
            <w:vAlign w:val="center"/>
            <w:tcMar>
              <w:top w:w="80" w:type="dxa"/>
              <w:start w:w="120" w:type="dxa"/>
              <w:bottom w:w="80" w:type="dxa"/>
              <w:end w:w="120" w:type="dxa"/>
            </w:tcMar>
          </w:tcPr>
          <w:p>
            <w:pPr>
              <w:spacing w:after="0"/>
            </w:pPr>
            <w:r>
              <w:rPr>
                <w:rFonts w:ascii="Calibri" w:hAnsi="Calibri"/>
                <w:b w:val="0"/>
                <w:i w:val="0"/>
                <w:color w:val="172B4D"/>
                <w:sz w:val="18"/>
              </w:rPr>
              <w:t>Protect credentials, backups and recovery</w:t>
            </w:r>
          </w:p>
        </w:tc>
        <w:tc>
          <w:tcPr>
            <w:tcW w:type="dxa" w:w="4824"/>
            <w:vAlign w:val="center"/>
            <w:tcMar>
              <w:top w:w="80" w:type="dxa"/>
              <w:start w:w="120" w:type="dxa"/>
              <w:bottom w:w="80" w:type="dxa"/>
              <w:end w:w="120" w:type="dxa"/>
            </w:tcMar>
          </w:tcPr>
          <w:p>
            <w:pPr>
              <w:spacing w:after="0"/>
            </w:pPr>
            <w:r>
              <w:rPr>
                <w:rFonts w:ascii="Calibri" w:hAnsi="Calibri"/>
                <w:b w:val="0"/>
                <w:i w:val="0"/>
                <w:color w:val="172B4D"/>
                <w:sz w:val="18"/>
              </w:rPr>
              <w:t>Secrets outside source control, tested restore, migration evidence.</w:t>
            </w:r>
          </w:p>
        </w:tc>
      </w:tr>
    </w:tbl>
    <w:p>
      <w:pPr>
        <w:spacing w:after="40"/>
      </w:pPr>
    </w:p>
    <w:p>
      <w:pPr>
        <w:pStyle w:val="Heading2"/>
      </w:pPr>
      <w:r>
        <w:rPr>
          <w:rFonts w:ascii="Calibri" w:hAnsi="Calibri"/>
          <w:b w:val="0"/>
          <w:i w:val="0"/>
          <w:color w:val="172B4D"/>
          <w:sz w:val="22"/>
        </w:rPr>
        <w:t>3.2 Core authorization rule</w:t>
      </w:r>
    </w:p>
    <w:p>
      <w:pPr>
        <w:pStyle w:val="Callout"/>
      </w:pPr>
      <w:r>
        <w:rPr>
          <w:rFonts w:ascii="Calibri" w:hAnsi="Calibri"/>
          <w:b w:val="0"/>
          <w:i w:val="0"/>
          <w:color w:val="172B4D"/>
          <w:sz w:val="22"/>
        </w:rPr>
        <w:t>Every protected server page, query, server action, export and reporting builder must derive an authorization context from the authenticated session. Client-side visibility is usability only; it is never the security boundary.</w:t>
      </w:r>
    </w:p>
    <w:p>
      <w:pPr>
        <w:pStyle w:val="CodeBlock"/>
      </w:pPr>
      <w:r>
        <w:rPr>
          <w:rFonts w:ascii="Calibri" w:hAnsi="Calibri"/>
          <w:b w:val="0"/>
          <w:i w:val="0"/>
          <w:color w:val="172B4D"/>
          <w:sz w:val="22"/>
        </w:rPr>
        <w:t>const context = await requireAuthorizationContext();</w:t>
      </w:r>
    </w:p>
    <w:p>
      <w:pPr>
        <w:pStyle w:val="CodeBlock"/>
      </w:pPr>
      <w:r>
        <w:rPr>
          <w:rFonts w:ascii="Calibri" w:hAnsi="Calibri"/>
          <w:b w:val="0"/>
          <w:i w:val="0"/>
          <w:color w:val="172B4D"/>
          <w:sz w:val="22"/>
        </w:rPr>
        <w:t>await requireProjectCapability(context, projectId, "PROJECT_VIEW");</w:t>
      </w:r>
    </w:p>
    <w:p>
      <w:pPr>
        <w:pStyle w:val="CodeBlock"/>
      </w:pPr>
      <w:r>
        <w:rPr>
          <w:rFonts w:ascii="Calibri" w:hAnsi="Calibri"/>
          <w:b w:val="0"/>
          <w:i w:val="0"/>
          <w:color w:val="172B4D"/>
          <w:sz w:val="22"/>
        </w:rPr>
      </w:r>
    </w:p>
    <w:p>
      <w:pPr>
        <w:pStyle w:val="CodeBlock"/>
      </w:pPr>
      <w:r>
        <w:rPr>
          <w:rFonts w:ascii="Calibri" w:hAnsi="Calibri"/>
          <w:b w:val="0"/>
          <w:i w:val="0"/>
          <w:color w:val="172B4D"/>
          <w:sz w:val="22"/>
        </w:rPr>
        <w:t>// Query must still be scoped server-side.</w:t>
      </w:r>
    </w:p>
    <w:p>
      <w:pPr>
        <w:pStyle w:val="CodeBlock"/>
      </w:pPr>
      <w:r>
        <w:rPr>
          <w:rFonts w:ascii="Calibri" w:hAnsi="Calibri"/>
          <w:b w:val="0"/>
          <w:i w:val="0"/>
          <w:color w:val="172B4D"/>
          <w:sz w:val="22"/>
        </w:rPr>
        <w:t>const project = await prisma.project.findFirst({</w:t>
      </w:r>
    </w:p>
    <w:p>
      <w:pPr>
        <w:pStyle w:val="CodeBlock"/>
      </w:pPr>
      <w:r>
        <w:rPr>
          <w:rFonts w:ascii="Calibri" w:hAnsi="Calibri"/>
          <w:b w:val="0"/>
          <w:i w:val="0"/>
          <w:color w:val="172B4D"/>
          <w:sz w:val="22"/>
        </w:rPr>
        <w:t xml:space="preserve">  where: { id: projectId, workspaceId: { in: context.workspaceIds } },</w:t>
      </w:r>
    </w:p>
    <w:p>
      <w:pPr>
        <w:pStyle w:val="CodeBlock"/>
      </w:pPr>
      <w:r>
        <w:rPr>
          <w:rFonts w:ascii="Calibri" w:hAnsi="Calibri"/>
          <w:b w:val="0"/>
          <w:i w:val="0"/>
          <w:color w:val="172B4D"/>
          <w:sz w:val="22"/>
        </w:rPr>
        <w:t>});</w:t>
      </w:r>
    </w:p>
    <w:p>
      <w:pPr>
        <w:pStyle w:val="Heading2"/>
      </w:pPr>
      <w:r>
        <w:rPr>
          <w:rFonts w:ascii="Calibri" w:hAnsi="Calibri"/>
          <w:b w:val="0"/>
          <w:i w:val="0"/>
          <w:color w:val="172B4D"/>
          <w:sz w:val="22"/>
        </w:rPr>
        <w:t>3.3 Initial role model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shd w:fill="F2F4F7"/>
            <w:vAlign w:val="center"/>
            <w:tcMar>
              <w:top w:w="80" w:type="dxa"/>
              <w:start w:w="120" w:type="dxa"/>
              <w:bottom w:w="80" w:type="dxa"/>
              <w:end w:w="120" w:type="dxa"/>
            </w:tcMar>
          </w:tcPr>
          <w:p>
            <w:pPr>
              <w:spacing w:after="0"/>
            </w:pPr>
            <w:r>
              <w:rPr>
                <w:rFonts w:ascii="Calibri" w:hAnsi="Calibri"/>
                <w:b/>
                <w:i w:val="0"/>
                <w:color w:val="1F4D78"/>
                <w:sz w:val="18"/>
              </w:rPr>
              <w:t>Role</w:t>
            </w:r>
          </w:p>
        </w:tc>
        <w:tc>
          <w:tcPr>
            <w:tcW w:type="dxa" w:w="3024"/>
            <w:shd w:fill="F2F4F7"/>
            <w:vAlign w:val="center"/>
            <w:tcMar>
              <w:top w:w="80" w:type="dxa"/>
              <w:start w:w="120" w:type="dxa"/>
              <w:bottom w:w="80" w:type="dxa"/>
              <w:end w:w="120" w:type="dxa"/>
            </w:tcMar>
          </w:tcPr>
          <w:p>
            <w:pPr>
              <w:spacing w:after="0"/>
            </w:pPr>
            <w:r>
              <w:rPr>
                <w:rFonts w:ascii="Calibri" w:hAnsi="Calibri"/>
                <w:b/>
                <w:i w:val="0"/>
                <w:color w:val="1F4D78"/>
                <w:sz w:val="18"/>
              </w:rPr>
              <w:t>Purpose</w:t>
            </w:r>
          </w:p>
        </w:tc>
        <w:tc>
          <w:tcPr>
            <w:tcW w:type="dxa" w:w="4464"/>
            <w:shd w:fill="F2F4F7"/>
            <w:vAlign w:val="center"/>
            <w:tcMar>
              <w:top w:w="80" w:type="dxa"/>
              <w:start w:w="120" w:type="dxa"/>
              <w:bottom w:w="80" w:type="dxa"/>
              <w:end w:w="120" w:type="dxa"/>
            </w:tcMar>
          </w:tcPr>
          <w:p>
            <w:pPr>
              <w:spacing w:after="0"/>
            </w:pPr>
            <w:r>
              <w:rPr>
                <w:rFonts w:ascii="Calibri" w:hAnsi="Calibri"/>
                <w:b/>
                <w:i w:val="0"/>
                <w:color w:val="1F4D78"/>
                <w:sz w:val="18"/>
              </w:rPr>
              <w:t>Initial capabilities</w:t>
            </w:r>
          </w:p>
        </w:tc>
      </w:tr>
      <w:tr>
        <w:tc>
          <w:tcPr>
            <w:tcW w:type="dxa" w:w="1872"/>
            <w:vAlign w:val="center"/>
            <w:tcMar>
              <w:top w:w="80" w:type="dxa"/>
              <w:start w:w="120" w:type="dxa"/>
              <w:bottom w:w="80" w:type="dxa"/>
              <w:end w:w="120" w:type="dxa"/>
            </w:tcMar>
          </w:tcPr>
          <w:p>
            <w:pPr>
              <w:spacing w:after="0"/>
            </w:pPr>
            <w:r>
              <w:rPr>
                <w:rFonts w:ascii="Calibri" w:hAnsi="Calibri"/>
                <w:b w:val="0"/>
                <w:i w:val="0"/>
                <w:color w:val="172B4D"/>
                <w:sz w:val="18"/>
              </w:rPr>
              <w:t>OWNER_ADMIN</w:t>
            </w:r>
          </w:p>
        </w:tc>
        <w:tc>
          <w:tcPr>
            <w:tcW w:type="dxa" w:w="3024"/>
            <w:vAlign w:val="center"/>
            <w:tcMar>
              <w:top w:w="80" w:type="dxa"/>
              <w:start w:w="120" w:type="dxa"/>
              <w:bottom w:w="80" w:type="dxa"/>
              <w:end w:w="120" w:type="dxa"/>
            </w:tcMar>
          </w:tcPr>
          <w:p>
            <w:pPr>
              <w:spacing w:after="0"/>
            </w:pPr>
            <w:r>
              <w:rPr>
                <w:rFonts w:ascii="Calibri" w:hAnsi="Calibri"/>
                <w:b w:val="0"/>
                <w:i w:val="0"/>
                <w:color w:val="172B4D"/>
                <w:sz w:val="18"/>
              </w:rPr>
              <w:t>Application owner and system administrator</w:t>
            </w:r>
          </w:p>
        </w:tc>
        <w:tc>
          <w:tcPr>
            <w:tcW w:type="dxa" w:w="4464"/>
            <w:vAlign w:val="center"/>
            <w:tcMar>
              <w:top w:w="80" w:type="dxa"/>
              <w:start w:w="120" w:type="dxa"/>
              <w:bottom w:w="80" w:type="dxa"/>
              <w:end w:w="120" w:type="dxa"/>
            </w:tcMar>
          </w:tcPr>
          <w:p>
            <w:pPr>
              <w:spacing w:after="0"/>
            </w:pPr>
            <w:r>
              <w:rPr>
                <w:rFonts w:ascii="Calibri" w:hAnsi="Calibri"/>
                <w:b w:val="0"/>
                <w:i w:val="0"/>
                <w:color w:val="172B4D"/>
                <w:sz w:val="18"/>
              </w:rPr>
              <w:t>All workspaces/projects; user and membership governance; configuration; migration/admin tools.</w:t>
            </w:r>
          </w:p>
        </w:tc>
      </w:tr>
      <w:tr>
        <w:tc>
          <w:tcPr>
            <w:tcW w:type="dxa" w:w="1872"/>
            <w:vAlign w:val="center"/>
            <w:tcMar>
              <w:top w:w="80" w:type="dxa"/>
              <w:start w:w="120" w:type="dxa"/>
              <w:bottom w:w="80" w:type="dxa"/>
              <w:end w:w="120" w:type="dxa"/>
            </w:tcMar>
          </w:tcPr>
          <w:p>
            <w:pPr>
              <w:spacing w:after="0"/>
            </w:pPr>
            <w:r>
              <w:rPr>
                <w:rFonts w:ascii="Calibri" w:hAnsi="Calibri"/>
                <w:b w:val="0"/>
                <w:i w:val="0"/>
                <w:color w:val="172B4D"/>
                <w:sz w:val="18"/>
              </w:rPr>
              <w:t>PROJECT_MANAGER</w:t>
            </w:r>
          </w:p>
        </w:tc>
        <w:tc>
          <w:tcPr>
            <w:tcW w:type="dxa" w:w="3024"/>
            <w:vAlign w:val="center"/>
            <w:tcMar>
              <w:top w:w="80" w:type="dxa"/>
              <w:start w:w="120" w:type="dxa"/>
              <w:bottom w:w="80" w:type="dxa"/>
              <w:end w:w="120" w:type="dxa"/>
            </w:tcMar>
          </w:tcPr>
          <w:p>
            <w:pPr>
              <w:spacing w:after="0"/>
            </w:pPr>
            <w:r>
              <w:rPr>
                <w:rFonts w:ascii="Calibri" w:hAnsi="Calibri"/>
                <w:b w:val="0"/>
                <w:i w:val="0"/>
                <w:color w:val="172B4D"/>
                <w:sz w:val="18"/>
              </w:rPr>
              <w:t>Operates assigned real projects</w:t>
            </w:r>
          </w:p>
        </w:tc>
        <w:tc>
          <w:tcPr>
            <w:tcW w:type="dxa" w:w="4464"/>
            <w:vAlign w:val="center"/>
            <w:tcMar>
              <w:top w:w="80" w:type="dxa"/>
              <w:start w:w="120" w:type="dxa"/>
              <w:bottom w:w="80" w:type="dxa"/>
              <w:end w:w="120" w:type="dxa"/>
            </w:tcMar>
          </w:tcPr>
          <w:p>
            <w:pPr>
              <w:spacing w:after="0"/>
            </w:pPr>
            <w:r>
              <w:rPr>
                <w:rFonts w:ascii="Calibri" w:hAnsi="Calibri"/>
                <w:b w:val="0"/>
                <w:i w:val="0"/>
                <w:color w:val="172B4D"/>
                <w:sz w:val="18"/>
              </w:rPr>
              <w:t>View/edit assigned projects, workstreams, events, risks, actions, decisions, reporting packs and time entries as permitted.</w:t>
            </w:r>
          </w:p>
        </w:tc>
      </w:tr>
      <w:tr>
        <w:tc>
          <w:tcPr>
            <w:tcW w:type="dxa" w:w="1872"/>
            <w:vAlign w:val="center"/>
            <w:tcMar>
              <w:top w:w="80" w:type="dxa"/>
              <w:start w:w="120" w:type="dxa"/>
              <w:bottom w:w="80" w:type="dxa"/>
              <w:end w:w="120" w:type="dxa"/>
            </w:tcMar>
          </w:tcPr>
          <w:p>
            <w:pPr>
              <w:spacing w:after="0"/>
            </w:pPr>
            <w:r>
              <w:rPr>
                <w:rFonts w:ascii="Calibri" w:hAnsi="Calibri"/>
                <w:b w:val="0"/>
                <w:i w:val="0"/>
                <w:color w:val="172B4D"/>
                <w:sz w:val="18"/>
              </w:rPr>
              <w:t>DEMO_VIEWER</w:t>
            </w:r>
          </w:p>
        </w:tc>
        <w:tc>
          <w:tcPr>
            <w:tcW w:type="dxa" w:w="3024"/>
            <w:vAlign w:val="center"/>
            <w:tcMar>
              <w:top w:w="80" w:type="dxa"/>
              <w:start w:w="120" w:type="dxa"/>
              <w:bottom w:w="80" w:type="dxa"/>
              <w:end w:w="120" w:type="dxa"/>
            </w:tcMar>
          </w:tcPr>
          <w:p>
            <w:pPr>
              <w:spacing w:after="0"/>
            </w:pPr>
            <w:r>
              <w:rPr>
                <w:rFonts w:ascii="Calibri" w:hAnsi="Calibri"/>
                <w:b w:val="0"/>
                <w:i w:val="0"/>
                <w:color w:val="172B4D"/>
                <w:sz w:val="18"/>
              </w:rPr>
              <w:t>External capability viewer</w:t>
            </w:r>
          </w:p>
        </w:tc>
        <w:tc>
          <w:tcPr>
            <w:tcW w:type="dxa" w:w="4464"/>
            <w:vAlign w:val="center"/>
            <w:tcMar>
              <w:top w:w="80" w:type="dxa"/>
              <w:start w:w="120" w:type="dxa"/>
              <w:bottom w:w="80" w:type="dxa"/>
              <w:end w:w="120" w:type="dxa"/>
            </w:tcMar>
          </w:tcPr>
          <w:p>
            <w:pPr>
              <w:spacing w:after="0"/>
            </w:pPr>
            <w:r>
              <w:rPr>
                <w:rFonts w:ascii="Calibri" w:hAnsi="Calibri"/>
                <w:b w:val="0"/>
                <w:i w:val="0"/>
                <w:color w:val="172B4D"/>
                <w:sz w:val="18"/>
              </w:rPr>
              <w:t>Read curated demo workspace only; no admin, mutation, export or access to live projects.</w:t>
            </w:r>
          </w:p>
        </w:tc>
      </w:tr>
    </w:tbl>
    <w:p>
      <w:pPr>
        <w:spacing w:after="40"/>
      </w:pPr>
    </w:p>
    <w:p>
      <w:r>
        <w:rPr>
          <w:rFonts w:ascii="Calibri" w:hAnsi="Calibri"/>
          <w:b w:val="0"/>
          <w:i w:val="0"/>
          <w:color w:val="172B4D"/>
          <w:sz w:val="22"/>
        </w:rPr>
        <w:t>Roles are coarse-grained defaults. Project/workspace membership determines data scope. Do not create a large permission matrix until real requirements justify it.</w:t>
      </w:r>
    </w:p>
    <w:p>
      <w:pPr>
        <w:pStyle w:val="Heading1"/>
      </w:pPr>
      <w:r>
        <w:rPr>
          <w:rFonts w:ascii="Calibri" w:hAnsi="Calibri"/>
          <w:b w:val="0"/>
          <w:i w:val="0"/>
          <w:color w:val="172B4D"/>
          <w:sz w:val="22"/>
        </w:rPr>
        <w:t>4. Workspace and Demo Isolation Model</w:t>
      </w:r>
    </w:p>
    <w:p>
      <w:r>
        <w:rPr>
          <w:rFonts w:ascii="Calibri" w:hAnsi="Calibri"/>
          <w:b w:val="0"/>
          <w:i w:val="0"/>
          <w:color w:val="172B4D"/>
          <w:sz w:val="22"/>
        </w:rPr>
        <w:t>Introduce Workspace as the top-level data boundary. The initial owner may have one LIVE workspace and one DEMO workspace. This allows the same architecture to support later clients or operating contexts without copying the application.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584"/>
            <w:shd w:fill="F2F4F7"/>
            <w:vAlign w:val="center"/>
            <w:tcMar>
              <w:top w:w="80" w:type="dxa"/>
              <w:start w:w="120" w:type="dxa"/>
              <w:bottom w:w="80" w:type="dxa"/>
              <w:end w:w="120" w:type="dxa"/>
            </w:tcMar>
          </w:tcPr>
          <w:p>
            <w:pPr>
              <w:spacing w:after="0"/>
            </w:pPr>
            <w:r>
              <w:rPr>
                <w:rFonts w:ascii="Calibri" w:hAnsi="Calibri"/>
                <w:b/>
                <w:i w:val="0"/>
                <w:color w:val="1F4D78"/>
                <w:sz w:val="18"/>
              </w:rPr>
              <w:t>Workspace type</w:t>
            </w:r>
          </w:p>
        </w:tc>
        <w:tc>
          <w:tcPr>
            <w:tcW w:type="dxa" w:w="3096"/>
            <w:shd w:fill="F2F4F7"/>
            <w:vAlign w:val="center"/>
            <w:tcMar>
              <w:top w:w="80" w:type="dxa"/>
              <w:start w:w="120" w:type="dxa"/>
              <w:bottom w:w="80" w:type="dxa"/>
              <w:end w:w="120" w:type="dxa"/>
            </w:tcMar>
          </w:tcPr>
          <w:p>
            <w:pPr>
              <w:spacing w:after="0"/>
            </w:pPr>
            <w:r>
              <w:rPr>
                <w:rFonts w:ascii="Calibri" w:hAnsi="Calibri"/>
                <w:b/>
                <w:i w:val="0"/>
                <w:color w:val="1F4D78"/>
                <w:sz w:val="18"/>
              </w:rPr>
              <w:t>Allowed data</w:t>
            </w:r>
          </w:p>
        </w:tc>
        <w:tc>
          <w:tcPr>
            <w:tcW w:type="dxa" w:w="3096"/>
            <w:shd w:fill="F2F4F7"/>
            <w:vAlign w:val="center"/>
            <w:tcMar>
              <w:top w:w="80" w:type="dxa"/>
              <w:start w:w="120" w:type="dxa"/>
              <w:bottom w:w="80" w:type="dxa"/>
              <w:end w:w="120" w:type="dxa"/>
            </w:tcMar>
          </w:tcPr>
          <w:p>
            <w:pPr>
              <w:spacing w:after="0"/>
            </w:pPr>
            <w:r>
              <w:rPr>
                <w:rFonts w:ascii="Calibri" w:hAnsi="Calibri"/>
                <w:b/>
                <w:i w:val="0"/>
                <w:color w:val="1F4D78"/>
                <w:sz w:val="18"/>
              </w:rPr>
              <w:t>Access pattern</w:t>
            </w:r>
          </w:p>
        </w:tc>
        <w:tc>
          <w:tcPr>
            <w:tcW w:type="dxa" w:w="1584"/>
            <w:shd w:fill="F2F4F7"/>
            <w:vAlign w:val="center"/>
            <w:tcMar>
              <w:top w:w="80" w:type="dxa"/>
              <w:start w:w="120" w:type="dxa"/>
              <w:bottom w:w="80" w:type="dxa"/>
              <w:end w:w="120" w:type="dxa"/>
            </w:tcMar>
          </w:tcPr>
          <w:p>
            <w:pPr>
              <w:spacing w:after="0"/>
            </w:pPr>
            <w:r>
              <w:rPr>
                <w:rFonts w:ascii="Calibri" w:hAnsi="Calibri"/>
                <w:b/>
                <w:i w:val="0"/>
                <w:color w:val="1F4D78"/>
                <w:sz w:val="18"/>
              </w:rPr>
              <w:t>Restrictions</w:t>
            </w:r>
          </w:p>
        </w:tc>
      </w:tr>
      <w:tr>
        <w:tc>
          <w:tcPr>
            <w:tcW w:type="dxa" w:w="1584"/>
            <w:vAlign w:val="center"/>
            <w:tcMar>
              <w:top w:w="80" w:type="dxa"/>
              <w:start w:w="120" w:type="dxa"/>
              <w:bottom w:w="80" w:type="dxa"/>
              <w:end w:w="120" w:type="dxa"/>
            </w:tcMar>
          </w:tcPr>
          <w:p>
            <w:pPr>
              <w:spacing w:after="0"/>
            </w:pPr>
            <w:r>
              <w:rPr>
                <w:rFonts w:ascii="Calibri" w:hAnsi="Calibri"/>
                <w:b w:val="0"/>
                <w:i w:val="0"/>
                <w:color w:val="172B4D"/>
                <w:sz w:val="18"/>
              </w:rPr>
              <w:t>LIVE</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Real Zaragoza project and future operational projects</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Owner/Admin and explicitly assigned project users</w:t>
            </w:r>
          </w:p>
        </w:tc>
        <w:tc>
          <w:tcPr>
            <w:tcW w:type="dxa" w:w="1584"/>
            <w:vAlign w:val="center"/>
            <w:tcMar>
              <w:top w:w="80" w:type="dxa"/>
              <w:start w:w="120" w:type="dxa"/>
              <w:bottom w:w="80" w:type="dxa"/>
              <w:end w:w="120" w:type="dxa"/>
            </w:tcMar>
          </w:tcPr>
          <w:p>
            <w:pPr>
              <w:spacing w:after="0"/>
            </w:pPr>
            <w:r>
              <w:rPr>
                <w:rFonts w:ascii="Calibri" w:hAnsi="Calibri"/>
                <w:b w:val="0"/>
                <w:i w:val="0"/>
                <w:color w:val="172B4D"/>
                <w:sz w:val="18"/>
              </w:rPr>
              <w:t>Never visible to Demo Viewer.</w:t>
            </w:r>
          </w:p>
        </w:tc>
      </w:tr>
      <w:tr>
        <w:tc>
          <w:tcPr>
            <w:tcW w:type="dxa" w:w="1584"/>
            <w:vAlign w:val="center"/>
            <w:tcMar>
              <w:top w:w="80" w:type="dxa"/>
              <w:start w:w="120" w:type="dxa"/>
              <w:bottom w:w="80" w:type="dxa"/>
              <w:end w:w="120" w:type="dxa"/>
            </w:tcMar>
          </w:tcPr>
          <w:p>
            <w:pPr>
              <w:spacing w:after="0"/>
            </w:pPr>
            <w:r>
              <w:rPr>
                <w:rFonts w:ascii="Calibri" w:hAnsi="Calibri"/>
                <w:b w:val="0"/>
                <w:i w:val="0"/>
                <w:color w:val="172B4D"/>
                <w:sz w:val="18"/>
              </w:rPr>
              <w:t>DEMO</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Fictional organization, project, people and activity</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Owner/Admin plus invited Demo Viewers</w:t>
            </w:r>
          </w:p>
        </w:tc>
        <w:tc>
          <w:tcPr>
            <w:tcW w:type="dxa" w:w="1584"/>
            <w:vAlign w:val="center"/>
            <w:tcMar>
              <w:top w:w="80" w:type="dxa"/>
              <w:start w:w="120" w:type="dxa"/>
              <w:bottom w:w="80" w:type="dxa"/>
              <w:end w:w="120" w:type="dxa"/>
            </w:tcMar>
          </w:tcPr>
          <w:p>
            <w:pPr>
              <w:spacing w:after="0"/>
            </w:pPr>
            <w:r>
              <w:rPr>
                <w:rFonts w:ascii="Calibri" w:hAnsi="Calibri"/>
                <w:b w:val="0"/>
                <w:i w:val="0"/>
                <w:color w:val="172B4D"/>
                <w:sz w:val="18"/>
              </w:rPr>
              <w:t>Read-only for Demo Viewer; no live data copying.</w:t>
            </w:r>
          </w:p>
        </w:tc>
      </w:tr>
      <w:tr>
        <w:tc>
          <w:tcPr>
            <w:tcW w:type="dxa" w:w="1584"/>
            <w:vAlign w:val="center"/>
            <w:tcMar>
              <w:top w:w="80" w:type="dxa"/>
              <w:start w:w="120" w:type="dxa"/>
              <w:bottom w:w="80" w:type="dxa"/>
              <w:end w:w="120" w:type="dxa"/>
            </w:tcMar>
          </w:tcPr>
          <w:p>
            <w:pPr>
              <w:spacing w:after="0"/>
            </w:pPr>
            <w:r>
              <w:rPr>
                <w:rFonts w:ascii="Calibri" w:hAnsi="Calibri"/>
                <w:b w:val="0"/>
                <w:i w:val="0"/>
                <w:color w:val="172B4D"/>
                <w:sz w:val="18"/>
              </w:rPr>
              <w:t>TEST (optional)</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Automated/integration-test fixtures</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Development/test identities only</w:t>
            </w:r>
          </w:p>
        </w:tc>
        <w:tc>
          <w:tcPr>
            <w:tcW w:type="dxa" w:w="1584"/>
            <w:vAlign w:val="center"/>
            <w:tcMar>
              <w:top w:w="80" w:type="dxa"/>
              <w:start w:w="120" w:type="dxa"/>
              <w:bottom w:w="80" w:type="dxa"/>
              <w:end w:w="120" w:type="dxa"/>
            </w:tcMar>
          </w:tcPr>
          <w:p>
            <w:pPr>
              <w:spacing w:after="0"/>
            </w:pPr>
            <w:r>
              <w:rPr>
                <w:rFonts w:ascii="Calibri" w:hAnsi="Calibri"/>
                <w:b w:val="0"/>
                <w:i w:val="0"/>
                <w:color w:val="172B4D"/>
                <w:sz w:val="18"/>
              </w:rPr>
              <w:t>Never shares the live database.</w:t>
            </w:r>
          </w:p>
        </w:tc>
      </w:tr>
    </w:tbl>
    <w:p>
      <w:pPr>
        <w:spacing w:after="40"/>
      </w:pPr>
    </w:p>
    <w:p>
      <w:r>
        <w:rPr>
          <w:rFonts w:ascii="Calibri" w:hAnsi="Calibri"/>
          <w:b w:val="0"/>
          <w:i w:val="0"/>
          <w:color w:val="172B4D"/>
          <w:sz w:val="22"/>
        </w:rPr>
        <w:t>Demo content should tell a focused capability story rather than expose every module. Recommended visible journey: project overview → workstreams/milestones → timeline → risks/actions → decisions → executive report. Admin, raw master data, live time details and unfinished modules remain hidden from Demo Viewer.</w:t>
      </w:r>
    </w:p>
    <w:p>
      <w:pPr>
        <w:pStyle w:val="Heading1"/>
      </w:pPr>
      <w:r>
        <w:rPr>
          <w:rFonts w:ascii="Calibri" w:hAnsi="Calibri"/>
          <w:b w:val="0"/>
          <w:i w:val="0"/>
          <w:color w:val="172B4D"/>
          <w:sz w:val="22"/>
        </w:rPr>
        <w:t>5. Target Data Model Direction</w:t>
      </w:r>
    </w:p>
    <w:p>
      <w:r>
        <w:rPr>
          <w:rFonts w:ascii="Calibri" w:hAnsi="Calibri"/>
          <w:b w:val="0"/>
          <w:i w:val="0"/>
          <w:color w:val="172B4D"/>
          <w:sz w:val="22"/>
        </w:rPr>
        <w:t>The exact field names must be reconciled with the repository before implementation. The following is the required conceptual model, not permission to replace the schema wholesale.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shd w:fill="F2F4F7"/>
            <w:vAlign w:val="center"/>
            <w:tcMar>
              <w:top w:w="80" w:type="dxa"/>
              <w:start w:w="120" w:type="dxa"/>
              <w:bottom w:w="80" w:type="dxa"/>
              <w:end w:w="120" w:type="dxa"/>
            </w:tcMar>
          </w:tcPr>
          <w:p>
            <w:pPr>
              <w:spacing w:after="0"/>
            </w:pPr>
            <w:r>
              <w:rPr>
                <w:rFonts w:ascii="Calibri" w:hAnsi="Calibri"/>
                <w:b/>
                <w:i w:val="0"/>
                <w:color w:val="1F4D78"/>
                <w:sz w:val="18"/>
              </w:rPr>
              <w:t>Entity</w:t>
            </w:r>
          </w:p>
        </w:tc>
        <w:tc>
          <w:tcPr>
            <w:tcW w:type="dxa" w:w="3096"/>
            <w:shd w:fill="F2F4F7"/>
            <w:vAlign w:val="center"/>
            <w:tcMar>
              <w:top w:w="80" w:type="dxa"/>
              <w:start w:w="120" w:type="dxa"/>
              <w:bottom w:w="80" w:type="dxa"/>
              <w:end w:w="120" w:type="dxa"/>
            </w:tcMar>
          </w:tcPr>
          <w:p>
            <w:pPr>
              <w:spacing w:after="0"/>
            </w:pPr>
            <w:r>
              <w:rPr>
                <w:rFonts w:ascii="Calibri" w:hAnsi="Calibri"/>
                <w:b/>
                <w:i w:val="0"/>
                <w:color w:val="1F4D78"/>
                <w:sz w:val="18"/>
              </w:rPr>
              <w:t>Purpose</w:t>
            </w:r>
          </w:p>
        </w:tc>
        <w:tc>
          <w:tcPr>
            <w:tcW w:type="dxa" w:w="4320"/>
            <w:shd w:fill="F2F4F7"/>
            <w:vAlign w:val="center"/>
            <w:tcMar>
              <w:top w:w="80" w:type="dxa"/>
              <w:start w:w="120" w:type="dxa"/>
              <w:bottom w:w="80" w:type="dxa"/>
              <w:end w:w="120" w:type="dxa"/>
            </w:tcMar>
          </w:tcPr>
          <w:p>
            <w:pPr>
              <w:spacing w:after="0"/>
            </w:pPr>
            <w:r>
              <w:rPr>
                <w:rFonts w:ascii="Calibri" w:hAnsi="Calibri"/>
                <w:b/>
                <w:i w:val="0"/>
                <w:color w:val="1F4D78"/>
                <w:sz w:val="18"/>
              </w:rPr>
              <w:t>Key relations/constraints</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Workspace</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Top-level logical data boundary</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type LIVE/DEMO/TEST; code unique; isActive; timestamps.</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User</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Application person/profile record</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Preserve current User IDs and project manager/owner relations where possible.</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UserIdentity</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Authentication credential or provider link</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userId; provider; providerAccountId; passwordHash only if local credentials; unique provider identity.</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Role</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Governed role dictionary</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OWNER_ADMIN, PROJECT_MANAGER, DEMO_VIEWER; seed via non-destructive upsert.</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WorkspaceMembership</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User access to a workspace</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Unique userId + workspaceId; roleId; active state; validity dates optional.</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ProjectMembership</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Optional project-level override/assignment</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Unique userId + projectId; role/capabilities; use only when finer scope is required.</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Session</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Server-side session state if required by auth library</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Hashed token/reference, expiry, revocation; never store raw reusable secrets in logs.</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AuditEvent</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Append-only security/governance trace</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actorUserId, action, entity type/id, workspace/project scope, outcome, timestamp, metadata minimization.</w:t>
            </w:r>
          </w:p>
        </w:tc>
      </w:tr>
    </w:tbl>
    <w:p>
      <w:pPr>
        <w:spacing w:after="40"/>
      </w:pPr>
    </w:p>
    <w:p>
      <w:pPr>
        <w:pStyle w:val="Heading2"/>
      </w:pPr>
      <w:r>
        <w:rPr>
          <w:rFonts w:ascii="Calibri" w:hAnsi="Calibri"/>
          <w:b w:val="0"/>
          <w:i w:val="0"/>
          <w:color w:val="172B4D"/>
          <w:sz w:val="22"/>
        </w:rPr>
        <w:t>5.1 Workspace ownership of domain data</w:t>
      </w:r>
    </w:p>
    <w:p>
      <w:r>
        <w:rPr>
          <w:rFonts w:ascii="Calibri" w:hAnsi="Calibri"/>
          <w:b w:val="0"/>
          <w:i w:val="0"/>
          <w:color w:val="172B4D"/>
          <w:sz w:val="22"/>
        </w:rPr>
        <w:t>Project must receive workspaceId. Other project-scoped entities should normally inherit scope through Project and should not all receive duplicated workspaceId unless query performance or security enforcement clearly requires it. Workspace-level master data such as Organization may require workspaceId if it contains client-specific or sensitive information. Global governance dictionaries such as Status/StatusScope/StatusUsage remain global unless a later requirement explicitly makes them tenant-configurable.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240"/>
            <w:shd w:fill="F2F4F7"/>
            <w:vAlign w:val="center"/>
            <w:tcMar>
              <w:top w:w="80" w:type="dxa"/>
              <w:start w:w="120" w:type="dxa"/>
              <w:bottom w:w="80" w:type="dxa"/>
              <w:end w:w="120" w:type="dxa"/>
            </w:tcMar>
          </w:tcPr>
          <w:p>
            <w:pPr>
              <w:spacing w:after="0"/>
            </w:pPr>
            <w:r>
              <w:rPr>
                <w:rFonts w:ascii="Calibri" w:hAnsi="Calibri"/>
                <w:b/>
                <w:i w:val="0"/>
                <w:color w:val="1F4D78"/>
                <w:sz w:val="18"/>
              </w:rPr>
              <w:t>Data family</w:t>
            </w:r>
          </w:p>
        </w:tc>
        <w:tc>
          <w:tcPr>
            <w:tcW w:type="dxa" w:w="6120"/>
            <w:shd w:fill="F2F4F7"/>
            <w:vAlign w:val="center"/>
            <w:tcMar>
              <w:top w:w="80" w:type="dxa"/>
              <w:start w:w="120" w:type="dxa"/>
              <w:bottom w:w="80" w:type="dxa"/>
              <w:end w:w="120" w:type="dxa"/>
            </w:tcMar>
          </w:tcPr>
          <w:p>
            <w:pPr>
              <w:spacing w:after="0"/>
            </w:pPr>
            <w:r>
              <w:rPr>
                <w:rFonts w:ascii="Calibri" w:hAnsi="Calibri"/>
                <w:b/>
                <w:i w:val="0"/>
                <w:color w:val="1F4D78"/>
                <w:sz w:val="18"/>
              </w:rPr>
              <w:t>Recommended scope</w:t>
            </w:r>
          </w:p>
        </w:tc>
      </w:tr>
      <w:tr>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Project and all project children</w:t>
            </w:r>
          </w:p>
        </w:tc>
        <w:tc>
          <w:tcPr>
            <w:tcW w:type="dxa" w:w="6120"/>
            <w:vAlign w:val="center"/>
            <w:tcMar>
              <w:top w:w="80" w:type="dxa"/>
              <w:start w:w="120" w:type="dxa"/>
              <w:bottom w:w="80" w:type="dxa"/>
              <w:end w:w="120" w:type="dxa"/>
            </w:tcMar>
          </w:tcPr>
          <w:p>
            <w:pPr>
              <w:spacing w:after="0"/>
            </w:pPr>
            <w:r>
              <w:rPr>
                <w:rFonts w:ascii="Calibri" w:hAnsi="Calibri"/>
                <w:b w:val="0"/>
                <w:i w:val="0"/>
                <w:color w:val="172B4D"/>
                <w:sz w:val="18"/>
              </w:rPr>
              <w:t>Project.workspaceId is authoritative; child scope derives through the project relation.</w:t>
            </w:r>
          </w:p>
        </w:tc>
      </w:tr>
      <w:tr>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Organizations and contacts</w:t>
            </w:r>
          </w:p>
        </w:tc>
        <w:tc>
          <w:tcPr>
            <w:tcW w:type="dxa" w:w="6120"/>
            <w:vAlign w:val="center"/>
            <w:tcMar>
              <w:top w:w="80" w:type="dxa"/>
              <w:start w:w="120" w:type="dxa"/>
              <w:bottom w:w="80" w:type="dxa"/>
              <w:end w:w="120" w:type="dxa"/>
            </w:tcMar>
          </w:tcPr>
          <w:p>
            <w:pPr>
              <w:spacing w:after="0"/>
            </w:pPr>
            <w:r>
              <w:rPr>
                <w:rFonts w:ascii="Calibri" w:hAnsi="Calibri"/>
                <w:b w:val="0"/>
                <w:i w:val="0"/>
                <w:color w:val="172B4D"/>
                <w:sz w:val="18"/>
              </w:rPr>
              <w:t>Workspace-scoped because they may contain customer identity and personal contact data.</w:t>
            </w:r>
          </w:p>
        </w:tc>
      </w:tr>
      <w:tr>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Users and identities</w:t>
            </w:r>
          </w:p>
        </w:tc>
        <w:tc>
          <w:tcPr>
            <w:tcW w:type="dxa" w:w="6120"/>
            <w:vAlign w:val="center"/>
            <w:tcMar>
              <w:top w:w="80" w:type="dxa"/>
              <w:start w:w="120" w:type="dxa"/>
              <w:bottom w:w="80" w:type="dxa"/>
              <w:end w:w="120" w:type="dxa"/>
            </w:tcMar>
          </w:tcPr>
          <w:p>
            <w:pPr>
              <w:spacing w:after="0"/>
            </w:pPr>
            <w:r>
              <w:rPr>
                <w:rFonts w:ascii="Calibri" w:hAnsi="Calibri"/>
                <w:b w:val="0"/>
                <w:i w:val="0"/>
                <w:color w:val="172B4D"/>
                <w:sz w:val="18"/>
              </w:rPr>
              <w:t>Global application identity; access is granted through memberships.</w:t>
            </w:r>
          </w:p>
        </w:tc>
      </w:tr>
      <w:tr>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Statuses, scopes, usages, project types where reusable</w:t>
            </w:r>
          </w:p>
        </w:tc>
        <w:tc>
          <w:tcPr>
            <w:tcW w:type="dxa" w:w="6120"/>
            <w:vAlign w:val="center"/>
            <w:tcMar>
              <w:top w:w="80" w:type="dxa"/>
              <w:start w:w="120" w:type="dxa"/>
              <w:bottom w:w="80" w:type="dxa"/>
              <w:end w:w="120" w:type="dxa"/>
            </w:tcMar>
          </w:tcPr>
          <w:p>
            <w:pPr>
              <w:spacing w:after="0"/>
            </w:pPr>
            <w:r>
              <w:rPr>
                <w:rFonts w:ascii="Calibri" w:hAnsi="Calibri"/>
                <w:b w:val="0"/>
                <w:i w:val="0"/>
                <w:color w:val="172B4D"/>
                <w:sz w:val="18"/>
              </w:rPr>
              <w:t>Global governed dictionaries unless business requirements require workspace ownership.</w:t>
            </w:r>
          </w:p>
        </w:tc>
      </w:tr>
      <w:tr>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Reporting packs and audit events</w:t>
            </w:r>
          </w:p>
        </w:tc>
        <w:tc>
          <w:tcPr>
            <w:tcW w:type="dxa" w:w="6120"/>
            <w:vAlign w:val="center"/>
            <w:tcMar>
              <w:top w:w="80" w:type="dxa"/>
              <w:start w:w="120" w:type="dxa"/>
              <w:bottom w:w="80" w:type="dxa"/>
              <w:end w:w="120" w:type="dxa"/>
            </w:tcMar>
          </w:tcPr>
          <w:p>
            <w:pPr>
              <w:spacing w:after="0"/>
            </w:pPr>
            <w:r>
              <w:rPr>
                <w:rFonts w:ascii="Calibri" w:hAnsi="Calibri"/>
                <w:b w:val="0"/>
                <w:i w:val="0"/>
                <w:color w:val="172B4D"/>
                <w:sz w:val="18"/>
              </w:rPr>
              <w:t>Project/workspace scoped; audit events append-only and access-restricted.</w:t>
            </w:r>
          </w:p>
        </w:tc>
      </w:tr>
    </w:tbl>
    <w:p>
      <w:pPr>
        <w:spacing w:after="40"/>
      </w:pPr>
    </w:p>
    <w:p>
      <w:pPr>
        <w:pStyle w:val="Heading1"/>
      </w:pPr>
      <w:r>
        <w:rPr>
          <w:rFonts w:ascii="Calibri" w:hAnsi="Calibri"/>
          <w:b w:val="0"/>
          <w:i w:val="0"/>
          <w:color w:val="172B4D"/>
          <w:sz w:val="22"/>
        </w:rPr>
        <w:t>6. Authentication Implementation Decision Gate</w:t>
      </w:r>
    </w:p>
    <w:p>
      <w:r>
        <w:rPr>
          <w:rFonts w:ascii="Calibri" w:hAnsi="Calibri"/>
          <w:b w:val="0"/>
          <w:i w:val="0"/>
          <w:color w:val="172B4D"/>
          <w:sz w:val="22"/>
        </w:rPr>
        <w:t>Codex must inspect the actual Next.js version, package set, deployment model and whether sharing remains Tailscale-only before selecting the authentication library/provider. Do not invent a credential solution from memory. The selected implementation must support secure server-side sessions, CSRF-safe mutations, session revocation, password hashing if passwords are used, and compatibility with the current local Windows-hosted production model.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shd w:fill="F2F4F7"/>
            <w:vAlign w:val="center"/>
            <w:tcMar>
              <w:top w:w="80" w:type="dxa"/>
              <w:start w:w="120" w:type="dxa"/>
              <w:bottom w:w="80" w:type="dxa"/>
              <w:end w:w="120" w:type="dxa"/>
            </w:tcMar>
          </w:tcPr>
          <w:p>
            <w:pPr>
              <w:spacing w:after="0"/>
            </w:pPr>
            <w:r>
              <w:rPr>
                <w:rFonts w:ascii="Calibri" w:hAnsi="Calibri"/>
                <w:b/>
                <w:i w:val="0"/>
                <w:color w:val="1F4D78"/>
                <w:sz w:val="18"/>
              </w:rPr>
              <w:t>Option</w:t>
            </w:r>
          </w:p>
        </w:tc>
        <w:tc>
          <w:tcPr>
            <w:tcW w:type="dxa" w:w="3744"/>
            <w:shd w:fill="F2F4F7"/>
            <w:vAlign w:val="center"/>
            <w:tcMar>
              <w:top w:w="80" w:type="dxa"/>
              <w:start w:w="120" w:type="dxa"/>
              <w:bottom w:w="80" w:type="dxa"/>
              <w:end w:w="120" w:type="dxa"/>
            </w:tcMar>
          </w:tcPr>
          <w:p>
            <w:pPr>
              <w:spacing w:after="0"/>
            </w:pPr>
            <w:r>
              <w:rPr>
                <w:rFonts w:ascii="Calibri" w:hAnsi="Calibri"/>
                <w:b/>
                <w:i w:val="0"/>
                <w:color w:val="1F4D78"/>
                <w:sz w:val="18"/>
              </w:rPr>
              <w:t>Use when</w:t>
            </w:r>
          </w:p>
        </w:tc>
        <w:tc>
          <w:tcPr>
            <w:tcW w:type="dxa" w:w="3744"/>
            <w:shd w:fill="F2F4F7"/>
            <w:vAlign w:val="center"/>
            <w:tcMar>
              <w:top w:w="80" w:type="dxa"/>
              <w:start w:w="120" w:type="dxa"/>
              <w:bottom w:w="80" w:type="dxa"/>
              <w:end w:w="120" w:type="dxa"/>
            </w:tcMar>
          </w:tcPr>
          <w:p>
            <w:pPr>
              <w:spacing w:after="0"/>
            </w:pPr>
            <w:r>
              <w:rPr>
                <w:rFonts w:ascii="Calibri" w:hAnsi="Calibri"/>
                <w:b/>
                <w:i w:val="0"/>
                <w:color w:val="1F4D78"/>
                <w:sz w:val="18"/>
              </w:rPr>
              <w:t>Constraint</w:t>
            </w:r>
          </w:p>
        </w:tc>
      </w:tr>
      <w:tr>
        <w:tc>
          <w:tcPr>
            <w:tcW w:type="dxa" w:w="1872"/>
            <w:vAlign w:val="center"/>
            <w:tcMar>
              <w:top w:w="80" w:type="dxa"/>
              <w:start w:w="120" w:type="dxa"/>
              <w:bottom w:w="80" w:type="dxa"/>
              <w:end w:w="120" w:type="dxa"/>
            </w:tcMar>
          </w:tcPr>
          <w:p>
            <w:pPr>
              <w:spacing w:after="0"/>
            </w:pPr>
            <w:r>
              <w:rPr>
                <w:rFonts w:ascii="Calibri" w:hAnsi="Calibri"/>
                <w:b w:val="0"/>
                <w:i w:val="0"/>
                <w:color w:val="172B4D"/>
                <w:sz w:val="18"/>
              </w:rPr>
              <w:t>Local named credentials</w:t>
            </w:r>
          </w:p>
        </w:tc>
        <w:tc>
          <w:tcPr>
            <w:tcW w:type="dxa" w:w="3744"/>
            <w:vAlign w:val="center"/>
            <w:tcMar>
              <w:top w:w="80" w:type="dxa"/>
              <w:start w:w="120" w:type="dxa"/>
              <w:bottom w:w="80" w:type="dxa"/>
              <w:end w:w="120" w:type="dxa"/>
            </w:tcMar>
          </w:tcPr>
          <w:p>
            <w:pPr>
              <w:spacing w:after="0"/>
            </w:pPr>
            <w:r>
              <w:rPr>
                <w:rFonts w:ascii="Calibri" w:hAnsi="Calibri"/>
                <w:b w:val="0"/>
                <w:i w:val="0"/>
                <w:color w:val="172B4D"/>
                <w:sz w:val="18"/>
              </w:rPr>
              <w:t>Short-term named access is required while app remains privately hosted</w:t>
            </w:r>
          </w:p>
        </w:tc>
        <w:tc>
          <w:tcPr>
            <w:tcW w:type="dxa" w:w="3744"/>
            <w:vAlign w:val="center"/>
            <w:tcMar>
              <w:top w:w="80" w:type="dxa"/>
              <w:start w:w="120" w:type="dxa"/>
              <w:bottom w:w="80" w:type="dxa"/>
              <w:end w:w="120" w:type="dxa"/>
            </w:tcMar>
          </w:tcPr>
          <w:p>
            <w:pPr>
              <w:spacing w:after="0"/>
            </w:pPr>
            <w:r>
              <w:rPr>
                <w:rFonts w:ascii="Calibri" w:hAnsi="Calibri"/>
                <w:b w:val="0"/>
                <w:i w:val="0"/>
                <w:color w:val="172B4D"/>
                <w:sz w:val="18"/>
              </w:rPr>
              <w:t>Use a mature library and approved password hashing; never implement custom cryptography.</w:t>
            </w:r>
          </w:p>
        </w:tc>
      </w:tr>
      <w:tr>
        <w:tc>
          <w:tcPr>
            <w:tcW w:type="dxa" w:w="1872"/>
            <w:vAlign w:val="center"/>
            <w:tcMar>
              <w:top w:w="80" w:type="dxa"/>
              <w:start w:w="120" w:type="dxa"/>
              <w:bottom w:w="80" w:type="dxa"/>
              <w:end w:w="120" w:type="dxa"/>
            </w:tcMar>
          </w:tcPr>
          <w:p>
            <w:pPr>
              <w:spacing w:after="0"/>
            </w:pPr>
            <w:r>
              <w:rPr>
                <w:rFonts w:ascii="Calibri" w:hAnsi="Calibri"/>
                <w:b w:val="0"/>
                <w:i w:val="0"/>
                <w:color w:val="172B4D"/>
                <w:sz w:val="18"/>
              </w:rPr>
              <w:t>Email magic link</w:t>
            </w:r>
          </w:p>
        </w:tc>
        <w:tc>
          <w:tcPr>
            <w:tcW w:type="dxa" w:w="3744"/>
            <w:vAlign w:val="center"/>
            <w:tcMar>
              <w:top w:w="80" w:type="dxa"/>
              <w:start w:w="120" w:type="dxa"/>
              <w:bottom w:w="80" w:type="dxa"/>
              <w:end w:w="120" w:type="dxa"/>
            </w:tcMar>
          </w:tcPr>
          <w:p>
            <w:pPr>
              <w:spacing w:after="0"/>
            </w:pPr>
            <w:r>
              <w:rPr>
                <w:rFonts w:ascii="Calibri" w:hAnsi="Calibri"/>
                <w:b w:val="0"/>
                <w:i w:val="0"/>
                <w:color w:val="172B4D"/>
                <w:sz w:val="18"/>
              </w:rPr>
              <w:t>Reliable outbound email and callback URL are available</w:t>
            </w:r>
          </w:p>
        </w:tc>
        <w:tc>
          <w:tcPr>
            <w:tcW w:type="dxa" w:w="3744"/>
            <w:vAlign w:val="center"/>
            <w:tcMar>
              <w:top w:w="80" w:type="dxa"/>
              <w:start w:w="120" w:type="dxa"/>
              <w:bottom w:w="80" w:type="dxa"/>
              <w:end w:w="120" w:type="dxa"/>
            </w:tcMar>
          </w:tcPr>
          <w:p>
            <w:pPr>
              <w:spacing w:after="0"/>
            </w:pPr>
            <w:r>
              <w:rPr>
                <w:rFonts w:ascii="Calibri" w:hAnsi="Calibri"/>
                <w:b w:val="0"/>
                <w:i w:val="0"/>
                <w:color w:val="172B4D"/>
                <w:sz w:val="18"/>
              </w:rPr>
              <w:t>Requires mail provider and stable reachable hostname.</w:t>
            </w:r>
          </w:p>
        </w:tc>
      </w:tr>
      <w:tr>
        <w:tc>
          <w:tcPr>
            <w:tcW w:type="dxa" w:w="1872"/>
            <w:vAlign w:val="center"/>
            <w:tcMar>
              <w:top w:w="80" w:type="dxa"/>
              <w:start w:w="120" w:type="dxa"/>
              <w:bottom w:w="80" w:type="dxa"/>
              <w:end w:w="120" w:type="dxa"/>
            </w:tcMar>
          </w:tcPr>
          <w:p>
            <w:pPr>
              <w:spacing w:after="0"/>
            </w:pPr>
            <w:r>
              <w:rPr>
                <w:rFonts w:ascii="Calibri" w:hAnsi="Calibri"/>
                <w:b w:val="0"/>
                <w:i w:val="0"/>
                <w:color w:val="172B4D"/>
                <w:sz w:val="18"/>
              </w:rPr>
              <w:t>External identity provider</w:t>
            </w:r>
          </w:p>
        </w:tc>
        <w:tc>
          <w:tcPr>
            <w:tcW w:type="dxa" w:w="3744"/>
            <w:vAlign w:val="center"/>
            <w:tcMar>
              <w:top w:w="80" w:type="dxa"/>
              <w:start w:w="120" w:type="dxa"/>
              <w:bottom w:w="80" w:type="dxa"/>
              <w:end w:w="120" w:type="dxa"/>
            </w:tcMar>
          </w:tcPr>
          <w:p>
            <w:pPr>
              <w:spacing w:after="0"/>
            </w:pPr>
            <w:r>
              <w:rPr>
                <w:rFonts w:ascii="Calibri" w:hAnsi="Calibri"/>
                <w:b w:val="0"/>
                <w:i w:val="0"/>
                <w:color w:val="172B4D"/>
                <w:sz w:val="18"/>
              </w:rPr>
              <w:t>Deployment supports stable callbacks and provider configuration</w:t>
            </w:r>
          </w:p>
        </w:tc>
        <w:tc>
          <w:tcPr>
            <w:tcW w:type="dxa" w:w="3744"/>
            <w:vAlign w:val="center"/>
            <w:tcMar>
              <w:top w:w="80" w:type="dxa"/>
              <w:start w:w="120" w:type="dxa"/>
              <w:bottom w:w="80" w:type="dxa"/>
              <w:end w:w="120" w:type="dxa"/>
            </w:tcMar>
          </w:tcPr>
          <w:p>
            <w:pPr>
              <w:spacing w:after="0"/>
            </w:pPr>
            <w:r>
              <w:rPr>
                <w:rFonts w:ascii="Calibri" w:hAnsi="Calibri"/>
                <w:b w:val="0"/>
                <w:i w:val="0"/>
                <w:color w:val="172B4D"/>
                <w:sz w:val="18"/>
              </w:rPr>
              <w:t>Preferred later for stronger lifecycle/SSO; avoid blocking next week’s live use.</w:t>
            </w:r>
          </w:p>
        </w:tc>
      </w:tr>
    </w:tbl>
    <w:p>
      <w:pPr>
        <w:spacing w:after="40"/>
      </w:pPr>
    </w:p>
    <w:p>
      <w:pPr>
        <w:pStyle w:val="Heading1"/>
      </w:pPr>
      <w:r>
        <w:rPr>
          <w:rFonts w:ascii="Calibri" w:hAnsi="Calibri"/>
          <w:b w:val="0"/>
          <w:i w:val="0"/>
          <w:color w:val="172B4D"/>
          <w:sz w:val="22"/>
        </w:rPr>
        <w:t>7. Live Data Migration Strategy</w:t>
      </w:r>
    </w:p>
    <w:p>
      <w:pPr>
        <w:pStyle w:val="Callout"/>
      </w:pPr>
      <w:r>
        <w:rPr>
          <w:rFonts w:ascii="Calibri" w:hAnsi="Calibri"/>
          <w:b w:val="0"/>
          <w:i w:val="0"/>
          <w:color w:val="172B4D"/>
          <w:sz w:val="22"/>
        </w:rPr>
        <w:t>Migration is a controlled data operation, not merely a Prisma schema command. The live database must be preserved, copied, rehearsed, reconciled and approved before production cutover.</w:t>
      </w:r>
    </w:p>
    <w:p>
      <w:pPr>
        <w:pStyle w:val="Heading2"/>
      </w:pPr>
      <w:r>
        <w:rPr>
          <w:rFonts w:ascii="Calibri" w:hAnsi="Calibri"/>
          <w:b w:val="0"/>
          <w:i w:val="0"/>
          <w:color w:val="172B4D"/>
          <w:sz w:val="22"/>
        </w:rPr>
        <w:t>7.1 Migration principles</w:t>
      </w:r>
    </w:p>
    <w:p>
      <w:pPr>
        <w:pStyle w:val="ListBullet"/>
        <w:spacing w:after="80"/>
      </w:pPr>
      <w:r>
        <w:t>No prisma migrate reset on live data or on the only recoverable copy.</w:t>
      </w:r>
    </w:p>
    <w:p>
      <w:pPr>
        <w:pStyle w:val="ListBullet"/>
        <w:spacing w:after="80"/>
      </w:pPr>
      <w:r>
        <w:t>No destructive seed. All governance and security seeds use upsert and stable codes.</w:t>
      </w:r>
    </w:p>
    <w:p>
      <w:pPr>
        <w:pStyle w:val="ListBullet"/>
        <w:spacing w:after="80"/>
      </w:pPr>
      <w:r>
        <w:t>Preserve primary keys to retain all existing foreign-key relations.</w:t>
      </w:r>
    </w:p>
    <w:p>
      <w:pPr>
        <w:pStyle w:val="ListBullet"/>
        <w:spacing w:after="80"/>
      </w:pPr>
      <w:r>
        <w:t>Introduce new foreign keys as nullable during the expansion phase.</w:t>
      </w:r>
    </w:p>
    <w:p>
      <w:pPr>
        <w:pStyle w:val="ListBullet"/>
        <w:spacing w:after="80"/>
      </w:pPr>
      <w:r>
        <w:t>Backfill using deterministic scripts that can be safely re-run or detect completion.</w:t>
      </w:r>
    </w:p>
    <w:p>
      <w:pPr>
        <w:pStyle w:val="ListBullet"/>
        <w:spacing w:after="80"/>
      </w:pPr>
      <w:r>
        <w:t>Tighten nullability/constraints only after reconciliation proves full coverage.</w:t>
      </w:r>
    </w:p>
    <w:p>
      <w:pPr>
        <w:pStyle w:val="ListBullet"/>
        <w:spacing w:after="80"/>
      </w:pPr>
      <w:r>
        <w:t>Never copy production records into the demo workspace. Generate synthetic demo fixtures separately.</w:t>
      </w:r>
    </w:p>
    <w:p>
      <w:pPr>
        <w:pStyle w:val="ListBullet"/>
        <w:spacing w:after="80"/>
      </w:pPr>
      <w:r>
        <w:t>Record migration version, source database fingerprint, counts, exceptions and operator approval.</w:t>
      </w:r>
    </w:p>
    <w:p>
      <w:pPr>
        <w:pStyle w:val="Heading2"/>
      </w:pPr>
      <w:r>
        <w:rPr>
          <w:rFonts w:ascii="Calibri" w:hAnsi="Calibri"/>
          <w:b w:val="0"/>
          <w:i w:val="0"/>
          <w:color w:val="172B4D"/>
          <w:sz w:val="22"/>
        </w:rPr>
        <w:t>7.2 Required pre-migration inventory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088"/>
            <w:shd w:fill="F2F4F7"/>
            <w:vAlign w:val="center"/>
            <w:tcMar>
              <w:top w:w="80" w:type="dxa"/>
              <w:start w:w="120" w:type="dxa"/>
              <w:bottom w:w="80" w:type="dxa"/>
              <w:end w:w="120" w:type="dxa"/>
            </w:tcMar>
          </w:tcPr>
          <w:p>
            <w:pPr>
              <w:spacing w:after="0"/>
            </w:pPr>
            <w:r>
              <w:rPr>
                <w:rFonts w:ascii="Calibri" w:hAnsi="Calibri"/>
                <w:b/>
                <w:i w:val="0"/>
                <w:color w:val="1F4D78"/>
                <w:sz w:val="18"/>
              </w:rPr>
              <w:t>Check</w:t>
            </w:r>
          </w:p>
        </w:tc>
        <w:tc>
          <w:tcPr>
            <w:tcW w:type="dxa" w:w="7272"/>
            <w:shd w:fill="F2F4F7"/>
            <w:vAlign w:val="center"/>
            <w:tcMar>
              <w:top w:w="80" w:type="dxa"/>
              <w:start w:w="120" w:type="dxa"/>
              <w:bottom w:w="80" w:type="dxa"/>
              <w:end w:w="120" w:type="dxa"/>
            </w:tcMar>
          </w:tcPr>
          <w:p>
            <w:pPr>
              <w:spacing w:after="0"/>
            </w:pPr>
            <w:r>
              <w:rPr>
                <w:rFonts w:ascii="Calibri" w:hAnsi="Calibri"/>
                <w:b/>
                <w:i w:val="0"/>
                <w:color w:val="1F4D78"/>
                <w:sz w:val="18"/>
              </w:rPr>
              <w:t>Required evidence</w:t>
            </w:r>
          </w:p>
        </w:tc>
      </w:tr>
      <w:tr>
        <w:tc>
          <w:tcPr>
            <w:tcW w:type="dxa" w:w="2088"/>
            <w:vAlign w:val="center"/>
            <w:tcMar>
              <w:top w:w="80" w:type="dxa"/>
              <w:start w:w="120" w:type="dxa"/>
              <w:bottom w:w="80" w:type="dxa"/>
              <w:end w:w="120" w:type="dxa"/>
            </w:tcMar>
          </w:tcPr>
          <w:p>
            <w:pPr>
              <w:spacing w:after="0"/>
            </w:pPr>
            <w:r>
              <w:rPr>
                <w:rFonts w:ascii="Calibri" w:hAnsi="Calibri"/>
                <w:b w:val="0"/>
                <w:i w:val="0"/>
                <w:color w:val="172B4D"/>
                <w:sz w:val="18"/>
              </w:rPr>
              <w:t>Canonical database path</w:t>
            </w:r>
          </w:p>
        </w:tc>
        <w:tc>
          <w:tcPr>
            <w:tcW w:type="dxa" w:w="7272"/>
            <w:vAlign w:val="center"/>
            <w:tcMar>
              <w:top w:w="80" w:type="dxa"/>
              <w:start w:w="120" w:type="dxa"/>
              <w:bottom w:w="80" w:type="dxa"/>
              <w:end w:w="120" w:type="dxa"/>
            </w:tcMar>
          </w:tcPr>
          <w:p>
            <w:pPr>
              <w:spacing w:after="0"/>
            </w:pPr>
            <w:r>
              <w:rPr>
                <w:rFonts w:ascii="Calibri" w:hAnsi="Calibri"/>
                <w:b w:val="0"/>
                <w:i w:val="0"/>
                <w:color w:val="172B4D"/>
                <w:sz w:val="18"/>
              </w:rPr>
              <w:t>Resolved absolute DATABASE_URL and runtime confirmation that the application is reading the same file.</w:t>
            </w:r>
          </w:p>
        </w:tc>
      </w:tr>
      <w:tr>
        <w:tc>
          <w:tcPr>
            <w:tcW w:type="dxa" w:w="2088"/>
            <w:vAlign w:val="center"/>
            <w:tcMar>
              <w:top w:w="80" w:type="dxa"/>
              <w:start w:w="120" w:type="dxa"/>
              <w:bottom w:w="80" w:type="dxa"/>
              <w:end w:w="120" w:type="dxa"/>
            </w:tcMar>
          </w:tcPr>
          <w:p>
            <w:pPr>
              <w:spacing w:after="0"/>
            </w:pPr>
            <w:r>
              <w:rPr>
                <w:rFonts w:ascii="Calibri" w:hAnsi="Calibri"/>
                <w:b w:val="0"/>
                <w:i w:val="0"/>
                <w:color w:val="172B4D"/>
                <w:sz w:val="18"/>
              </w:rPr>
              <w:t>Database fingerprint</w:t>
            </w:r>
          </w:p>
        </w:tc>
        <w:tc>
          <w:tcPr>
            <w:tcW w:type="dxa" w:w="7272"/>
            <w:vAlign w:val="center"/>
            <w:tcMar>
              <w:top w:w="80" w:type="dxa"/>
              <w:start w:w="120" w:type="dxa"/>
              <w:bottom w:w="80" w:type="dxa"/>
              <w:end w:w="120" w:type="dxa"/>
            </w:tcMar>
          </w:tcPr>
          <w:p>
            <w:pPr>
              <w:spacing w:after="0"/>
            </w:pPr>
            <w:r>
              <w:rPr>
                <w:rFonts w:ascii="Calibri" w:hAnsi="Calibri"/>
                <w:b w:val="0"/>
                <w:i w:val="0"/>
                <w:color w:val="172B4D"/>
                <w:sz w:val="18"/>
              </w:rPr>
              <w:t>File path, byte size, SHA-256 hash, SQLite integrity_check result and timestamp.</w:t>
            </w:r>
          </w:p>
        </w:tc>
      </w:tr>
      <w:tr>
        <w:tc>
          <w:tcPr>
            <w:tcW w:type="dxa" w:w="2088"/>
            <w:vAlign w:val="center"/>
            <w:tcMar>
              <w:top w:w="80" w:type="dxa"/>
              <w:start w:w="120" w:type="dxa"/>
              <w:bottom w:w="80" w:type="dxa"/>
              <w:end w:w="120" w:type="dxa"/>
            </w:tcMar>
          </w:tcPr>
          <w:p>
            <w:pPr>
              <w:spacing w:after="0"/>
            </w:pPr>
            <w:r>
              <w:rPr>
                <w:rFonts w:ascii="Calibri" w:hAnsi="Calibri"/>
                <w:b w:val="0"/>
                <w:i w:val="0"/>
                <w:color w:val="172B4D"/>
                <w:sz w:val="18"/>
              </w:rPr>
              <w:t>Schema state</w:t>
            </w:r>
          </w:p>
        </w:tc>
        <w:tc>
          <w:tcPr>
            <w:tcW w:type="dxa" w:w="7272"/>
            <w:vAlign w:val="center"/>
            <w:tcMar>
              <w:top w:w="80" w:type="dxa"/>
              <w:start w:w="120" w:type="dxa"/>
              <w:bottom w:w="80" w:type="dxa"/>
              <w:end w:w="120" w:type="dxa"/>
            </w:tcMar>
          </w:tcPr>
          <w:p>
            <w:pPr>
              <w:spacing w:after="0"/>
            </w:pPr>
            <w:r>
              <w:rPr>
                <w:rFonts w:ascii="Calibri" w:hAnsi="Calibri"/>
                <w:b w:val="0"/>
                <w:i w:val="0"/>
                <w:color w:val="172B4D"/>
                <w:sz w:val="18"/>
              </w:rPr>
              <w:t>Prisma migration history, schema validation result and table/index/foreign-key inventory.</w:t>
            </w:r>
          </w:p>
        </w:tc>
      </w:tr>
      <w:tr>
        <w:tc>
          <w:tcPr>
            <w:tcW w:type="dxa" w:w="2088"/>
            <w:vAlign w:val="center"/>
            <w:tcMar>
              <w:top w:w="80" w:type="dxa"/>
              <w:start w:w="120" w:type="dxa"/>
              <w:bottom w:w="80" w:type="dxa"/>
              <w:end w:w="120" w:type="dxa"/>
            </w:tcMar>
          </w:tcPr>
          <w:p>
            <w:pPr>
              <w:spacing w:after="0"/>
            </w:pPr>
            <w:r>
              <w:rPr>
                <w:rFonts w:ascii="Calibri" w:hAnsi="Calibri"/>
                <w:b w:val="0"/>
                <w:i w:val="0"/>
                <w:color w:val="172B4D"/>
                <w:sz w:val="18"/>
              </w:rPr>
              <w:t>Data counts</w:t>
            </w:r>
          </w:p>
        </w:tc>
        <w:tc>
          <w:tcPr>
            <w:tcW w:type="dxa" w:w="7272"/>
            <w:vAlign w:val="center"/>
            <w:tcMar>
              <w:top w:w="80" w:type="dxa"/>
              <w:start w:w="120" w:type="dxa"/>
              <w:bottom w:w="80" w:type="dxa"/>
              <w:end w:w="120" w:type="dxa"/>
            </w:tcMar>
          </w:tcPr>
          <w:p>
            <w:pPr>
              <w:spacing w:after="0"/>
            </w:pPr>
            <w:r>
              <w:rPr>
                <w:rFonts w:ascii="Calibri" w:hAnsi="Calibri"/>
                <w:b w:val="0"/>
                <w:i w:val="0"/>
                <w:color w:val="172B4D"/>
                <w:sz w:val="18"/>
              </w:rPr>
              <w:t>Counts for every domain table, with special counts for Projects, Users, Organizations, Risks, Risk Actions, Decisions, Reporting Packs, Events, Tasks and Time Entries.</w:t>
            </w:r>
          </w:p>
        </w:tc>
      </w:tr>
      <w:tr>
        <w:tc>
          <w:tcPr>
            <w:tcW w:type="dxa" w:w="2088"/>
            <w:vAlign w:val="center"/>
            <w:tcMar>
              <w:top w:w="80" w:type="dxa"/>
              <w:start w:w="120" w:type="dxa"/>
              <w:bottom w:w="80" w:type="dxa"/>
              <w:end w:w="120" w:type="dxa"/>
            </w:tcMar>
          </w:tcPr>
          <w:p>
            <w:pPr>
              <w:spacing w:after="0"/>
            </w:pPr>
            <w:r>
              <w:rPr>
                <w:rFonts w:ascii="Calibri" w:hAnsi="Calibri"/>
                <w:b w:val="0"/>
                <w:i w:val="0"/>
                <w:color w:val="172B4D"/>
                <w:sz w:val="18"/>
              </w:rPr>
              <w:t>Relationship health</w:t>
            </w:r>
          </w:p>
        </w:tc>
        <w:tc>
          <w:tcPr>
            <w:tcW w:type="dxa" w:w="7272"/>
            <w:vAlign w:val="center"/>
            <w:tcMar>
              <w:top w:w="80" w:type="dxa"/>
              <w:start w:w="120" w:type="dxa"/>
              <w:bottom w:w="80" w:type="dxa"/>
              <w:end w:w="120" w:type="dxa"/>
            </w:tcMar>
          </w:tcPr>
          <w:p>
            <w:pPr>
              <w:spacing w:after="0"/>
            </w:pPr>
            <w:r>
              <w:rPr>
                <w:rFonts w:ascii="Calibri" w:hAnsi="Calibri"/>
                <w:b w:val="0"/>
                <w:i w:val="0"/>
                <w:color w:val="172B4D"/>
                <w:sz w:val="18"/>
              </w:rPr>
              <w:t>Orphans, nulls in expected relations, duplicate codes, stale governed status references and legacy status bridge coverage.</w:t>
            </w:r>
          </w:p>
        </w:tc>
      </w:tr>
      <w:tr>
        <w:tc>
          <w:tcPr>
            <w:tcW w:type="dxa" w:w="2088"/>
            <w:vAlign w:val="center"/>
            <w:tcMar>
              <w:top w:w="80" w:type="dxa"/>
              <w:start w:w="120" w:type="dxa"/>
              <w:bottom w:w="80" w:type="dxa"/>
              <w:end w:w="120" w:type="dxa"/>
            </w:tcMar>
          </w:tcPr>
          <w:p>
            <w:pPr>
              <w:spacing w:after="0"/>
            </w:pPr>
            <w:r>
              <w:rPr>
                <w:rFonts w:ascii="Calibri" w:hAnsi="Calibri"/>
                <w:b w:val="0"/>
                <w:i w:val="0"/>
                <w:color w:val="172B4D"/>
                <w:sz w:val="18"/>
              </w:rPr>
              <w:t>Recovery test</w:t>
            </w:r>
          </w:p>
        </w:tc>
        <w:tc>
          <w:tcPr>
            <w:tcW w:type="dxa" w:w="7272"/>
            <w:vAlign w:val="center"/>
            <w:tcMar>
              <w:top w:w="80" w:type="dxa"/>
              <w:start w:w="120" w:type="dxa"/>
              <w:bottom w:w="80" w:type="dxa"/>
              <w:end w:w="120" w:type="dxa"/>
            </w:tcMar>
          </w:tcPr>
          <w:p>
            <w:pPr>
              <w:spacing w:after="0"/>
            </w:pPr>
            <w:r>
              <w:rPr>
                <w:rFonts w:ascii="Calibri" w:hAnsi="Calibri"/>
                <w:b w:val="0"/>
                <w:i w:val="0"/>
                <w:color w:val="172B4D"/>
                <w:sz w:val="18"/>
              </w:rPr>
              <w:t>A backup copy can be opened and passes integrity checks before any migration begins.</w:t>
            </w:r>
          </w:p>
        </w:tc>
      </w:tr>
    </w:tbl>
    <w:p>
      <w:pPr>
        <w:spacing w:after="40"/>
      </w:pPr>
    </w:p>
    <w:p>
      <w:pPr>
        <w:pStyle w:val="Heading2"/>
      </w:pPr>
      <w:r>
        <w:rPr>
          <w:rFonts w:ascii="Calibri" w:hAnsi="Calibri"/>
          <w:b w:val="0"/>
          <w:i w:val="0"/>
          <w:color w:val="172B4D"/>
          <w:sz w:val="22"/>
        </w:rPr>
        <w:t>7.3 Migration phases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99"/>
            <w:shd w:fill="F2F4F7"/>
            <w:vAlign w:val="center"/>
            <w:tcMar>
              <w:top w:w="80" w:type="dxa"/>
              <w:start w:w="120" w:type="dxa"/>
              <w:bottom w:w="80" w:type="dxa"/>
              <w:end w:w="120" w:type="dxa"/>
            </w:tcMar>
          </w:tcPr>
          <w:p>
            <w:pPr>
              <w:spacing w:after="0"/>
            </w:pPr>
            <w:r>
              <w:rPr>
                <w:rFonts w:ascii="Calibri" w:hAnsi="Calibri"/>
                <w:b/>
                <w:i w:val="0"/>
                <w:color w:val="1F4D78"/>
                <w:sz w:val="18"/>
              </w:rPr>
              <w:t>Phase</w:t>
            </w:r>
          </w:p>
        </w:tc>
        <w:tc>
          <w:tcPr>
            <w:tcW w:type="dxa" w:w="5429"/>
            <w:shd w:fill="F2F4F7"/>
            <w:vAlign w:val="center"/>
            <w:tcMar>
              <w:top w:w="80" w:type="dxa"/>
              <w:start w:w="120" w:type="dxa"/>
              <w:bottom w:w="80" w:type="dxa"/>
              <w:end w:w="120" w:type="dxa"/>
            </w:tcMar>
          </w:tcPr>
          <w:p>
            <w:pPr>
              <w:spacing w:after="0"/>
            </w:pPr>
            <w:r>
              <w:rPr>
                <w:rFonts w:ascii="Calibri" w:hAnsi="Calibri"/>
                <w:b/>
                <w:i w:val="0"/>
                <w:color w:val="1F4D78"/>
                <w:sz w:val="18"/>
              </w:rPr>
              <w:t>Operation</w:t>
            </w:r>
          </w:p>
        </w:tc>
        <w:tc>
          <w:tcPr>
            <w:tcW w:type="dxa" w:w="2232"/>
            <w:shd w:fill="F2F4F7"/>
            <w:vAlign w:val="center"/>
            <w:tcMar>
              <w:top w:w="80" w:type="dxa"/>
              <w:start w:w="120" w:type="dxa"/>
              <w:bottom w:w="80" w:type="dxa"/>
              <w:end w:w="120" w:type="dxa"/>
            </w:tcMar>
          </w:tcPr>
          <w:p>
            <w:pPr>
              <w:spacing w:after="0"/>
            </w:pPr>
            <w:r>
              <w:rPr>
                <w:rFonts w:ascii="Calibri" w:hAnsi="Calibri"/>
                <w:b/>
                <w:i w:val="0"/>
                <w:color w:val="1F4D78"/>
                <w:sz w:val="18"/>
              </w:rPr>
              <w:t>Exit condition</w:t>
            </w:r>
          </w:p>
        </w:tc>
      </w:tr>
      <w:tr>
        <w:tc>
          <w:tcPr>
            <w:tcW w:type="dxa" w:w="1699"/>
            <w:vAlign w:val="center"/>
            <w:tcMar>
              <w:top w:w="80" w:type="dxa"/>
              <w:start w:w="120" w:type="dxa"/>
              <w:bottom w:w="80" w:type="dxa"/>
              <w:end w:w="120" w:type="dxa"/>
            </w:tcMar>
          </w:tcPr>
          <w:p>
            <w:pPr>
              <w:spacing w:after="0"/>
            </w:pPr>
            <w:r>
              <w:rPr>
                <w:rFonts w:ascii="Calibri" w:hAnsi="Calibri"/>
                <w:b w:val="0"/>
                <w:i w:val="0"/>
                <w:color w:val="172B4D"/>
                <w:sz w:val="18"/>
              </w:rPr>
              <w:t>M0 — Freeze &amp; identify</w:t>
            </w:r>
          </w:p>
        </w:tc>
        <w:tc>
          <w:tcPr>
            <w:tcW w:type="dxa" w:w="5429"/>
            <w:vAlign w:val="center"/>
            <w:tcMar>
              <w:top w:w="80" w:type="dxa"/>
              <w:start w:w="120" w:type="dxa"/>
              <w:bottom w:w="80" w:type="dxa"/>
              <w:end w:w="120" w:type="dxa"/>
            </w:tcMar>
          </w:tcPr>
          <w:p>
            <w:pPr>
              <w:spacing w:after="0"/>
            </w:pPr>
            <w:r>
              <w:rPr>
                <w:rFonts w:ascii="Calibri" w:hAnsi="Calibri"/>
                <w:b w:val="0"/>
                <w:i w:val="0"/>
                <w:color w:val="172B4D"/>
                <w:sz w:val="18"/>
              </w:rPr>
              <w:t>Stop writes for the backup window; verify live DB path; record Git commit/version and environment values without exposing secrets.</w:t>
            </w:r>
          </w:p>
        </w:tc>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Canonical source and application version documented.</w:t>
            </w:r>
          </w:p>
        </w:tc>
      </w:tr>
      <w:tr>
        <w:tc>
          <w:tcPr>
            <w:tcW w:type="dxa" w:w="1699"/>
            <w:vAlign w:val="center"/>
            <w:tcMar>
              <w:top w:w="80" w:type="dxa"/>
              <w:start w:w="120" w:type="dxa"/>
              <w:bottom w:w="80" w:type="dxa"/>
              <w:end w:w="120" w:type="dxa"/>
            </w:tcMar>
          </w:tcPr>
          <w:p>
            <w:pPr>
              <w:spacing w:after="0"/>
            </w:pPr>
            <w:r>
              <w:rPr>
                <w:rFonts w:ascii="Calibri" w:hAnsi="Calibri"/>
                <w:b w:val="0"/>
                <w:i w:val="0"/>
                <w:color w:val="172B4D"/>
                <w:sz w:val="18"/>
              </w:rPr>
              <w:t>M1 — Backup &amp; fingerprint</w:t>
            </w:r>
          </w:p>
        </w:tc>
        <w:tc>
          <w:tcPr>
            <w:tcW w:type="dxa" w:w="5429"/>
            <w:vAlign w:val="center"/>
            <w:tcMar>
              <w:top w:w="80" w:type="dxa"/>
              <w:start w:w="120" w:type="dxa"/>
              <w:bottom w:w="80" w:type="dxa"/>
              <w:end w:w="120" w:type="dxa"/>
            </w:tcMar>
          </w:tcPr>
          <w:p>
            <w:pPr>
              <w:spacing w:after="0"/>
            </w:pPr>
            <w:r>
              <w:rPr>
                <w:rFonts w:ascii="Calibri" w:hAnsi="Calibri"/>
                <w:b w:val="0"/>
                <w:i w:val="0"/>
                <w:color w:val="172B4D"/>
                <w:sz w:val="18"/>
              </w:rPr>
              <w:t>Create timestamped immutable backup plus separate working rehearsal copy; hash and integrity-check both.</w:t>
            </w:r>
          </w:p>
        </w:tc>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Backup matches source fingerprint and restore opens successfully.</w:t>
            </w:r>
          </w:p>
        </w:tc>
      </w:tr>
      <w:tr>
        <w:tc>
          <w:tcPr>
            <w:tcW w:type="dxa" w:w="1699"/>
            <w:vAlign w:val="center"/>
            <w:tcMar>
              <w:top w:w="80" w:type="dxa"/>
              <w:start w:w="120" w:type="dxa"/>
              <w:bottom w:w="80" w:type="dxa"/>
              <w:end w:w="120" w:type="dxa"/>
            </w:tcMar>
          </w:tcPr>
          <w:p>
            <w:pPr>
              <w:spacing w:after="0"/>
            </w:pPr>
            <w:r>
              <w:rPr>
                <w:rFonts w:ascii="Calibri" w:hAnsi="Calibri"/>
                <w:b w:val="0"/>
                <w:i w:val="0"/>
                <w:color w:val="172B4D"/>
                <w:sz w:val="18"/>
              </w:rPr>
              <w:t>M2 — Rehearsal</w:t>
            </w:r>
          </w:p>
        </w:tc>
        <w:tc>
          <w:tcPr>
            <w:tcW w:type="dxa" w:w="5429"/>
            <w:vAlign w:val="center"/>
            <w:tcMar>
              <w:top w:w="80" w:type="dxa"/>
              <w:start w:w="120" w:type="dxa"/>
              <w:bottom w:w="80" w:type="dxa"/>
              <w:end w:w="120" w:type="dxa"/>
            </w:tcMar>
          </w:tcPr>
          <w:p>
            <w:pPr>
              <w:spacing w:after="0"/>
            </w:pPr>
            <w:r>
              <w:rPr>
                <w:rFonts w:ascii="Calibri" w:hAnsi="Calibri"/>
                <w:b w:val="0"/>
                <w:i w:val="0"/>
                <w:color w:val="172B4D"/>
                <w:sz w:val="18"/>
              </w:rPr>
              <w:t>Run migration against rehearsal copy only; capture logs, durations, warnings and reconciliation report.</w:t>
            </w:r>
          </w:p>
        </w:tc>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Zero unexplained loss/orphans; rollback rehearsal succeeds.</w:t>
            </w:r>
          </w:p>
        </w:tc>
      </w:tr>
      <w:tr>
        <w:tc>
          <w:tcPr>
            <w:tcW w:type="dxa" w:w="1699"/>
            <w:vAlign w:val="center"/>
            <w:tcMar>
              <w:top w:w="80" w:type="dxa"/>
              <w:start w:w="120" w:type="dxa"/>
              <w:bottom w:w="80" w:type="dxa"/>
              <w:end w:w="120" w:type="dxa"/>
            </w:tcMar>
          </w:tcPr>
          <w:p>
            <w:pPr>
              <w:spacing w:after="0"/>
            </w:pPr>
            <w:r>
              <w:rPr>
                <w:rFonts w:ascii="Calibri" w:hAnsi="Calibri"/>
                <w:b w:val="0"/>
                <w:i w:val="0"/>
                <w:color w:val="172B4D"/>
                <w:sz w:val="18"/>
              </w:rPr>
              <w:t>M3 — Additive schema</w:t>
            </w:r>
          </w:p>
        </w:tc>
        <w:tc>
          <w:tcPr>
            <w:tcW w:type="dxa" w:w="5429"/>
            <w:vAlign w:val="center"/>
            <w:tcMar>
              <w:top w:w="80" w:type="dxa"/>
              <w:start w:w="120" w:type="dxa"/>
              <w:bottom w:w="80" w:type="dxa"/>
              <w:end w:w="120" w:type="dxa"/>
            </w:tcMar>
          </w:tcPr>
          <w:p>
            <w:pPr>
              <w:spacing w:after="0"/>
            </w:pPr>
            <w:r>
              <w:rPr>
                <w:rFonts w:ascii="Calibri" w:hAnsi="Calibri"/>
                <w:b w:val="0"/>
                <w:i w:val="0"/>
                <w:color w:val="172B4D"/>
                <w:sz w:val="18"/>
              </w:rPr>
              <w:t>Create Workspace, identity, role, membership, session/audit structures; add nullable Project.workspaceId and any approved workspace fields.</w:t>
            </w:r>
          </w:p>
        </w:tc>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Schema valid; old application data remains readable.</w:t>
            </w:r>
          </w:p>
        </w:tc>
      </w:tr>
      <w:tr>
        <w:tc>
          <w:tcPr>
            <w:tcW w:type="dxa" w:w="1699"/>
            <w:vAlign w:val="center"/>
            <w:tcMar>
              <w:top w:w="80" w:type="dxa"/>
              <w:start w:w="120" w:type="dxa"/>
              <w:bottom w:w="80" w:type="dxa"/>
              <w:end w:w="120" w:type="dxa"/>
            </w:tcMar>
          </w:tcPr>
          <w:p>
            <w:pPr>
              <w:spacing w:after="0"/>
            </w:pPr>
            <w:r>
              <w:rPr>
                <w:rFonts w:ascii="Calibri" w:hAnsi="Calibri"/>
                <w:b w:val="0"/>
                <w:i w:val="0"/>
                <w:color w:val="172B4D"/>
                <w:sz w:val="18"/>
              </w:rPr>
              <w:t>M4 — Security seed</w:t>
            </w:r>
          </w:p>
        </w:tc>
        <w:tc>
          <w:tcPr>
            <w:tcW w:type="dxa" w:w="5429"/>
            <w:vAlign w:val="center"/>
            <w:tcMar>
              <w:top w:w="80" w:type="dxa"/>
              <w:start w:w="120" w:type="dxa"/>
              <w:bottom w:w="80" w:type="dxa"/>
              <w:end w:w="120" w:type="dxa"/>
            </w:tcMar>
          </w:tcPr>
          <w:p>
            <w:pPr>
              <w:spacing w:after="0"/>
            </w:pPr>
            <w:r>
              <w:rPr>
                <w:rFonts w:ascii="Calibri" w:hAnsi="Calibri"/>
                <w:b w:val="0"/>
                <w:i w:val="0"/>
                <w:color w:val="172B4D"/>
                <w:sz w:val="18"/>
              </w:rPr>
              <w:t>Upsert LIVE/DEMO workspace records, canonical roles and owner identity/profile mapping.</w:t>
            </w:r>
          </w:p>
        </w:tc>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Stable codes and IDs resolved; no duplicate governance rows.</w:t>
            </w:r>
          </w:p>
        </w:tc>
      </w:tr>
      <w:tr>
        <w:tc>
          <w:tcPr>
            <w:tcW w:type="dxa" w:w="1699"/>
            <w:vAlign w:val="center"/>
            <w:tcMar>
              <w:top w:w="80" w:type="dxa"/>
              <w:start w:w="120" w:type="dxa"/>
              <w:bottom w:w="80" w:type="dxa"/>
              <w:end w:w="120" w:type="dxa"/>
            </w:tcMar>
          </w:tcPr>
          <w:p>
            <w:pPr>
              <w:spacing w:after="0"/>
            </w:pPr>
            <w:r>
              <w:rPr>
                <w:rFonts w:ascii="Calibri" w:hAnsi="Calibri"/>
                <w:b w:val="0"/>
                <w:i w:val="0"/>
                <w:color w:val="172B4D"/>
                <w:sz w:val="18"/>
              </w:rPr>
              <w:t>M5 — Live-data backfill</w:t>
            </w:r>
          </w:p>
        </w:tc>
        <w:tc>
          <w:tcPr>
            <w:tcW w:type="dxa" w:w="5429"/>
            <w:vAlign w:val="center"/>
            <w:tcMar>
              <w:top w:w="80" w:type="dxa"/>
              <w:start w:w="120" w:type="dxa"/>
              <w:bottom w:w="80" w:type="dxa"/>
              <w:end w:w="120" w:type="dxa"/>
            </w:tcMar>
          </w:tcPr>
          <w:p>
            <w:pPr>
              <w:spacing w:after="0"/>
            </w:pPr>
            <w:r>
              <w:rPr>
                <w:rFonts w:ascii="Calibri" w:hAnsi="Calibri"/>
                <w:b w:val="0"/>
                <w:i w:val="0"/>
                <w:color w:val="172B4D"/>
                <w:sz w:val="18"/>
              </w:rPr>
              <w:t>Assign every existing live Project to LIVE workspace; scope approved Organizations; create owner/admin membership; reconcile User links.</w:t>
            </w:r>
          </w:p>
        </w:tc>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Every required live record has deterministic scope; exceptions are zero or explicitly approved.</w:t>
            </w:r>
          </w:p>
        </w:tc>
      </w:tr>
      <w:tr>
        <w:tc>
          <w:tcPr>
            <w:tcW w:type="dxa" w:w="1699"/>
            <w:vAlign w:val="center"/>
            <w:tcMar>
              <w:top w:w="80" w:type="dxa"/>
              <w:start w:w="120" w:type="dxa"/>
              <w:bottom w:w="80" w:type="dxa"/>
              <w:end w:w="120" w:type="dxa"/>
            </w:tcMar>
          </w:tcPr>
          <w:p>
            <w:pPr>
              <w:spacing w:after="0"/>
            </w:pPr>
            <w:r>
              <w:rPr>
                <w:rFonts w:ascii="Calibri" w:hAnsi="Calibri"/>
                <w:b w:val="0"/>
                <w:i w:val="0"/>
                <w:color w:val="172B4D"/>
                <w:sz w:val="18"/>
              </w:rPr>
              <w:t>M6 — Demo fixture</w:t>
            </w:r>
          </w:p>
        </w:tc>
        <w:tc>
          <w:tcPr>
            <w:tcW w:type="dxa" w:w="5429"/>
            <w:vAlign w:val="center"/>
            <w:tcMar>
              <w:top w:w="80" w:type="dxa"/>
              <w:start w:w="120" w:type="dxa"/>
              <w:bottom w:w="80" w:type="dxa"/>
              <w:end w:w="120" w:type="dxa"/>
            </w:tcMar>
          </w:tcPr>
          <w:p>
            <w:pPr>
              <w:spacing w:after="0"/>
            </w:pPr>
            <w:r>
              <w:rPr>
                <w:rFonts w:ascii="Calibri" w:hAnsi="Calibri"/>
                <w:b w:val="0"/>
                <w:i w:val="0"/>
                <w:color w:val="172B4D"/>
                <w:sz w:val="18"/>
              </w:rPr>
              <w:t>Create synthetic organizations, contacts, project and selected child records under DEMO workspace.</w:t>
            </w:r>
          </w:p>
        </w:tc>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No live names/data fingerprints in demo; Demo Viewer sees only demo.</w:t>
            </w:r>
          </w:p>
        </w:tc>
      </w:tr>
      <w:tr>
        <w:tc>
          <w:tcPr>
            <w:tcW w:type="dxa" w:w="1699"/>
            <w:vAlign w:val="center"/>
            <w:tcMar>
              <w:top w:w="80" w:type="dxa"/>
              <w:start w:w="120" w:type="dxa"/>
              <w:bottom w:w="80" w:type="dxa"/>
              <w:end w:w="120" w:type="dxa"/>
            </w:tcMar>
          </w:tcPr>
          <w:p>
            <w:pPr>
              <w:spacing w:after="0"/>
            </w:pPr>
            <w:r>
              <w:rPr>
                <w:rFonts w:ascii="Calibri" w:hAnsi="Calibri"/>
                <w:b w:val="0"/>
                <w:i w:val="0"/>
                <w:color w:val="172B4D"/>
                <w:sz w:val="18"/>
              </w:rPr>
              <w:t>M7 — Authorization activation</w:t>
            </w:r>
          </w:p>
        </w:tc>
        <w:tc>
          <w:tcPr>
            <w:tcW w:type="dxa" w:w="5429"/>
            <w:vAlign w:val="center"/>
            <w:tcMar>
              <w:top w:w="80" w:type="dxa"/>
              <w:start w:w="120" w:type="dxa"/>
              <w:bottom w:w="80" w:type="dxa"/>
              <w:end w:w="120" w:type="dxa"/>
            </w:tcMar>
          </w:tcPr>
          <w:p>
            <w:pPr>
              <w:spacing w:after="0"/>
            </w:pPr>
            <w:r>
              <w:rPr>
                <w:rFonts w:ascii="Calibri" w:hAnsi="Calibri"/>
                <w:b w:val="0"/>
                <w:i w:val="0"/>
                <w:color w:val="172B4D"/>
                <w:sz w:val="18"/>
              </w:rPr>
              <w:t>Deploy server-side guards, scoped queries/actions and route protection initially behind an owner-controlled feature flag if needed.</w:t>
            </w:r>
          </w:p>
        </w:tc>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Authorization test matrix passes; no cross-workspace access.</w:t>
            </w:r>
          </w:p>
        </w:tc>
      </w:tr>
      <w:tr>
        <w:tc>
          <w:tcPr>
            <w:tcW w:type="dxa" w:w="1699"/>
            <w:vAlign w:val="center"/>
            <w:tcMar>
              <w:top w:w="80" w:type="dxa"/>
              <w:start w:w="120" w:type="dxa"/>
              <w:bottom w:w="80" w:type="dxa"/>
              <w:end w:w="120" w:type="dxa"/>
            </w:tcMar>
          </w:tcPr>
          <w:p>
            <w:pPr>
              <w:spacing w:after="0"/>
            </w:pPr>
            <w:r>
              <w:rPr>
                <w:rFonts w:ascii="Calibri" w:hAnsi="Calibri"/>
                <w:b w:val="0"/>
                <w:i w:val="0"/>
                <w:color w:val="172B4D"/>
                <w:sz w:val="18"/>
              </w:rPr>
              <w:t>M8 — Constraint tightening</w:t>
            </w:r>
          </w:p>
        </w:tc>
        <w:tc>
          <w:tcPr>
            <w:tcW w:type="dxa" w:w="5429"/>
            <w:vAlign w:val="center"/>
            <w:tcMar>
              <w:top w:w="80" w:type="dxa"/>
              <w:start w:w="120" w:type="dxa"/>
              <w:bottom w:w="80" w:type="dxa"/>
              <w:end w:w="120" w:type="dxa"/>
            </w:tcMar>
          </w:tcPr>
          <w:p>
            <w:pPr>
              <w:spacing w:after="0"/>
            </w:pPr>
            <w:r>
              <w:rPr>
                <w:rFonts w:ascii="Calibri" w:hAnsi="Calibri"/>
                <w:b w:val="0"/>
                <w:i w:val="0"/>
                <w:color w:val="172B4D"/>
                <w:sz w:val="18"/>
              </w:rPr>
              <w:t>Make Project.workspaceId required and add indexes/unique constraints only after complete backfill.</w:t>
            </w:r>
          </w:p>
        </w:tc>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Database accepts constraints; reconciliation remains identical.</w:t>
            </w:r>
          </w:p>
        </w:tc>
      </w:tr>
      <w:tr>
        <w:tc>
          <w:tcPr>
            <w:tcW w:type="dxa" w:w="1699"/>
            <w:vAlign w:val="center"/>
            <w:tcMar>
              <w:top w:w="80" w:type="dxa"/>
              <w:start w:w="120" w:type="dxa"/>
              <w:bottom w:w="80" w:type="dxa"/>
              <w:end w:w="120" w:type="dxa"/>
            </w:tcMar>
          </w:tcPr>
          <w:p>
            <w:pPr>
              <w:spacing w:after="0"/>
            </w:pPr>
            <w:r>
              <w:rPr>
                <w:rFonts w:ascii="Calibri" w:hAnsi="Calibri"/>
                <w:b w:val="0"/>
                <w:i w:val="0"/>
                <w:color w:val="172B4D"/>
                <w:sz w:val="18"/>
              </w:rPr>
              <w:t>M9 — Production cutover</w:t>
            </w:r>
          </w:p>
        </w:tc>
        <w:tc>
          <w:tcPr>
            <w:tcW w:type="dxa" w:w="5429"/>
            <w:vAlign w:val="center"/>
            <w:tcMar>
              <w:top w:w="80" w:type="dxa"/>
              <w:start w:w="120" w:type="dxa"/>
              <w:bottom w:w="80" w:type="dxa"/>
              <w:end w:w="120" w:type="dxa"/>
            </w:tcMar>
          </w:tcPr>
          <w:p>
            <w:pPr>
              <w:spacing w:after="0"/>
            </w:pPr>
            <w:r>
              <w:rPr>
                <w:rFonts w:ascii="Calibri" w:hAnsi="Calibri"/>
                <w:b w:val="0"/>
                <w:i w:val="0"/>
                <w:color w:val="172B4D"/>
                <w:sz w:val="18"/>
              </w:rPr>
              <w:t>Repeat validated runbook on fresh live backup during controlled write pause; start application; execute smoke tests.</w:t>
            </w:r>
          </w:p>
        </w:tc>
        <w:tc>
          <w:tcPr>
            <w:tcW w:type="dxa" w:w="2232"/>
            <w:vAlign w:val="center"/>
            <w:tcMar>
              <w:top w:w="80" w:type="dxa"/>
              <w:start w:w="120" w:type="dxa"/>
              <w:bottom w:w="80" w:type="dxa"/>
              <w:end w:w="120" w:type="dxa"/>
            </w:tcMar>
          </w:tcPr>
          <w:p>
            <w:pPr>
              <w:spacing w:after="0"/>
            </w:pPr>
            <w:r>
              <w:rPr>
                <w:rFonts w:ascii="Calibri" w:hAnsi="Calibri"/>
                <w:b w:val="0"/>
                <w:i w:val="0"/>
                <w:color w:val="172B4D"/>
                <w:sz w:val="18"/>
              </w:rPr>
              <w:t>Owner approves live and demo behavior; backup retained.</w:t>
            </w:r>
          </w:p>
        </w:tc>
      </w:tr>
    </w:tbl>
    <w:p>
      <w:pPr>
        <w:spacing w:after="40"/>
      </w:pPr>
    </w:p>
    <w:p>
      <w:pPr>
        <w:pStyle w:val="Heading2"/>
      </w:pPr>
      <w:r>
        <w:rPr>
          <w:rFonts w:ascii="Calibri" w:hAnsi="Calibri"/>
          <w:b w:val="0"/>
          <w:i w:val="0"/>
          <w:color w:val="172B4D"/>
          <w:sz w:val="22"/>
        </w:rPr>
        <w:t>7.4 Deterministic backfill rules</w:t>
      </w:r>
    </w:p>
    <w:p>
      <w:pPr>
        <w:pStyle w:val="ListNumber"/>
        <w:spacing w:after="100"/>
      </w:pPr>
      <w:r>
        <w:t>Resolve or create exactly one LIVE workspace using stable code LIVE. Store its ID from the database; never hardcode an assumed cuid.</w:t>
      </w:r>
    </w:p>
    <w:p>
      <w:pPr>
        <w:pStyle w:val="ListNumber"/>
        <w:spacing w:after="100"/>
      </w:pPr>
      <w:r>
        <w:t>Resolve the existing owner User record by an explicit, operator-approved identifier. Do not guess based only on display name.</w:t>
      </w:r>
    </w:p>
    <w:p>
      <w:pPr>
        <w:pStyle w:val="ListNumber"/>
        <w:spacing w:after="100"/>
      </w:pPr>
      <w:r>
        <w:t>Create OWNER_ADMIN membership for that User in LIVE and DEMO workspaces using upsert.</w:t>
      </w:r>
    </w:p>
    <w:p>
      <w:pPr>
        <w:pStyle w:val="ListNumber"/>
        <w:spacing w:after="100"/>
      </w:pPr>
      <w:r>
        <w:t>Update existing Projects where workspaceId is null to the LIVE workspace. Do not reassign non-null projects during a rerun.</w:t>
      </w:r>
    </w:p>
    <w:p>
      <w:pPr>
        <w:pStyle w:val="ListNumber"/>
        <w:spacing w:after="100"/>
      </w:pPr>
      <w:r>
        <w:t>Scope existing Organizations/contacts to LIVE if the schema adopts workspace ownership. Record any ambiguous or shared organization for manual decision.</w:t>
      </w:r>
    </w:p>
    <w:p>
      <w:pPr>
        <w:pStyle w:val="ListNumber"/>
        <w:spacing w:after="100"/>
      </w:pPr>
      <w:r>
        <w:t>Preserve existing projectManagerId, risk ownerId and other User relations. Authentication identities link to User; they do not replace User IDs.</w:t>
      </w:r>
    </w:p>
    <w:p>
      <w:pPr>
        <w:pStyle w:val="ListNumber"/>
        <w:spacing w:after="100"/>
      </w:pPr>
      <w:r>
        <w:t>Run existing governed-status reconciliation independently. V3.3 must not translate or recreate Status records unless a validated missing seed is required.</w:t>
      </w:r>
    </w:p>
    <w:p>
      <w:pPr>
        <w:pStyle w:val="ListNumber"/>
        <w:spacing w:after="100"/>
      </w:pPr>
      <w:r>
        <w:t>Create DEMO records from a separate fixture namespace and stable demo codes. Never clone from LIVE.</w:t>
      </w:r>
    </w:p>
    <w:p>
      <w:pPr>
        <w:pStyle w:val="Heading2"/>
      </w:pPr>
      <w:r>
        <w:rPr>
          <w:rFonts w:ascii="Calibri" w:hAnsi="Calibri"/>
          <w:b w:val="0"/>
          <w:i w:val="0"/>
          <w:color w:val="172B4D"/>
          <w:sz w:val="22"/>
        </w:rPr>
        <w:t>7.5 Migration script contract</w:t>
      </w:r>
    </w:p>
    <w:p>
      <w:pPr>
        <w:pStyle w:val="CodeBlock"/>
      </w:pPr>
      <w:r>
        <w:rPr>
          <w:rFonts w:ascii="Calibri" w:hAnsi="Calibri"/>
          <w:b w:val="0"/>
          <w:i w:val="0"/>
          <w:color w:val="172B4D"/>
          <w:sz w:val="22"/>
        </w:rPr>
        <w:t>// Required behavior for scripts/migrations/v3_3_security_backfill.ts</w:t>
      </w:r>
    </w:p>
    <w:p>
      <w:pPr>
        <w:pStyle w:val="CodeBlock"/>
      </w:pPr>
      <w:r>
        <w:rPr>
          <w:rFonts w:ascii="Calibri" w:hAnsi="Calibri"/>
          <w:b w:val="0"/>
          <w:i w:val="0"/>
          <w:color w:val="172B4D"/>
          <w:sz w:val="22"/>
        </w:rPr>
        <w:t>// --dry-run: report planned changes, write nothing</w:t>
      </w:r>
    </w:p>
    <w:p>
      <w:pPr>
        <w:pStyle w:val="CodeBlock"/>
      </w:pPr>
      <w:r>
        <w:rPr>
          <w:rFonts w:ascii="Calibri" w:hAnsi="Calibri"/>
          <w:b w:val="0"/>
          <w:i w:val="0"/>
          <w:color w:val="172B4D"/>
          <w:sz w:val="22"/>
        </w:rPr>
        <w:t>// --apply: execute in a database transaction where SQLite/Prisma permits</w:t>
      </w:r>
    </w:p>
    <w:p>
      <w:pPr>
        <w:pStyle w:val="CodeBlock"/>
      </w:pPr>
      <w:r>
        <w:rPr>
          <w:rFonts w:ascii="Calibri" w:hAnsi="Calibri"/>
          <w:b w:val="0"/>
          <w:i w:val="0"/>
          <w:color w:val="172B4D"/>
          <w:sz w:val="22"/>
        </w:rPr>
        <w:t>// --database: explicit validated path/URL; never silently default for production</w:t>
      </w:r>
    </w:p>
    <w:p>
      <w:pPr>
        <w:pStyle w:val="CodeBlock"/>
      </w:pPr>
      <w:r>
        <w:rPr>
          <w:rFonts w:ascii="Calibri" w:hAnsi="Calibri"/>
          <w:b w:val="0"/>
          <w:i w:val="0"/>
          <w:color w:val="172B4D"/>
          <w:sz w:val="22"/>
        </w:rPr>
        <w:t>// --report: write machine-readable JSON reconciliation output</w:t>
      </w:r>
    </w:p>
    <w:p>
      <w:pPr>
        <w:pStyle w:val="CodeBlock"/>
      </w:pPr>
      <w:r>
        <w:rPr>
          <w:rFonts w:ascii="Calibri" w:hAnsi="Calibri"/>
          <w:b w:val="0"/>
          <w:i w:val="0"/>
          <w:color w:val="172B4D"/>
          <w:sz w:val="22"/>
        </w:rPr>
      </w:r>
    </w:p>
    <w:p>
      <w:pPr>
        <w:pStyle w:val="CodeBlock"/>
      </w:pPr>
      <w:r>
        <w:rPr>
          <w:rFonts w:ascii="Calibri" w:hAnsi="Calibri"/>
          <w:b w:val="0"/>
          <w:i w:val="0"/>
          <w:color w:val="172B4D"/>
          <w:sz w:val="22"/>
        </w:rPr>
        <w:t>// Script requirements:</w:t>
      </w:r>
    </w:p>
    <w:p>
      <w:pPr>
        <w:pStyle w:val="CodeBlock"/>
      </w:pPr>
      <w:r>
        <w:rPr>
          <w:rFonts w:ascii="Calibri" w:hAnsi="Calibri"/>
          <w:b w:val="0"/>
          <w:i w:val="0"/>
          <w:color w:val="172B4D"/>
          <w:sz w:val="22"/>
        </w:rPr>
        <w:t>// 1. Abort if database identity does not match the approved input fingerprint.</w:t>
      </w:r>
    </w:p>
    <w:p>
      <w:pPr>
        <w:pStyle w:val="CodeBlock"/>
      </w:pPr>
      <w:r>
        <w:rPr>
          <w:rFonts w:ascii="Calibri" w:hAnsi="Calibri"/>
          <w:b w:val="0"/>
          <w:i w:val="0"/>
          <w:color w:val="172B4D"/>
          <w:sz w:val="22"/>
        </w:rPr>
        <w:t>// 2. Resolve records by stable codes and approved IDs.</w:t>
      </w:r>
    </w:p>
    <w:p>
      <w:pPr>
        <w:pStyle w:val="CodeBlock"/>
      </w:pPr>
      <w:r>
        <w:rPr>
          <w:rFonts w:ascii="Calibri" w:hAnsi="Calibri"/>
          <w:b w:val="0"/>
          <w:i w:val="0"/>
          <w:color w:val="172B4D"/>
          <w:sz w:val="22"/>
        </w:rPr>
        <w:t>// 3. Update only NULL/unmigrated fields unless an explicit correction map exists.</w:t>
      </w:r>
    </w:p>
    <w:p>
      <w:pPr>
        <w:pStyle w:val="CodeBlock"/>
      </w:pPr>
      <w:r>
        <w:rPr>
          <w:rFonts w:ascii="Calibri" w:hAnsi="Calibri"/>
          <w:b w:val="0"/>
          <w:i w:val="0"/>
          <w:color w:val="172B4D"/>
          <w:sz w:val="22"/>
        </w:rPr>
        <w:t>// 4. Be idempotent or detect and report that the migration is already complete.</w:t>
      </w:r>
    </w:p>
    <w:p>
      <w:pPr>
        <w:pStyle w:val="CodeBlock"/>
      </w:pPr>
      <w:r>
        <w:rPr>
          <w:rFonts w:ascii="Calibri" w:hAnsi="Calibri"/>
          <w:b w:val="0"/>
          <w:i w:val="0"/>
          <w:color w:val="172B4D"/>
          <w:sz w:val="22"/>
        </w:rPr>
        <w:t>// 5. Return non-zero exit status on failed invariants.</w:t>
      </w:r>
    </w:p>
    <w:p>
      <w:pPr>
        <w:pStyle w:val="CodeBlock"/>
      </w:pPr>
      <w:r>
        <w:rPr>
          <w:rFonts w:ascii="Calibri" w:hAnsi="Calibri"/>
          <w:b w:val="0"/>
          <w:i w:val="0"/>
          <w:color w:val="172B4D"/>
          <w:sz w:val="22"/>
        </w:rPr>
        <w:t>// 6. Never delete domain records.</w:t>
      </w:r>
    </w:p>
    <w:p>
      <w:pPr>
        <w:pStyle w:val="Heading1"/>
      </w:pPr>
      <w:r>
        <w:rPr>
          <w:rFonts w:ascii="Calibri" w:hAnsi="Calibri"/>
          <w:b w:val="0"/>
          <w:i w:val="0"/>
          <w:color w:val="172B4D"/>
          <w:sz w:val="22"/>
        </w:rPr>
        <w:t>8. Reconciliation and Acceptance Tests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944"/>
            <w:shd w:fill="F2F4F7"/>
            <w:vAlign w:val="center"/>
            <w:tcMar>
              <w:top w:w="80" w:type="dxa"/>
              <w:start w:w="120" w:type="dxa"/>
              <w:bottom w:w="80" w:type="dxa"/>
              <w:end w:w="120" w:type="dxa"/>
            </w:tcMar>
          </w:tcPr>
          <w:p>
            <w:pPr>
              <w:spacing w:after="0"/>
            </w:pPr>
            <w:r>
              <w:rPr>
                <w:rFonts w:ascii="Calibri" w:hAnsi="Calibri"/>
                <w:b/>
                <w:i w:val="0"/>
                <w:color w:val="1F4D78"/>
                <w:sz w:val="18"/>
              </w:rPr>
              <w:t>Test family</w:t>
            </w:r>
          </w:p>
        </w:tc>
        <w:tc>
          <w:tcPr>
            <w:tcW w:type="dxa" w:w="7416"/>
            <w:shd w:fill="F2F4F7"/>
            <w:vAlign w:val="center"/>
            <w:tcMar>
              <w:top w:w="80" w:type="dxa"/>
              <w:start w:w="120" w:type="dxa"/>
              <w:bottom w:w="80" w:type="dxa"/>
              <w:end w:w="120" w:type="dxa"/>
            </w:tcMar>
          </w:tcPr>
          <w:p>
            <w:pPr>
              <w:spacing w:after="0"/>
            </w:pPr>
            <w:r>
              <w:rPr>
                <w:rFonts w:ascii="Calibri" w:hAnsi="Calibri"/>
                <w:b/>
                <w:i w:val="0"/>
                <w:color w:val="1F4D78"/>
                <w:sz w:val="18"/>
              </w:rPr>
              <w:t>Mandatory assertion</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Database integrity</w:t>
            </w:r>
          </w:p>
        </w:tc>
        <w:tc>
          <w:tcPr>
            <w:tcW w:type="dxa" w:w="7416"/>
            <w:vAlign w:val="center"/>
            <w:tcMar>
              <w:top w:w="80" w:type="dxa"/>
              <w:start w:w="120" w:type="dxa"/>
              <w:bottom w:w="80" w:type="dxa"/>
              <w:end w:w="120" w:type="dxa"/>
            </w:tcMar>
          </w:tcPr>
          <w:p>
            <w:pPr>
              <w:spacing w:after="0"/>
            </w:pPr>
            <w:r>
              <w:rPr>
                <w:rFonts w:ascii="Calibri" w:hAnsi="Calibri"/>
                <w:b w:val="0"/>
                <w:i w:val="0"/>
                <w:color w:val="172B4D"/>
                <w:sz w:val="18"/>
              </w:rPr>
              <w:t>PRAGMA integrity_check returns ok; foreign_key_check has no unexplained rows.</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Record preservation</w:t>
            </w:r>
          </w:p>
        </w:tc>
        <w:tc>
          <w:tcPr>
            <w:tcW w:type="dxa" w:w="7416"/>
            <w:vAlign w:val="center"/>
            <w:tcMar>
              <w:top w:w="80" w:type="dxa"/>
              <w:start w:w="120" w:type="dxa"/>
              <w:bottom w:w="80" w:type="dxa"/>
              <w:end w:w="120" w:type="dxa"/>
            </w:tcMar>
          </w:tcPr>
          <w:p>
            <w:pPr>
              <w:spacing w:after="0"/>
            </w:pPr>
            <w:r>
              <w:rPr>
                <w:rFonts w:ascii="Calibri" w:hAnsi="Calibri"/>
                <w:b w:val="0"/>
                <w:i w:val="0"/>
                <w:color w:val="172B4D"/>
                <w:sz w:val="18"/>
              </w:rPr>
              <w:t>Pre/post domain-table counts are equal except documented security/demo additions.</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ID preservation</w:t>
            </w:r>
          </w:p>
        </w:tc>
        <w:tc>
          <w:tcPr>
            <w:tcW w:type="dxa" w:w="7416"/>
            <w:vAlign w:val="center"/>
            <w:tcMar>
              <w:top w:w="80" w:type="dxa"/>
              <w:start w:w="120" w:type="dxa"/>
              <w:bottom w:w="80" w:type="dxa"/>
              <w:end w:w="120" w:type="dxa"/>
            </w:tcMar>
          </w:tcPr>
          <w:p>
            <w:pPr>
              <w:spacing w:after="0"/>
            </w:pPr>
            <w:r>
              <w:rPr>
                <w:rFonts w:ascii="Calibri" w:hAnsi="Calibri"/>
                <w:b w:val="0"/>
                <w:i w:val="0"/>
                <w:color w:val="172B4D"/>
                <w:sz w:val="18"/>
              </w:rPr>
              <w:t>All pre-existing Project, Risk, Risk Action, Decision, Reporting Pack and TimeEntry IDs remain present.</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Relation preservation</w:t>
            </w:r>
          </w:p>
        </w:tc>
        <w:tc>
          <w:tcPr>
            <w:tcW w:type="dxa" w:w="7416"/>
            <w:vAlign w:val="center"/>
            <w:tcMar>
              <w:top w:w="80" w:type="dxa"/>
              <w:start w:w="120" w:type="dxa"/>
              <w:bottom w:w="80" w:type="dxa"/>
              <w:end w:w="120" w:type="dxa"/>
            </w:tcMar>
          </w:tcPr>
          <w:p>
            <w:pPr>
              <w:spacing w:after="0"/>
            </w:pPr>
            <w:r>
              <w:rPr>
                <w:rFonts w:ascii="Calibri" w:hAnsi="Calibri"/>
                <w:b w:val="0"/>
                <w:i w:val="0"/>
                <w:color w:val="172B4D"/>
                <w:sz w:val="18"/>
              </w:rPr>
              <w:t>Existing projectManagerId/owner/status/workstream/project relations remain valid.</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Workspace coverage</w:t>
            </w:r>
          </w:p>
        </w:tc>
        <w:tc>
          <w:tcPr>
            <w:tcW w:type="dxa" w:w="7416"/>
            <w:vAlign w:val="center"/>
            <w:tcMar>
              <w:top w:w="80" w:type="dxa"/>
              <w:start w:w="120" w:type="dxa"/>
              <w:bottom w:w="80" w:type="dxa"/>
              <w:end w:w="120" w:type="dxa"/>
            </w:tcMar>
          </w:tcPr>
          <w:p>
            <w:pPr>
              <w:spacing w:after="0"/>
            </w:pPr>
            <w:r>
              <w:rPr>
                <w:rFonts w:ascii="Calibri" w:hAnsi="Calibri"/>
                <w:b w:val="0"/>
                <w:i w:val="0"/>
                <w:color w:val="172B4D"/>
                <w:sz w:val="18"/>
              </w:rPr>
              <w:t>100% of live projects have LIVE workspaceId; 100% of demo projects have DEMO workspaceId.</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Identity</w:t>
            </w:r>
          </w:p>
        </w:tc>
        <w:tc>
          <w:tcPr>
            <w:tcW w:type="dxa" w:w="7416"/>
            <w:vAlign w:val="center"/>
            <w:tcMar>
              <w:top w:w="80" w:type="dxa"/>
              <w:start w:w="120" w:type="dxa"/>
              <w:bottom w:w="80" w:type="dxa"/>
              <w:end w:w="120" w:type="dxa"/>
            </w:tcMar>
          </w:tcPr>
          <w:p>
            <w:pPr>
              <w:spacing w:after="0"/>
            </w:pPr>
            <w:r>
              <w:rPr>
                <w:rFonts w:ascii="Calibri" w:hAnsi="Calibri"/>
                <w:b w:val="0"/>
                <w:i w:val="0"/>
                <w:color w:val="172B4D"/>
                <w:sz w:val="18"/>
              </w:rPr>
              <w:t>Owner can authenticate and resolves to the approved existing User record.</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Live authorization</w:t>
            </w:r>
          </w:p>
        </w:tc>
        <w:tc>
          <w:tcPr>
            <w:tcW w:type="dxa" w:w="7416"/>
            <w:vAlign w:val="center"/>
            <w:tcMar>
              <w:top w:w="80" w:type="dxa"/>
              <w:start w:w="120" w:type="dxa"/>
              <w:bottom w:w="80" w:type="dxa"/>
              <w:end w:w="120" w:type="dxa"/>
            </w:tcMar>
          </w:tcPr>
          <w:p>
            <w:pPr>
              <w:spacing w:after="0"/>
            </w:pPr>
            <w:r>
              <w:rPr>
                <w:rFonts w:ascii="Calibri" w:hAnsi="Calibri"/>
                <w:b w:val="0"/>
                <w:i w:val="0"/>
                <w:color w:val="172B4D"/>
                <w:sz w:val="18"/>
              </w:rPr>
              <w:t>Owner/Admin sees all live data; assigned Project Manager sees only assigned live projects.</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Demo authorization</w:t>
            </w:r>
          </w:p>
        </w:tc>
        <w:tc>
          <w:tcPr>
            <w:tcW w:type="dxa" w:w="7416"/>
            <w:vAlign w:val="center"/>
            <w:tcMar>
              <w:top w:w="80" w:type="dxa"/>
              <w:start w:w="120" w:type="dxa"/>
              <w:bottom w:w="80" w:type="dxa"/>
              <w:end w:w="120" w:type="dxa"/>
            </w:tcMar>
          </w:tcPr>
          <w:p>
            <w:pPr>
              <w:spacing w:after="0"/>
            </w:pPr>
            <w:r>
              <w:rPr>
                <w:rFonts w:ascii="Calibri" w:hAnsi="Calibri"/>
                <w:b w:val="0"/>
                <w:i w:val="0"/>
                <w:color w:val="172B4D"/>
                <w:sz w:val="18"/>
              </w:rPr>
              <w:t>Demo Viewer sees only curated demo routes/data and receives access denied for live IDs and direct URLs.</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Mutation security</w:t>
            </w:r>
          </w:p>
        </w:tc>
        <w:tc>
          <w:tcPr>
            <w:tcW w:type="dxa" w:w="7416"/>
            <w:vAlign w:val="center"/>
            <w:tcMar>
              <w:top w:w="80" w:type="dxa"/>
              <w:start w:w="120" w:type="dxa"/>
              <w:bottom w:w="80" w:type="dxa"/>
              <w:end w:w="120" w:type="dxa"/>
            </w:tcMar>
          </w:tcPr>
          <w:p>
            <w:pPr>
              <w:spacing w:after="0"/>
            </w:pPr>
            <w:r>
              <w:rPr>
                <w:rFonts w:ascii="Calibri" w:hAnsi="Calibri"/>
                <w:b w:val="0"/>
                <w:i w:val="0"/>
                <w:color w:val="172B4D"/>
                <w:sz w:val="18"/>
              </w:rPr>
              <w:t>Demo Viewer cannot create, update, delete, archive or export through UI or direct server-action invocation.</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Reporting</w:t>
            </w:r>
          </w:p>
        </w:tc>
        <w:tc>
          <w:tcPr>
            <w:tcW w:type="dxa" w:w="7416"/>
            <w:vAlign w:val="center"/>
            <w:tcMar>
              <w:top w:w="80" w:type="dxa"/>
              <w:start w:w="120" w:type="dxa"/>
              <w:bottom w:w="80" w:type="dxa"/>
              <w:end w:w="120" w:type="dxa"/>
            </w:tcMar>
          </w:tcPr>
          <w:p>
            <w:pPr>
              <w:spacing w:after="0"/>
            </w:pPr>
            <w:r>
              <w:rPr>
                <w:rFonts w:ascii="Calibri" w:hAnsi="Calibri"/>
                <w:b w:val="0"/>
                <w:i w:val="0"/>
                <w:color w:val="172B4D"/>
                <w:sz w:val="18"/>
              </w:rPr>
              <w:t>Executive report uses only authorized project data; no cross-workspace lookup leakage.</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Regression</w:t>
            </w:r>
          </w:p>
        </w:tc>
        <w:tc>
          <w:tcPr>
            <w:tcW w:type="dxa" w:w="7416"/>
            <w:vAlign w:val="center"/>
            <w:tcMar>
              <w:top w:w="80" w:type="dxa"/>
              <w:start w:w="120" w:type="dxa"/>
              <w:bottom w:w="80" w:type="dxa"/>
              <w:end w:w="120" w:type="dxa"/>
            </w:tcMar>
          </w:tcPr>
          <w:p>
            <w:pPr>
              <w:spacing w:after="0"/>
            </w:pPr>
            <w:r>
              <w:rPr>
                <w:rFonts w:ascii="Calibri" w:hAnsi="Calibri"/>
                <w:b w:val="0"/>
                <w:i w:val="0"/>
                <w:color w:val="172B4D"/>
                <w:sz w:val="18"/>
              </w:rPr>
              <w:t>Projects, time tracking, risks/actions, decisions, reporting packs, executive report and mobile owner access pass smoke tests.</w:t>
            </w:r>
          </w:p>
        </w:tc>
      </w:tr>
    </w:tbl>
    <w:p>
      <w:pPr>
        <w:spacing w:after="40"/>
      </w:pPr>
    </w:p>
    <w:p>
      <w:pPr>
        <w:pStyle w:val="Heading2"/>
      </w:pPr>
      <w:r>
        <w:rPr>
          <w:rFonts w:ascii="Calibri" w:hAnsi="Calibri"/>
          <w:b w:val="0"/>
          <w:i w:val="0"/>
          <w:color w:val="172B4D"/>
          <w:sz w:val="22"/>
        </w:rPr>
        <w:t>8.1 Negative authorization test matrix</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672"/>
            <w:shd w:fill="F2F4F7"/>
            <w:vAlign w:val="center"/>
            <w:tcMar>
              <w:top w:w="80" w:type="dxa"/>
              <w:start w:w="120" w:type="dxa"/>
              <w:bottom w:w="80" w:type="dxa"/>
              <w:end w:w="120" w:type="dxa"/>
            </w:tcMar>
          </w:tcPr>
          <w:p>
            <w:pPr>
              <w:spacing w:after="0"/>
            </w:pPr>
            <w:r>
              <w:rPr>
                <w:rFonts w:ascii="Calibri" w:hAnsi="Calibri"/>
                <w:b/>
                <w:i w:val="0"/>
                <w:color w:val="1F4D78"/>
                <w:sz w:val="18"/>
              </w:rPr>
              <w:t>Attempt</w:t>
            </w:r>
          </w:p>
        </w:tc>
        <w:tc>
          <w:tcPr>
            <w:tcW w:type="dxa" w:w="5688"/>
            <w:shd w:fill="F2F4F7"/>
            <w:vAlign w:val="center"/>
            <w:tcMar>
              <w:top w:w="80" w:type="dxa"/>
              <w:start w:w="120" w:type="dxa"/>
              <w:bottom w:w="80" w:type="dxa"/>
              <w:end w:w="120" w:type="dxa"/>
            </w:tcMar>
          </w:tcPr>
          <w:p>
            <w:pPr>
              <w:spacing w:after="0"/>
            </w:pPr>
            <w:r>
              <w:rPr>
                <w:rFonts w:ascii="Calibri" w:hAnsi="Calibri"/>
                <w:b/>
                <w:i w:val="0"/>
                <w:color w:val="1F4D78"/>
                <w:sz w:val="18"/>
              </w:rPr>
              <w:t>Expected result</w:t>
            </w:r>
          </w:p>
        </w:tc>
      </w:tr>
      <w:tr>
        <w:tc>
          <w:tcPr>
            <w:tcW w:type="dxa" w:w="3672"/>
            <w:vAlign w:val="center"/>
            <w:tcMar>
              <w:top w:w="80" w:type="dxa"/>
              <w:start w:w="120" w:type="dxa"/>
              <w:bottom w:w="80" w:type="dxa"/>
              <w:end w:w="120" w:type="dxa"/>
            </w:tcMar>
          </w:tcPr>
          <w:p>
            <w:pPr>
              <w:spacing w:after="0"/>
            </w:pPr>
            <w:r>
              <w:rPr>
                <w:rFonts w:ascii="Calibri" w:hAnsi="Calibri"/>
                <w:b w:val="0"/>
                <w:i w:val="0"/>
                <w:color w:val="172B4D"/>
                <w:sz w:val="18"/>
              </w:rPr>
              <w:t>Unauthenticated request to protected route</w:t>
            </w:r>
          </w:p>
        </w:tc>
        <w:tc>
          <w:tcPr>
            <w:tcW w:type="dxa" w:w="5688"/>
            <w:vAlign w:val="center"/>
            <w:tcMar>
              <w:top w:w="80" w:type="dxa"/>
              <w:start w:w="120" w:type="dxa"/>
              <w:bottom w:w="80" w:type="dxa"/>
              <w:end w:w="120" w:type="dxa"/>
            </w:tcMar>
          </w:tcPr>
          <w:p>
            <w:pPr>
              <w:spacing w:after="0"/>
            </w:pPr>
            <w:r>
              <w:rPr>
                <w:rFonts w:ascii="Calibri" w:hAnsi="Calibri"/>
                <w:b w:val="0"/>
                <w:i w:val="0"/>
                <w:color w:val="172B4D"/>
                <w:sz w:val="18"/>
              </w:rPr>
              <w:t>Redirect/login or 401/403 according to route contract; no data payload.</w:t>
            </w:r>
          </w:p>
        </w:tc>
      </w:tr>
      <w:tr>
        <w:tc>
          <w:tcPr>
            <w:tcW w:type="dxa" w:w="3672"/>
            <w:vAlign w:val="center"/>
            <w:tcMar>
              <w:top w:w="80" w:type="dxa"/>
              <w:start w:w="120" w:type="dxa"/>
              <w:bottom w:w="80" w:type="dxa"/>
              <w:end w:w="120" w:type="dxa"/>
            </w:tcMar>
          </w:tcPr>
          <w:p>
            <w:pPr>
              <w:spacing w:after="0"/>
            </w:pPr>
            <w:r>
              <w:rPr>
                <w:rFonts w:ascii="Calibri" w:hAnsi="Calibri"/>
                <w:b w:val="0"/>
                <w:i w:val="0"/>
                <w:color w:val="172B4D"/>
                <w:sz w:val="18"/>
              </w:rPr>
              <w:t>Demo Viewer requests known LIVE project URL</w:t>
            </w:r>
          </w:p>
        </w:tc>
        <w:tc>
          <w:tcPr>
            <w:tcW w:type="dxa" w:w="5688"/>
            <w:vAlign w:val="center"/>
            <w:tcMar>
              <w:top w:w="80" w:type="dxa"/>
              <w:start w:w="120" w:type="dxa"/>
              <w:bottom w:w="80" w:type="dxa"/>
              <w:end w:w="120" w:type="dxa"/>
            </w:tcMar>
          </w:tcPr>
          <w:p>
            <w:pPr>
              <w:spacing w:after="0"/>
            </w:pPr>
            <w:r>
              <w:rPr>
                <w:rFonts w:ascii="Calibri" w:hAnsi="Calibri"/>
                <w:b w:val="0"/>
                <w:i w:val="0"/>
                <w:color w:val="172B4D"/>
                <w:sz w:val="18"/>
              </w:rPr>
              <w:t>404 or 403 without confirming sensitive record details.</w:t>
            </w:r>
          </w:p>
        </w:tc>
      </w:tr>
      <w:tr>
        <w:tc>
          <w:tcPr>
            <w:tcW w:type="dxa" w:w="3672"/>
            <w:vAlign w:val="center"/>
            <w:tcMar>
              <w:top w:w="80" w:type="dxa"/>
              <w:start w:w="120" w:type="dxa"/>
              <w:bottom w:w="80" w:type="dxa"/>
              <w:end w:w="120" w:type="dxa"/>
            </w:tcMar>
          </w:tcPr>
          <w:p>
            <w:pPr>
              <w:spacing w:after="0"/>
            </w:pPr>
            <w:r>
              <w:rPr>
                <w:rFonts w:ascii="Calibri" w:hAnsi="Calibri"/>
                <w:b w:val="0"/>
                <w:i w:val="0"/>
                <w:color w:val="172B4D"/>
                <w:sz w:val="18"/>
              </w:rPr>
              <w:t>Demo Viewer submits mutation with LIVE project ID</w:t>
            </w:r>
          </w:p>
        </w:tc>
        <w:tc>
          <w:tcPr>
            <w:tcW w:type="dxa" w:w="5688"/>
            <w:vAlign w:val="center"/>
            <w:tcMar>
              <w:top w:w="80" w:type="dxa"/>
              <w:start w:w="120" w:type="dxa"/>
              <w:bottom w:w="80" w:type="dxa"/>
              <w:end w:w="120" w:type="dxa"/>
            </w:tcMar>
          </w:tcPr>
          <w:p>
            <w:pPr>
              <w:spacing w:after="0"/>
            </w:pPr>
            <w:r>
              <w:rPr>
                <w:rFonts w:ascii="Calibri" w:hAnsi="Calibri"/>
                <w:b w:val="0"/>
                <w:i w:val="0"/>
                <w:color w:val="172B4D"/>
                <w:sz w:val="18"/>
              </w:rPr>
              <w:t>Server rejects before Prisma mutation; audit security outcome.</w:t>
            </w:r>
          </w:p>
        </w:tc>
      </w:tr>
      <w:tr>
        <w:tc>
          <w:tcPr>
            <w:tcW w:type="dxa" w:w="3672"/>
            <w:vAlign w:val="center"/>
            <w:tcMar>
              <w:top w:w="80" w:type="dxa"/>
              <w:start w:w="120" w:type="dxa"/>
              <w:bottom w:w="80" w:type="dxa"/>
              <w:end w:w="120" w:type="dxa"/>
            </w:tcMar>
          </w:tcPr>
          <w:p>
            <w:pPr>
              <w:spacing w:after="0"/>
            </w:pPr>
            <w:r>
              <w:rPr>
                <w:rFonts w:ascii="Calibri" w:hAnsi="Calibri"/>
                <w:b w:val="0"/>
                <w:i w:val="0"/>
                <w:color w:val="172B4D"/>
                <w:sz w:val="18"/>
              </w:rPr>
              <w:t>Project Manager requests unassigned LIVE project</w:t>
            </w:r>
          </w:p>
        </w:tc>
        <w:tc>
          <w:tcPr>
            <w:tcW w:type="dxa" w:w="5688"/>
            <w:vAlign w:val="center"/>
            <w:tcMar>
              <w:top w:w="80" w:type="dxa"/>
              <w:start w:w="120" w:type="dxa"/>
              <w:bottom w:w="80" w:type="dxa"/>
              <w:end w:w="120" w:type="dxa"/>
            </w:tcMar>
          </w:tcPr>
          <w:p>
            <w:pPr>
              <w:spacing w:after="0"/>
            </w:pPr>
            <w:r>
              <w:rPr>
                <w:rFonts w:ascii="Calibri" w:hAnsi="Calibri"/>
                <w:b w:val="0"/>
                <w:i w:val="0"/>
                <w:color w:val="172B4D"/>
                <w:sz w:val="18"/>
              </w:rPr>
              <w:t>Denied even if ID is known.</w:t>
            </w:r>
          </w:p>
        </w:tc>
      </w:tr>
      <w:tr>
        <w:tc>
          <w:tcPr>
            <w:tcW w:type="dxa" w:w="3672"/>
            <w:vAlign w:val="center"/>
            <w:tcMar>
              <w:top w:w="80" w:type="dxa"/>
              <w:start w:w="120" w:type="dxa"/>
              <w:bottom w:w="80" w:type="dxa"/>
              <w:end w:w="120" w:type="dxa"/>
            </w:tcMar>
          </w:tcPr>
          <w:p>
            <w:pPr>
              <w:spacing w:after="0"/>
            </w:pPr>
            <w:r>
              <w:rPr>
                <w:rFonts w:ascii="Calibri" w:hAnsi="Calibri"/>
                <w:b w:val="0"/>
                <w:i w:val="0"/>
                <w:color w:val="172B4D"/>
                <w:sz w:val="18"/>
              </w:rPr>
              <w:t>Tampered workspaceId/projectId in FormData</w:t>
            </w:r>
          </w:p>
        </w:tc>
        <w:tc>
          <w:tcPr>
            <w:tcW w:type="dxa" w:w="5688"/>
            <w:vAlign w:val="center"/>
            <w:tcMar>
              <w:top w:w="80" w:type="dxa"/>
              <w:start w:w="120" w:type="dxa"/>
              <w:bottom w:w="80" w:type="dxa"/>
              <w:end w:w="120" w:type="dxa"/>
            </w:tcMar>
          </w:tcPr>
          <w:p>
            <w:pPr>
              <w:spacing w:after="0"/>
            </w:pPr>
            <w:r>
              <w:rPr>
                <w:rFonts w:ascii="Calibri" w:hAnsi="Calibri"/>
                <w:b w:val="0"/>
                <w:i w:val="0"/>
                <w:color w:val="172B4D"/>
                <w:sz w:val="18"/>
              </w:rPr>
              <w:t>Authorization derives scope from session and database relations, not submitted trust.</w:t>
            </w:r>
          </w:p>
        </w:tc>
      </w:tr>
      <w:tr>
        <w:tc>
          <w:tcPr>
            <w:tcW w:type="dxa" w:w="3672"/>
            <w:vAlign w:val="center"/>
            <w:tcMar>
              <w:top w:w="80" w:type="dxa"/>
              <w:start w:w="120" w:type="dxa"/>
              <w:bottom w:w="80" w:type="dxa"/>
              <w:end w:w="120" w:type="dxa"/>
            </w:tcMar>
          </w:tcPr>
          <w:p>
            <w:pPr>
              <w:spacing w:after="0"/>
            </w:pPr>
            <w:r>
              <w:rPr>
                <w:rFonts w:ascii="Calibri" w:hAnsi="Calibri"/>
                <w:b w:val="0"/>
                <w:i w:val="0"/>
                <w:color w:val="172B4D"/>
                <w:sz w:val="18"/>
              </w:rPr>
              <w:t>Inactive membership or user</w:t>
            </w:r>
          </w:p>
        </w:tc>
        <w:tc>
          <w:tcPr>
            <w:tcW w:type="dxa" w:w="5688"/>
            <w:vAlign w:val="center"/>
            <w:tcMar>
              <w:top w:w="80" w:type="dxa"/>
              <w:start w:w="120" w:type="dxa"/>
              <w:bottom w:w="80" w:type="dxa"/>
              <w:end w:w="120" w:type="dxa"/>
            </w:tcMar>
          </w:tcPr>
          <w:p>
            <w:pPr>
              <w:spacing w:after="0"/>
            </w:pPr>
            <w:r>
              <w:rPr>
                <w:rFonts w:ascii="Calibri" w:hAnsi="Calibri"/>
                <w:b w:val="0"/>
                <w:i w:val="0"/>
                <w:color w:val="172B4D"/>
                <w:sz w:val="18"/>
              </w:rPr>
              <w:t>Session denied/revoked according to policy.</w:t>
            </w:r>
          </w:p>
        </w:tc>
      </w:tr>
    </w:tbl>
    <w:p>
      <w:pPr>
        <w:spacing w:after="40"/>
      </w:pPr>
    </w:p>
    <w:p>
      <w:pPr>
        <w:pStyle w:val="Heading1"/>
      </w:pPr>
      <w:r>
        <w:rPr>
          <w:rFonts w:ascii="Calibri" w:hAnsi="Calibri"/>
          <w:b w:val="0"/>
          <w:i w:val="0"/>
          <w:color w:val="172B4D"/>
          <w:sz w:val="22"/>
        </w:rPr>
        <w:t>9. Rollback Protocol</w:t>
      </w:r>
    </w:p>
    <w:p>
      <w:r>
        <w:rPr>
          <w:rFonts w:ascii="Calibri" w:hAnsi="Calibri"/>
          <w:b w:val="0"/>
          <w:i w:val="0"/>
          <w:color w:val="172B4D"/>
          <w:sz w:val="22"/>
        </w:rPr>
        <w:t>Rollback is mandatory if integrity checks fail, reconciliation counts differ without approval, owner authentication cannot be restored, cross-workspace access is possible, or core operational modules fail after cutover.</w:t>
      </w:r>
    </w:p>
    <w:p>
      <w:pPr>
        <w:pStyle w:val="ListNumber"/>
        <w:spacing w:after="100"/>
      </w:pPr>
      <w:r>
        <w:t>Stop the application or place it in maintenance/read-only mode to prevent new writes.</w:t>
      </w:r>
    </w:p>
    <w:p>
      <w:pPr>
        <w:pStyle w:val="ListNumber"/>
        <w:spacing w:after="100"/>
      </w:pPr>
      <w:r>
        <w:t>Capture the failed migrated database and logs for analysis; do not overwrite the evidence.</w:t>
      </w:r>
    </w:p>
    <w:p>
      <w:pPr>
        <w:pStyle w:val="ListNumber"/>
        <w:spacing w:after="100"/>
      </w:pPr>
      <w:r>
        <w:t>Restore the verified pre-migration database copy to the explicitly validated canonical path.</w:t>
      </w:r>
    </w:p>
    <w:p>
      <w:pPr>
        <w:pStyle w:val="ListNumber"/>
        <w:spacing w:after="100"/>
      </w:pPr>
      <w:r>
        <w:t>Restore the matching application build/commit and previous environment configuration.</w:t>
      </w:r>
    </w:p>
    <w:p>
      <w:pPr>
        <w:pStyle w:val="ListNumber"/>
        <w:spacing w:after="100"/>
      </w:pPr>
      <w:r>
        <w:t>Start the application and run the baseline live smoke test.</w:t>
      </w:r>
    </w:p>
    <w:p>
      <w:pPr>
        <w:pStyle w:val="ListNumber"/>
        <w:spacing w:after="100"/>
      </w:pPr>
      <w:r>
        <w:t>Document failure, root cause and corrective changes. Repeat the full rehearsal; never patch the live database ad hoc.</w:t>
      </w:r>
    </w:p>
    <w:p>
      <w:pPr>
        <w:pStyle w:val="Callout"/>
      </w:pPr>
      <w:r>
        <w:rPr>
          <w:rFonts w:ascii="Calibri" w:hAnsi="Calibri"/>
          <w:b w:val="0"/>
          <w:i w:val="0"/>
          <w:color w:val="172B4D"/>
          <w:sz w:val="22"/>
        </w:rPr>
        <w:t>A schema rollback command is not a substitute for database restoration when data transformations have run. The verified backup is the recovery source of truth.</w:t>
      </w:r>
    </w:p>
    <w:p>
      <w:pPr>
        <w:pStyle w:val="Heading1"/>
      </w:pPr>
      <w:r>
        <w:rPr>
          <w:rFonts w:ascii="Calibri" w:hAnsi="Calibri"/>
          <w:b w:val="0"/>
          <w:i w:val="0"/>
          <w:color w:val="172B4D"/>
          <w:sz w:val="22"/>
        </w:rPr>
        <w:t>10. Implementation Work Packages for Codex</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shd w:fill="F2F4F7"/>
            <w:vAlign w:val="center"/>
            <w:tcMar>
              <w:top w:w="80" w:type="dxa"/>
              <w:start w:w="120" w:type="dxa"/>
              <w:bottom w:w="80" w:type="dxa"/>
              <w:end w:w="120" w:type="dxa"/>
            </w:tcMar>
          </w:tcPr>
          <w:p>
            <w:pPr>
              <w:spacing w:after="0"/>
            </w:pPr>
            <w:r>
              <w:rPr>
                <w:rFonts w:ascii="Calibri" w:hAnsi="Calibri"/>
                <w:b/>
                <w:i w:val="0"/>
                <w:color w:val="1F4D78"/>
                <w:sz w:val="18"/>
              </w:rPr>
              <w:t>WP</w:t>
            </w:r>
          </w:p>
        </w:tc>
        <w:tc>
          <w:tcPr>
            <w:tcW w:type="dxa" w:w="3096"/>
            <w:shd w:fill="F2F4F7"/>
            <w:vAlign w:val="center"/>
            <w:tcMar>
              <w:top w:w="80" w:type="dxa"/>
              <w:start w:w="120" w:type="dxa"/>
              <w:bottom w:w="80" w:type="dxa"/>
              <w:end w:w="120" w:type="dxa"/>
            </w:tcMar>
          </w:tcPr>
          <w:p>
            <w:pPr>
              <w:spacing w:after="0"/>
            </w:pPr>
            <w:r>
              <w:rPr>
                <w:rFonts w:ascii="Calibri" w:hAnsi="Calibri"/>
                <w:b/>
                <w:i w:val="0"/>
                <w:color w:val="1F4D78"/>
                <w:sz w:val="18"/>
              </w:rPr>
              <w:t>Scope</w:t>
            </w:r>
          </w:p>
        </w:tc>
        <w:tc>
          <w:tcPr>
            <w:tcW w:type="dxa" w:w="4320"/>
            <w:shd w:fill="F2F4F7"/>
            <w:vAlign w:val="center"/>
            <w:tcMar>
              <w:top w:w="80" w:type="dxa"/>
              <w:start w:w="120" w:type="dxa"/>
              <w:bottom w:w="80" w:type="dxa"/>
              <w:end w:w="120" w:type="dxa"/>
            </w:tcMar>
          </w:tcPr>
          <w:p>
            <w:pPr>
              <w:spacing w:after="0"/>
            </w:pPr>
            <w:r>
              <w:rPr>
                <w:rFonts w:ascii="Calibri" w:hAnsi="Calibri"/>
                <w:b/>
                <w:i w:val="0"/>
                <w:color w:val="1F4D78"/>
                <w:sz w:val="18"/>
              </w:rPr>
              <w:t>Deliverables</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WP0 — Repository reconnaissance</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Inspect schema, migrations, auth dependencies, route/action inventory, DB configuration and existing User usage.</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Current-state report; exact migration impact map; confirmed files.</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WP1 — Backup/reconciliation tooling</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Read-only inventory and fingerprint commands/scripts.</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Preflight script, JSON report schema, operator runbook.</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WP2 — Additive schema</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Workspace, identities/roles/memberships, audit/session model, nullable scope additions.</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Reviewed Prisma migration; no data backfill hidden in destructive SQL.</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WP3 — Auth foundation</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Selected maintained authentication implementation and session helpers.</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Login/logout/session; secrets documentation; owner bootstrap method.</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WP4 — Authorization services</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Central context and guards; scoped query patterns.</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requireUser, requireWorkspaceRole, requireProjectCapability; consistent denial behavior.</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WP5 — Data migration</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Dry-run/apply backfill and reconciliation.</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Idempotent migration script, exception report, rollback checklist.</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WP6 — Demo workspace</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Synthetic fixtures and Demo Viewer navigation/read-only presentation.</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Curated demo project; no live data; demo badge.</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WP7 — Route/action enforcement</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Apply guards to every protected read/mutation/export.</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Authorization coverage inventory and tests.</w:t>
            </w:r>
          </w:p>
        </w:tc>
      </w:tr>
      <w:tr>
        <w:tc>
          <w:tcPr>
            <w:tcW w:type="dxa" w:w="1944"/>
            <w:vAlign w:val="center"/>
            <w:tcMar>
              <w:top w:w="80" w:type="dxa"/>
              <w:start w:w="120" w:type="dxa"/>
              <w:bottom w:w="80" w:type="dxa"/>
              <w:end w:w="120" w:type="dxa"/>
            </w:tcMar>
          </w:tcPr>
          <w:p>
            <w:pPr>
              <w:spacing w:after="0"/>
            </w:pPr>
            <w:r>
              <w:rPr>
                <w:rFonts w:ascii="Calibri" w:hAnsi="Calibri"/>
                <w:b w:val="0"/>
                <w:i w:val="0"/>
                <w:color w:val="172B4D"/>
                <w:sz w:val="18"/>
              </w:rPr>
              <w:t>WP8 — Cutover validation</w:t>
            </w:r>
          </w:p>
        </w:tc>
        <w:tc>
          <w:tcPr>
            <w:tcW w:type="dxa" w:w="3096"/>
            <w:vAlign w:val="center"/>
            <w:tcMar>
              <w:top w:w="80" w:type="dxa"/>
              <w:start w:w="120" w:type="dxa"/>
              <w:bottom w:w="80" w:type="dxa"/>
              <w:end w:w="120" w:type="dxa"/>
            </w:tcMar>
          </w:tcPr>
          <w:p>
            <w:pPr>
              <w:spacing w:after="0"/>
            </w:pPr>
            <w:r>
              <w:rPr>
                <w:rFonts w:ascii="Calibri" w:hAnsi="Calibri"/>
                <w:b w:val="0"/>
                <w:i w:val="0"/>
                <w:color w:val="172B4D"/>
                <w:sz w:val="18"/>
              </w:rPr>
              <w:t>Rehearse and execute approved production runbook.</w:t>
            </w:r>
          </w:p>
        </w:tc>
        <w:tc>
          <w:tcPr>
            <w:tcW w:type="dxa" w:w="4320"/>
            <w:vAlign w:val="center"/>
            <w:tcMar>
              <w:top w:w="80" w:type="dxa"/>
              <w:start w:w="120" w:type="dxa"/>
              <w:bottom w:w="80" w:type="dxa"/>
              <w:end w:w="120" w:type="dxa"/>
            </w:tcMar>
          </w:tcPr>
          <w:p>
            <w:pPr>
              <w:spacing w:after="0"/>
            </w:pPr>
            <w:r>
              <w:rPr>
                <w:rFonts w:ascii="Calibri" w:hAnsi="Calibri"/>
                <w:b w:val="0"/>
                <w:i w:val="0"/>
                <w:color w:val="172B4D"/>
                <w:sz w:val="18"/>
              </w:rPr>
              <w:t>Signed checkpoint report, hashes/counts, smoke-test evidence.</w:t>
            </w:r>
          </w:p>
        </w:tc>
      </w:tr>
    </w:tbl>
    <w:p>
      <w:pPr>
        <w:spacing w:after="40"/>
      </w:pPr>
    </w:p>
    <w:p>
      <w:pPr>
        <w:pStyle w:val="Heading2"/>
      </w:pPr>
      <w:r>
        <w:rPr>
          <w:rFonts w:ascii="Calibri" w:hAnsi="Calibri"/>
          <w:b w:val="0"/>
          <w:i w:val="0"/>
          <w:color w:val="172B4D"/>
          <w:sz w:val="22"/>
        </w:rPr>
        <w:t>10.1 Required implementation order</w:t>
      </w:r>
    </w:p>
    <w:p>
      <w:pPr>
        <w:pStyle w:val="ListNumber"/>
        <w:spacing w:after="100"/>
      </w:pPr>
      <w:r>
        <w:t>WP0 and WP1 before any schema change.</w:t>
      </w:r>
    </w:p>
    <w:p>
      <w:pPr>
        <w:pStyle w:val="ListNumber"/>
        <w:spacing w:after="100"/>
      </w:pPr>
      <w:r>
        <w:t>WP2 on a database copy before authentication is enabled.</w:t>
      </w:r>
    </w:p>
    <w:p>
      <w:pPr>
        <w:pStyle w:val="ListNumber"/>
        <w:spacing w:after="100"/>
      </w:pPr>
      <w:r>
        <w:t>WP3 and WP4 before sharing access.</w:t>
      </w:r>
    </w:p>
    <w:p>
      <w:pPr>
        <w:pStyle w:val="ListNumber"/>
        <w:spacing w:after="100"/>
      </w:pPr>
      <w:r>
        <w:t>WP5 rehearsal before production backfill.</w:t>
      </w:r>
    </w:p>
    <w:p>
      <w:pPr>
        <w:pStyle w:val="ListNumber"/>
        <w:spacing w:after="100"/>
      </w:pPr>
      <w:r>
        <w:t>WP6 only after isolation guards exist.</w:t>
      </w:r>
    </w:p>
    <w:p>
      <w:pPr>
        <w:pStyle w:val="ListNumber"/>
        <w:spacing w:after="100"/>
      </w:pPr>
      <w:r>
        <w:t>WP7 complete before external invitation.</w:t>
      </w:r>
    </w:p>
    <w:p>
      <w:pPr>
        <w:pStyle w:val="ListNumber"/>
        <w:spacing w:after="100"/>
      </w:pPr>
      <w:r>
        <w:t>WP8 required for release.</w:t>
      </w:r>
    </w:p>
    <w:p>
      <w:pPr>
        <w:pStyle w:val="Heading1"/>
      </w:pPr>
      <w:r>
        <w:rPr>
          <w:rFonts w:ascii="Calibri" w:hAnsi="Calibri"/>
          <w:b w:val="0"/>
          <w:i w:val="0"/>
          <w:color w:val="172B4D"/>
          <w:sz w:val="22"/>
        </w:rPr>
        <w:t>11. Definition of Done</w:t>
      </w:r>
    </w:p>
    <w:p>
      <w:pPr>
        <w:pStyle w:val="ListBullet"/>
        <w:spacing w:after="80"/>
      </w:pPr>
      <w:r>
        <w:t>One codebase supports LIVE and DEMO workspaces.</w:t>
      </w:r>
    </w:p>
    <w:p>
      <w:pPr>
        <w:pStyle w:val="ListBullet"/>
        <w:spacing w:after="80"/>
      </w:pPr>
      <w:r>
        <w:t>All protected access is based on named authenticated users.</w:t>
      </w:r>
    </w:p>
    <w:p>
      <w:pPr>
        <w:pStyle w:val="ListBullet"/>
        <w:spacing w:after="80"/>
      </w:pPr>
      <w:r>
        <w:t>Every live project is scoped and existing relations/IDs are preserved.</w:t>
      </w:r>
    </w:p>
    <w:p>
      <w:pPr>
        <w:pStyle w:val="ListBullet"/>
        <w:spacing w:after="80"/>
      </w:pPr>
      <w:r>
        <w:t>Demo Viewer is technically unable—not merely visually discouraged—from accessing or mutating live data.</w:t>
      </w:r>
    </w:p>
    <w:p>
      <w:pPr>
        <w:pStyle w:val="ListBullet"/>
        <w:spacing w:after="80"/>
      </w:pPr>
      <w:r>
        <w:t>Demo data is synthetic and contains no client-sensitive or personal live data.</w:t>
      </w:r>
    </w:p>
    <w:p>
      <w:pPr>
        <w:pStyle w:val="ListBullet"/>
        <w:spacing w:after="80"/>
      </w:pPr>
      <w:r>
        <w:t>Migration dry run, rehearsal, reconciliation, rollback rehearsal and production smoke tests are documented and pass.</w:t>
      </w:r>
    </w:p>
    <w:p>
      <w:pPr>
        <w:pStyle w:val="ListBullet"/>
        <w:spacing w:after="80"/>
      </w:pPr>
      <w:r>
        <w:t>The current owner mobile workflow continues to operate securely over HTTPS.</w:t>
      </w:r>
    </w:p>
    <w:p>
      <w:pPr>
        <w:pStyle w:val="ListBullet"/>
        <w:spacing w:after="80"/>
      </w:pPr>
      <w:r>
        <w:t>No destructive reset, duplicate status architecture or parallel demo application has been introduced.</w:t>
      </w:r>
    </w:p>
    <w:p>
      <w:pPr>
        <w:pStyle w:val="Heading1"/>
      </w:pPr>
      <w:r>
        <w:rPr>
          <w:rFonts w:ascii="Calibri" w:hAnsi="Calibri"/>
          <w:b w:val="0"/>
          <w:i w:val="0"/>
          <w:color w:val="172B4D"/>
          <w:sz w:val="22"/>
        </w:rPr>
        <w:t>12. Decisions Deferred Deliberately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240"/>
            <w:shd w:fill="F2F4F7"/>
            <w:vAlign w:val="center"/>
            <w:tcMar>
              <w:top w:w="80" w:type="dxa"/>
              <w:start w:w="120" w:type="dxa"/>
              <w:bottom w:w="80" w:type="dxa"/>
              <w:end w:w="120" w:type="dxa"/>
            </w:tcMar>
          </w:tcPr>
          <w:p>
            <w:pPr>
              <w:spacing w:after="0"/>
            </w:pPr>
            <w:r>
              <w:rPr>
                <w:rFonts w:ascii="Calibri" w:hAnsi="Calibri"/>
                <w:b/>
                <w:i w:val="0"/>
                <w:color w:val="1F4D78"/>
                <w:sz w:val="18"/>
              </w:rPr>
              <w:t>Deferred decision</w:t>
            </w:r>
          </w:p>
        </w:tc>
        <w:tc>
          <w:tcPr>
            <w:tcW w:type="dxa" w:w="6120"/>
            <w:shd w:fill="F2F4F7"/>
            <w:vAlign w:val="center"/>
            <w:tcMar>
              <w:top w:w="80" w:type="dxa"/>
              <w:start w:w="120" w:type="dxa"/>
              <w:bottom w:w="80" w:type="dxa"/>
              <w:end w:w="120" w:type="dxa"/>
            </w:tcMar>
          </w:tcPr>
          <w:p>
            <w:pPr>
              <w:spacing w:after="0"/>
            </w:pPr>
            <w:r>
              <w:rPr>
                <w:rFonts w:ascii="Calibri" w:hAnsi="Calibri"/>
                <w:b/>
                <w:i w:val="0"/>
                <w:color w:val="1F4D78"/>
                <w:sz w:val="18"/>
              </w:rPr>
              <w:t>Reason</w:t>
            </w:r>
          </w:p>
        </w:tc>
      </w:tr>
      <w:tr>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Enterprise SSO and identity lifecycle automation</w:t>
            </w:r>
          </w:p>
        </w:tc>
        <w:tc>
          <w:tcPr>
            <w:tcW w:type="dxa" w:w="6120"/>
            <w:vAlign w:val="center"/>
            <w:tcMar>
              <w:top w:w="80" w:type="dxa"/>
              <w:start w:w="120" w:type="dxa"/>
              <w:bottom w:w="80" w:type="dxa"/>
              <w:end w:w="120" w:type="dxa"/>
            </w:tcMar>
          </w:tcPr>
          <w:p>
            <w:pPr>
              <w:spacing w:after="0"/>
            </w:pPr>
            <w:r>
              <w:rPr>
                <w:rFonts w:ascii="Calibri" w:hAnsi="Calibri"/>
                <w:b w:val="0"/>
                <w:i w:val="0"/>
                <w:color w:val="172B4D"/>
                <w:sz w:val="18"/>
              </w:rPr>
              <w:t>Requires stable deployment/provider requirements and is not necessary for the first controlled demo.</w:t>
            </w:r>
          </w:p>
        </w:tc>
      </w:tr>
      <w:tr>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Fine-grained custom permission editor</w:t>
            </w:r>
          </w:p>
        </w:tc>
        <w:tc>
          <w:tcPr>
            <w:tcW w:type="dxa" w:w="6120"/>
            <w:vAlign w:val="center"/>
            <w:tcMar>
              <w:top w:w="80" w:type="dxa"/>
              <w:start w:w="120" w:type="dxa"/>
              <w:bottom w:w="80" w:type="dxa"/>
              <w:end w:w="120" w:type="dxa"/>
            </w:tcMar>
          </w:tcPr>
          <w:p>
            <w:pPr>
              <w:spacing w:after="0"/>
            </w:pPr>
            <w:r>
              <w:rPr>
                <w:rFonts w:ascii="Calibri" w:hAnsi="Calibri"/>
                <w:b w:val="0"/>
                <w:i w:val="0"/>
                <w:color w:val="172B4D"/>
                <w:sz w:val="18"/>
              </w:rPr>
              <w:t>Three initial roles plus memberships cover current use; avoid speculative complexity.</w:t>
            </w:r>
          </w:p>
        </w:tc>
      </w:tr>
      <w:tr>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Full multi-tenant commercial platform</w:t>
            </w:r>
          </w:p>
        </w:tc>
        <w:tc>
          <w:tcPr>
            <w:tcW w:type="dxa" w:w="6120"/>
            <w:vAlign w:val="center"/>
            <w:tcMar>
              <w:top w:w="80" w:type="dxa"/>
              <w:start w:w="120" w:type="dxa"/>
              <w:bottom w:w="80" w:type="dxa"/>
              <w:end w:w="120" w:type="dxa"/>
            </w:tcMar>
          </w:tcPr>
          <w:p>
            <w:pPr>
              <w:spacing w:after="0"/>
            </w:pPr>
            <w:r>
              <w:rPr>
                <w:rFonts w:ascii="Calibri" w:hAnsi="Calibri"/>
                <w:b w:val="0"/>
                <w:i w:val="0"/>
                <w:color w:val="172B4D"/>
                <w:sz w:val="18"/>
              </w:rPr>
              <w:t>Workspace boundary prepares the architecture, but billing, tenant self-service and legal isolation are separate programs.</w:t>
            </w:r>
          </w:p>
        </w:tc>
      </w:tr>
      <w:tr>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Public internet exposure</w:t>
            </w:r>
          </w:p>
        </w:tc>
        <w:tc>
          <w:tcPr>
            <w:tcW w:type="dxa" w:w="6120"/>
            <w:vAlign w:val="center"/>
            <w:tcMar>
              <w:top w:w="80" w:type="dxa"/>
              <w:start w:w="120" w:type="dxa"/>
              <w:bottom w:w="80" w:type="dxa"/>
              <w:end w:w="120" w:type="dxa"/>
            </w:tcMar>
          </w:tcPr>
          <w:p>
            <w:pPr>
              <w:spacing w:after="0"/>
            </w:pPr>
            <w:r>
              <w:rPr>
                <w:rFonts w:ascii="Calibri" w:hAnsi="Calibri"/>
                <w:b w:val="0"/>
                <w:i w:val="0"/>
                <w:color w:val="172B4D"/>
                <w:sz w:val="18"/>
              </w:rPr>
              <w:t>Current private Tailscale model is safer until hosting, authentication, monitoring and recovery are production-ready.</w:t>
            </w:r>
          </w:p>
        </w:tc>
      </w:tr>
      <w:tr>
        <w:tc>
          <w:tcPr>
            <w:tcW w:type="dxa" w:w="3240"/>
            <w:vAlign w:val="center"/>
            <w:tcMar>
              <w:top w:w="80" w:type="dxa"/>
              <w:start w:w="120" w:type="dxa"/>
              <w:bottom w:w="80" w:type="dxa"/>
              <w:end w:w="120" w:type="dxa"/>
            </w:tcMar>
          </w:tcPr>
          <w:p>
            <w:pPr>
              <w:spacing w:after="0"/>
            </w:pPr>
            <w:r>
              <w:rPr>
                <w:rFonts w:ascii="Calibri" w:hAnsi="Calibri"/>
                <w:b w:val="0"/>
                <w:i w:val="0"/>
                <w:color w:val="172B4D"/>
                <w:sz w:val="18"/>
              </w:rPr>
              <w:t>User admin CRUD for every identity operation</w:t>
            </w:r>
          </w:p>
        </w:tc>
        <w:tc>
          <w:tcPr>
            <w:tcW w:type="dxa" w:w="6120"/>
            <w:vAlign w:val="center"/>
            <w:tcMar>
              <w:top w:w="80" w:type="dxa"/>
              <w:start w:w="120" w:type="dxa"/>
              <w:bottom w:w="80" w:type="dxa"/>
              <w:end w:w="120" w:type="dxa"/>
            </w:tcMar>
          </w:tcPr>
          <w:p>
            <w:pPr>
              <w:spacing w:after="0"/>
            </w:pPr>
            <w:r>
              <w:rPr>
                <w:rFonts w:ascii="Calibri" w:hAnsi="Calibri"/>
                <w:b w:val="0"/>
                <w:i w:val="0"/>
                <w:color w:val="172B4D"/>
                <w:sz w:val="18"/>
              </w:rPr>
              <w:t>Owner bootstrap/invitation can initially be controlled; full lifecycle UI follows validated needs.</w:t>
            </w:r>
          </w:p>
        </w:tc>
      </w:tr>
    </w:tbl>
    <w:p>
      <w:pPr>
        <w:spacing w:after="40"/>
      </w:pPr>
    </w:p>
    <w:p>
      <w:pPr>
        <w:pStyle w:val="Heading1"/>
      </w:pPr>
      <w:r>
        <w:rPr>
          <w:rFonts w:ascii="Calibri" w:hAnsi="Calibri"/>
          <w:b w:val="0"/>
          <w:i w:val="0"/>
          <w:color w:val="172B4D"/>
          <w:sz w:val="22"/>
        </w:rPr>
        <w:t>13. Codex Restart / Implementation Prompt</w:t>
      </w:r>
    </w:p>
    <w:p>
      <w:r>
        <w:rPr>
          <w:rFonts w:ascii="Calibri" w:hAnsi="Calibri"/>
          <w:b/>
          <w:i w:val="0"/>
          <w:color w:val="172B4D"/>
          <w:sz w:val="22"/>
        </w:rPr>
        <w:t>Continue Project Operations System from Technical Architecture V3.2 Master and its Status Homogenization Closure Update, using V3.3 Security, Demo Access and Live Data Migration Architecture as the next governing document.</w:t>
      </w:r>
    </w:p>
    <w:p>
      <w:r>
        <w:rPr>
          <w:rFonts w:ascii="Calibri" w:hAnsi="Calibri"/>
          <w:b w:val="0"/>
          <w:i w:val="0"/>
          <w:color w:val="172B4D"/>
          <w:sz w:val="22"/>
        </w:rPr>
        <w:t>Do not begin by editing the Prisma schema. First inspect the repository, confirm the active database configuration, map all User and project-scoped relations, inventory routes/server actions, and produce the WP0 impact report. Preserve the single-codebase architecture. Implement authentication and server-side authorization with LIVE/DEMO workspace isolation. Treat the current database as valuable production data: no migrate reset, no destructive seed, no ID replacement and no production migration without rehearsal, reconciliation and rollback evidence. Status homogenization remains closed; do not apply manual governed statuses to workstreams, events, tasks or task families. The first executable deliverable is the read-only migration preflight and repository impact map.</w:t>
      </w:r>
    </w:p>
    <w:p>
      <w:r>
        <w:br w:type="page"/>
      </w:r>
    </w:p>
    <w:p>
      <w:pPr>
        <w:pStyle w:val="Heading1"/>
      </w:pPr>
      <w:r>
        <w:rPr>
          <w:rFonts w:ascii="Calibri" w:hAnsi="Calibri"/>
          <w:b w:val="0"/>
          <w:i w:val="0"/>
          <w:color w:val="172B4D"/>
          <w:sz w:val="22"/>
        </w:rPr>
        <w:t>Appendix A — Migration Evidence Checklist</w:t>
      </w:r>
    </w:p>
    <w:p>
      <w:pPr>
        <w:spacing w:after="120"/>
        <w:ind w:left="360"/>
      </w:pPr>
      <w:r>
        <w:rPr>
          <w:rFonts w:ascii="Calibri" w:hAnsi="Calibri"/>
          <w:b w:val="0"/>
          <w:i w:val="0"/>
          <w:color w:val="172B4D"/>
          <w:sz w:val="22"/>
        </w:rPr>
        <w:t>☐  Approved source database absolute path</w:t>
      </w:r>
    </w:p>
    <w:p>
      <w:pPr>
        <w:spacing w:after="120"/>
        <w:ind w:left="360"/>
      </w:pPr>
      <w:r>
        <w:rPr>
          <w:rFonts w:ascii="Calibri" w:hAnsi="Calibri"/>
          <w:b w:val="0"/>
          <w:i w:val="0"/>
          <w:color w:val="172B4D"/>
          <w:sz w:val="22"/>
        </w:rPr>
        <w:t>☐  Source and backup SHA-256 hashes</w:t>
      </w:r>
    </w:p>
    <w:p>
      <w:pPr>
        <w:spacing w:after="120"/>
        <w:ind w:left="360"/>
      </w:pPr>
      <w:r>
        <w:rPr>
          <w:rFonts w:ascii="Calibri" w:hAnsi="Calibri"/>
          <w:b w:val="0"/>
          <w:i w:val="0"/>
          <w:color w:val="172B4D"/>
          <w:sz w:val="22"/>
        </w:rPr>
        <w:t>☐  SQLite integrity_check and foreign_key_check outputs</w:t>
      </w:r>
    </w:p>
    <w:p>
      <w:pPr>
        <w:spacing w:after="120"/>
        <w:ind w:left="360"/>
      </w:pPr>
      <w:r>
        <w:rPr>
          <w:rFonts w:ascii="Calibri" w:hAnsi="Calibri"/>
          <w:b w:val="0"/>
          <w:i w:val="0"/>
          <w:color w:val="172B4D"/>
          <w:sz w:val="22"/>
        </w:rPr>
        <w:t>☐  Git commit/application version</w:t>
      </w:r>
    </w:p>
    <w:p>
      <w:pPr>
        <w:spacing w:after="120"/>
        <w:ind w:left="360"/>
      </w:pPr>
      <w:r>
        <w:rPr>
          <w:rFonts w:ascii="Calibri" w:hAnsi="Calibri"/>
          <w:b w:val="0"/>
          <w:i w:val="0"/>
          <w:color w:val="172B4D"/>
          <w:sz w:val="22"/>
        </w:rPr>
        <w:t>☐  Prisma migration history</w:t>
      </w:r>
    </w:p>
    <w:p>
      <w:pPr>
        <w:spacing w:after="120"/>
        <w:ind w:left="360"/>
      </w:pPr>
      <w:r>
        <w:rPr>
          <w:rFonts w:ascii="Calibri" w:hAnsi="Calibri"/>
          <w:b w:val="0"/>
          <w:i w:val="0"/>
          <w:color w:val="172B4D"/>
          <w:sz w:val="22"/>
        </w:rPr>
        <w:t>☐  Pre/post table counts</w:t>
      </w:r>
    </w:p>
    <w:p>
      <w:pPr>
        <w:spacing w:after="120"/>
        <w:ind w:left="360"/>
      </w:pPr>
      <w:r>
        <w:rPr>
          <w:rFonts w:ascii="Calibri" w:hAnsi="Calibri"/>
          <w:b w:val="0"/>
          <w:i w:val="0"/>
          <w:color w:val="172B4D"/>
          <w:sz w:val="22"/>
        </w:rPr>
        <w:t>☐  Preserved-ID sample and full automated check</w:t>
      </w:r>
    </w:p>
    <w:p>
      <w:pPr>
        <w:spacing w:after="120"/>
        <w:ind w:left="360"/>
      </w:pPr>
      <w:r>
        <w:rPr>
          <w:rFonts w:ascii="Calibri" w:hAnsi="Calibri"/>
          <w:b w:val="0"/>
          <w:i w:val="0"/>
          <w:color w:val="172B4D"/>
          <w:sz w:val="22"/>
        </w:rPr>
        <w:t>☐  Exception mapping report</w:t>
      </w:r>
    </w:p>
    <w:p>
      <w:pPr>
        <w:spacing w:after="120"/>
        <w:ind w:left="360"/>
      </w:pPr>
      <w:r>
        <w:rPr>
          <w:rFonts w:ascii="Calibri" w:hAnsi="Calibri"/>
          <w:b w:val="0"/>
          <w:i w:val="0"/>
          <w:color w:val="172B4D"/>
          <w:sz w:val="22"/>
        </w:rPr>
        <w:t>☐  Authorization test results</w:t>
      </w:r>
    </w:p>
    <w:p>
      <w:pPr>
        <w:spacing w:after="120"/>
        <w:ind w:left="360"/>
      </w:pPr>
      <w:r>
        <w:rPr>
          <w:rFonts w:ascii="Calibri" w:hAnsi="Calibri"/>
          <w:b w:val="0"/>
          <w:i w:val="0"/>
          <w:color w:val="172B4D"/>
          <w:sz w:val="22"/>
        </w:rPr>
        <w:t>☐  Demo-data privacy review</w:t>
      </w:r>
    </w:p>
    <w:p>
      <w:pPr>
        <w:spacing w:after="120"/>
        <w:ind w:left="360"/>
      </w:pPr>
      <w:r>
        <w:rPr>
          <w:rFonts w:ascii="Calibri" w:hAnsi="Calibri"/>
          <w:b w:val="0"/>
          <w:i w:val="0"/>
          <w:color w:val="172B4D"/>
          <w:sz w:val="22"/>
        </w:rPr>
        <w:t>☐  Rollback restore result</w:t>
      </w:r>
    </w:p>
    <w:p>
      <w:pPr>
        <w:spacing w:after="120"/>
        <w:ind w:left="360"/>
      </w:pPr>
      <w:r>
        <w:rPr>
          <w:rFonts w:ascii="Calibri" w:hAnsi="Calibri"/>
          <w:b w:val="0"/>
          <w:i w:val="0"/>
          <w:color w:val="172B4D"/>
          <w:sz w:val="22"/>
        </w:rPr>
        <w:t>☐  Owner approval and cutover timestamp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6"/>
      </w:rPr>
      <w:t xml:space="preserve">V3.3  |  Security, Demo Access &amp; Live Data Migration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7"/>
      </w:rPr>
      <w:t>PROJECT OPERATIONS SYSTEM  |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59"/>
    </w:pPr>
    <w:rPr>
      <w:rFonts w:ascii="Consolas" w:hAnsi="Consolas"/>
      <w:color w:val="202124"/>
      <w:sz w:val="17"/>
    </w:rPr>
  </w:style>
  <w:style w:type="paragraph" w:customStyle="1" w:styleId="Callout">
    <w:name w:val="Callout"/>
    <w:pPr>
      <w:spacing w:before="120" w:after="160"/>
      <w:ind w:left="216"/>
    </w:pPr>
    <w:rPr>
      <w:rFonts w:ascii="Calibri" w:hAnsi="Calibri"/>
      <w:b/>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Operations System — Technical Architecture V3.3</dc:title>
  <dc:subject>Security foundation, controlled demo access and live data migration protocol</dc:subject>
  <dc:creator>Protervitas / Project Operations System</dc:creator>
  <cp:keywords>Project Operations System, security, authentication, authorization, demo, migration, Prisma, SQLite</cp:keywords>
  <dc:description>generated by python-docx</dc:description>
  <cp:lastModifiedBy/>
  <cp:revision>1</cp:revision>
  <dcterms:created xsi:type="dcterms:W3CDTF">2013-12-23T23:15:00Z</dcterms:created>
  <dcterms:modified xsi:type="dcterms:W3CDTF">2013-12-23T23:15:00Z</dcterms:modified>
  <cp:category/>
</cp:coreProperties>
</file>