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i w:val="0"/>
          <w:color w:val="0B2545"/>
          <w:sz w:val="44"/>
        </w:rPr>
        <w:t>Project Operations System Freeze Checkpoint</w:t>
      </w:r>
    </w:p>
    <w:p>
      <w:pPr>
        <w:spacing w:after="280"/>
      </w:pPr>
      <w:r>
        <w:rPr>
          <w:rFonts w:ascii="Calibri" w:hAnsi="Calibri" w:eastAsia="Calibri"/>
          <w:b w:val="0"/>
          <w:i w:val="0"/>
          <w:color w:val="475569"/>
          <w:sz w:val="22"/>
        </w:rPr>
        <w:t>Continuation since latest testing document - 14 July 2026</w:t>
      </w:r>
    </w:p>
    <w:p>
      <w:pPr>
        <w:pStyle w:val="Heading1"/>
        <w:spacing w:before="320" w:after="160"/>
      </w:pPr>
      <w:r>
        <w:rPr>
          <w:rFonts w:ascii="Calibri" w:hAnsi="Calibri" w:eastAsia="Calibri"/>
          <w:b/>
          <w:i w:val="0"/>
          <w:color w:val="2E74B5"/>
          <w:sz w:val="32"/>
        </w:rPr>
        <w:t>Executive Summary</w:t>
      </w:r>
    </w:p>
    <w:p>
      <w:pPr>
        <w:spacing w:after="120" w:line="264" w:lineRule="auto"/>
      </w:pPr>
      <w:r>
        <w:rPr>
          <w:rFonts w:ascii="Calibri" w:hAnsi="Calibri" w:eastAsia="Calibri"/>
          <w:b w:val="0"/>
          <w:i w:val="0"/>
          <w:sz w:val="22"/>
        </w:rPr>
        <w:t>This checkpoint records the work completed since the latest documentation set dated 4 July 2026. The release candidate now combines managed narrative governance, stronger executive reporting outputs, mobile-oriented agent voice behavior, attention cockpit integration, and small usability safeguards needed before a version freeze.</w:t>
      </w:r>
    </w:p>
    <w:p>
      <w:pPr>
        <w:spacing w:after="120" w:line="264" w:lineRule="auto"/>
      </w:pPr>
      <w:r>
        <w:rPr>
          <w:rFonts w:ascii="Calibri" w:hAnsi="Calibri" w:eastAsia="Calibri"/>
          <w:b w:val="0"/>
          <w:i w:val="0"/>
          <w:sz w:val="22"/>
        </w:rPr>
        <w:t>The central product shift is that the system is moving from feature construction toward operational discipline: agent outputs become reviewable suggestions, reporting narratives become managed lifecycle objects, stale obligations flow into attention, and project context is made more visible where mistakes would be costly.</w:t>
      </w:r>
    </w:p>
    <w:p>
      <w:pPr>
        <w:pStyle w:val="Heading1"/>
        <w:spacing w:before="320" w:after="160"/>
      </w:pPr>
      <w:r>
        <w:rPr>
          <w:rFonts w:ascii="Calibri" w:hAnsi="Calibri" w:eastAsia="Calibri"/>
          <w:b/>
          <w:i w:val="0"/>
          <w:color w:val="2E74B5"/>
          <w:sz w:val="32"/>
        </w:rPr>
        <w:t>Accomplishment Matrix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100"/>
        <w:gridCol w:w="3860"/>
        <w:gridCol w:w="3400"/>
      </w:tblGrid>
      <w:tr>
        <w:trPr>
          <w:tblHeader w:val="true"/>
        </w:trPr>
        <w:tc>
          <w:tcPr>
            <w:tcW w:type="dxa" w:w="21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B2545"/>
                <w:sz w:val="22"/>
              </w:rPr>
              <w:t>Area</w:t>
            </w:r>
          </w:p>
        </w:tc>
        <w:tc>
          <w:tcPr>
            <w:tcW w:type="dxa" w:w="386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B2545"/>
                <w:sz w:val="22"/>
              </w:rPr>
              <w:t>Accomplishment</w:t>
            </w:r>
          </w:p>
        </w:tc>
        <w:tc>
          <w:tcPr>
            <w:tcW w:type="dxa" w:w="34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B2545"/>
                <w:sz w:val="22"/>
              </w:rPr>
              <w:t>Release significance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i w:val="0"/>
                <w:sz w:val="21"/>
              </w:rPr>
              <w:t>Managed narrative lifecycle</w:t>
            </w:r>
          </w:p>
        </w:tc>
        <w:tc>
          <w:tcPr>
            <w:tcW w:type="dxa" w:w="38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i w:val="0"/>
                <w:sz w:val="21"/>
              </w:rPr>
              <w:t>Introduced managed narratives, proposal/review flow, structured revisions, and lifecycle panels inside reporting pack workspaces.</w:t>
            </w:r>
          </w:p>
        </w:tc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i w:val="0"/>
                <w:sz w:val="21"/>
              </w:rPr>
              <w:t>Turns narrative content from free text into governed draft, review, approval, and revision objects.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i w:val="0"/>
                <w:sz w:val="21"/>
              </w:rPr>
              <w:t>Executive reporting</w:t>
            </w:r>
          </w:p>
        </w:tc>
        <w:tc>
          <w:tcPr>
            <w:tcW w:type="dxa" w:w="38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i w:val="0"/>
                <w:sz w:val="21"/>
              </w:rPr>
              <w:t>Expanded briefing/export views, PDF/PPTX routing, cockpit metrics, decision/risk attention sections, and presentation generation support.</w:t>
            </w:r>
          </w:p>
        </w:tc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i w:val="0"/>
                <w:sz w:val="21"/>
              </w:rPr>
              <w:t>Makes executive reporting usable as both an in-app workspace and an export package.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i w:val="0"/>
                <w:sz w:val="21"/>
              </w:rPr>
              <w:t>Operational agents</w:t>
            </w:r>
          </w:p>
        </w:tc>
        <w:tc>
          <w:tcPr>
            <w:tcW w:type="dxa" w:w="38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i w:val="0"/>
                <w:sz w:val="21"/>
              </w:rPr>
              <w:t>Strengthened Time Tracking and Project Progress voice flows, including pending confirmations, apply/cancel intent handling, mobile transcript de-duplication, and notes updates.</w:t>
            </w:r>
          </w:p>
        </w:tc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i w:val="0"/>
                <w:sz w:val="21"/>
              </w:rPr>
              <w:t>Supports practical mobile agent use without the repeated-instruction problem observed on phones.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i w:val="0"/>
                <w:sz w:val="21"/>
              </w:rPr>
              <w:t>Attention workspace</w:t>
            </w:r>
          </w:p>
        </w:tc>
        <w:tc>
          <w:tcPr>
            <w:tcW w:type="dxa" w:w="38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i w:val="0"/>
                <w:sz w:val="21"/>
              </w:rPr>
              <w:t>Added overdue open agent suggestions to daily attention after a 24-hour threshold, while preserving existing project, risk, decision, reporting, and time tracking attention items.</w:t>
            </w:r>
          </w:p>
        </w:tc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i w:val="0"/>
                <w:sz w:val="21"/>
              </w:rPr>
              <w:t>Moves stale agent work into the same operating cockpit as other follow-up obligations.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i w:val="0"/>
                <w:sz w:val="21"/>
              </w:rPr>
              <w:t>Project workspace UX</w:t>
            </w:r>
          </w:p>
        </w:tc>
        <w:tc>
          <w:tcPr>
            <w:tcW w:type="dxa" w:w="38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i w:val="0"/>
                <w:sz w:val="21"/>
              </w:rPr>
              <w:t>Defaulted project detail to Manage Project, added narrative project identity, and improved tab routing for management/narrative deep links.</w:t>
            </w:r>
          </w:p>
        </w:tc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i w:val="0"/>
                <w:sz w:val="21"/>
              </w:rPr>
              <w:t>Reduces context mistakes when several projects are open at the same time.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i w:val="0"/>
                <w:sz w:val="21"/>
              </w:rPr>
              <w:t>Freeze hygiene</w:t>
            </w:r>
          </w:p>
        </w:tc>
        <w:tc>
          <w:tcPr>
            <w:tcW w:type="dxa" w:w="38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i w:val="0"/>
                <w:sz w:val="21"/>
              </w:rPr>
              <w:t>Fixed hydration drift in the translation provider, added environment visibility, improved Prisma/runtime configuration, and verified lint/build after final tuning.</w:t>
            </w:r>
          </w:p>
        </w:tc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i w:val="0"/>
                <w:sz w:val="21"/>
              </w:rPr>
              <w:t>Raises confidence that the freeze candidate is stable enough for controlled mobile validation.</w:t>
            </w:r>
          </w:p>
        </w:tc>
      </w:tr>
    </w:tbl>
    <w:p>
      <w:pPr>
        <w:pStyle w:val="Heading1"/>
        <w:spacing w:before="320" w:after="160"/>
      </w:pPr>
      <w:r>
        <w:rPr>
          <w:rFonts w:ascii="Calibri" w:hAnsi="Calibri" w:eastAsia="Calibri"/>
          <w:b/>
          <w:i w:val="0"/>
          <w:color w:val="2E74B5"/>
          <w:sz w:val="32"/>
        </w:rPr>
        <w:t>Detailed Notes</w:t>
      </w:r>
    </w:p>
    <w:p>
      <w:pPr>
        <w:pStyle w:val="Heading2"/>
        <w:spacing w:before="240" w:after="120"/>
      </w:pPr>
      <w:r>
        <w:rPr>
          <w:rFonts w:ascii="Calibri" w:hAnsi="Calibri" w:eastAsia="Calibri"/>
          <w:b/>
          <w:i w:val="0"/>
          <w:color w:val="2E74B5"/>
          <w:sz w:val="26"/>
        </w:rPr>
        <w:t>1. Narrative and reporting governance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i w:val="0"/>
          <w:sz w:val="22"/>
        </w:rPr>
        <w:t>Reporting pack narrative work has been extended with managed narrative summaries, proposal generation, review actions, and structured revision support.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i w:val="0"/>
          <w:sz w:val="22"/>
        </w:rPr>
        <w:t>The narrative workspace now shows the project identity under the workspace title, reducing ambiguity when multiple project tabs are open.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i w:val="0"/>
          <w:sz w:val="22"/>
        </w:rPr>
        <w:t>Reporting pack rules and data contracts were expanded so executive exports can work from a richer reporting model.</w:t>
      </w:r>
    </w:p>
    <w:p>
      <w:pPr>
        <w:pStyle w:val="Heading2"/>
        <w:spacing w:before="240" w:after="120"/>
      </w:pPr>
      <w:r>
        <w:rPr>
          <w:rFonts w:ascii="Calibri" w:hAnsi="Calibri" w:eastAsia="Calibri"/>
          <w:b/>
          <w:i w:val="0"/>
          <w:color w:val="2E74B5"/>
          <w:sz w:val="26"/>
        </w:rPr>
        <w:t>2. Executive reporting outputs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i w:val="0"/>
          <w:sz w:val="22"/>
        </w:rPr>
        <w:t>The executive report workspace and export routes were expanded across in-app, PDF, and PPTX flows.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i w:val="0"/>
          <w:sz w:val="22"/>
        </w:rPr>
        <w:t>Decision attention, risk attention, briefing model support, and presentation formatting were strengthened.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i w:val="0"/>
          <w:sz w:val="22"/>
        </w:rPr>
        <w:t>PDF/PPTX route parameters now support briefing-oriented outputs, aligning exports with the tabbed reporting experience.</w:t>
      </w:r>
    </w:p>
    <w:p>
      <w:pPr>
        <w:pStyle w:val="Heading2"/>
        <w:spacing w:before="240" w:after="120"/>
      </w:pPr>
      <w:r>
        <w:rPr>
          <w:rFonts w:ascii="Calibri" w:hAnsi="Calibri" w:eastAsia="Calibri"/>
          <w:b/>
          <w:i w:val="0"/>
          <w:color w:val="2E74B5"/>
          <w:sz w:val="26"/>
        </w:rPr>
        <w:t>3. Mobile operational agents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i w:val="0"/>
          <w:sz w:val="22"/>
        </w:rPr>
        <w:t>The Time Tracking assistant now handles voice-driven notes updates more safely on mobile by resetting the instruction field when Voice Input starts.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i w:val="0"/>
          <w:sz w:val="22"/>
        </w:rPr>
        <w:t>Speech recognition now merges cumulative and overlapping transcript chunks, avoiding the mobile repetition pattern observed with commands such as 'Notes test notes on mobile over'.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i w:val="0"/>
          <w:sz w:val="22"/>
        </w:rPr>
        <w:t>Voice end markers 'over' and 'fin' are stripped before the final instruction is sent to the agent.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i w:val="0"/>
          <w:sz w:val="22"/>
        </w:rPr>
        <w:t>Pending voice confirmations can be repeated, applied, or cancelled through voice intent handling.</w:t>
      </w:r>
    </w:p>
    <w:p>
      <w:pPr>
        <w:pStyle w:val="Heading2"/>
        <w:spacing w:before="240" w:after="120"/>
      </w:pPr>
      <w:r>
        <w:rPr>
          <w:rFonts w:ascii="Calibri" w:hAnsi="Calibri" w:eastAsia="Calibri"/>
          <w:b/>
          <w:i w:val="0"/>
          <w:color w:val="2E74B5"/>
          <w:sz w:val="26"/>
        </w:rPr>
        <w:t>4. Attention and cockpit behavior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i w:val="0"/>
          <w:sz w:val="22"/>
        </w:rPr>
        <w:t>Open, unapplied agent suggestions older than 24 hours now appear in the Attention page as Agent Suggestion items.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i w:val="0"/>
          <w:sz w:val="22"/>
        </w:rPr>
        <w:t>Attention links route users to the relevant assistant workspace: Time Tracking or Project Progress.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i w:val="0"/>
          <w:sz w:val="22"/>
        </w:rPr>
        <w:t>Risk attention behavior has been consolidated to avoid multiple duplicate items for the same risk while preserving the actionable reasons.</w:t>
      </w:r>
    </w:p>
    <w:p>
      <w:pPr>
        <w:pStyle w:val="Heading2"/>
        <w:spacing w:before="240" w:after="120"/>
      </w:pPr>
      <w:r>
        <w:rPr>
          <w:rFonts w:ascii="Calibri" w:hAnsi="Calibri" w:eastAsia="Calibri"/>
          <w:b/>
          <w:i w:val="0"/>
          <w:color w:val="2E74B5"/>
          <w:sz w:val="26"/>
        </w:rPr>
        <w:t>5. Project workspace safeguards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i w:val="0"/>
          <w:sz w:val="22"/>
        </w:rPr>
        <w:t>Project detail now opens on Manage Project by default unless an explicit view parameter asks for briefing or narrative.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i w:val="0"/>
          <w:sz w:val="22"/>
        </w:rPr>
        <w:t>Management and narrative deep links carry explicit view parameters so attention items and reporting links land in the intended tab.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i w:val="0"/>
          <w:sz w:val="22"/>
        </w:rPr>
        <w:t>The narrative tab now displays project code and project name in the workspace header.</w:t>
      </w:r>
    </w:p>
    <w:p>
      <w:pPr>
        <w:pStyle w:val="Heading1"/>
        <w:spacing w:before="320" w:after="160"/>
      </w:pPr>
      <w:r>
        <w:rPr>
          <w:rFonts w:ascii="Calibri" w:hAnsi="Calibri" w:eastAsia="Calibri"/>
          <w:b/>
          <w:i w:val="0"/>
          <w:color w:val="2E74B5"/>
          <w:sz w:val="32"/>
        </w:rPr>
        <w:t>Validation Status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i w:val="0"/>
          <w:sz w:val="22"/>
        </w:rPr>
        <w:t>Lint passes after the final voice, attention, project tab, and narrative identity changes.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i w:val="0"/>
          <w:sz w:val="22"/>
        </w:rPr>
        <w:t>Production build passes with NODE_OPTIONS=--use-system-ca, required in this environment because next/font fetches Google Fonts and Node needs the local system CA store.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i w:val="0"/>
          <w:sz w:val="22"/>
        </w:rPr>
        <w:t>Browser runtime smoke test on /time-tracking showed no hydration warnings after the translation provider fix.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i w:val="0"/>
          <w:sz w:val="22"/>
        </w:rPr>
        <w:t>Mobile voice behavior still requires final real-device confirmation before the freeze is tagged.</w:t>
      </w:r>
    </w:p>
    <w:p>
      <w:pPr>
        <w:pStyle w:val="Heading1"/>
        <w:spacing w:before="320" w:after="160"/>
      </w:pPr>
      <w:r>
        <w:rPr>
          <w:rFonts w:ascii="Calibri" w:hAnsi="Calibri" w:eastAsia="Calibri"/>
          <w:b/>
          <w:i w:val="0"/>
          <w:color w:val="2E74B5"/>
          <w:sz w:val="32"/>
        </w:rPr>
        <w:t>Freeze and Mobile Access Decisions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B2545"/>
                <w:sz w:val="22"/>
              </w:rPr>
              <w:t>Decision</w:t>
            </w:r>
          </w:p>
        </w:tc>
        <w:tc>
          <w:tcPr>
            <w:tcW w:type="dxa" w:w="6960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B2545"/>
                <w:sz w:val="22"/>
              </w:rPr>
              <w:t>Recommended freeze position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sz w:val="21"/>
              </w:rPr>
              <w:t>Code freeze</w:t>
            </w:r>
          </w:p>
        </w:tc>
        <w:tc>
          <w:tcPr>
            <w:tcW w:type="dxa" w:w="69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1"/>
              </w:rPr>
              <w:t>Create a release commit and tag only after staging reviewed files; avoid blindly committing unrelated draft artifacts.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sz w:val="21"/>
              </w:rPr>
              <w:t>Data freeze</w:t>
            </w:r>
          </w:p>
        </w:tc>
        <w:tc>
          <w:tcPr>
            <w:tcW w:type="dxa" w:w="69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1"/>
              </w:rPr>
              <w:t>Back up dev.db and migration state before deploying mobile access or moving hosting.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sz w:val="21"/>
              </w:rPr>
              <w:t>Mobile access</w:t>
            </w:r>
          </w:p>
        </w:tc>
        <w:tc>
          <w:tcPr>
            <w:tcW w:type="dxa" w:w="69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1"/>
              </w:rPr>
              <w:t>Use a stable Cloudflare Tunnel/domain for immediate validation; plan VPS/Postgres only after the frozen workflow proves useful in daily use.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sz w:val="21"/>
              </w:rPr>
              <w:t>Validation</w:t>
            </w:r>
          </w:p>
        </w:tc>
        <w:tc>
          <w:tcPr>
            <w:tcW w:type="dxa" w:w="69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1"/>
              </w:rPr>
              <w:t>Run laptop and mobile smoke tests on TT agent notes, project progress suggestions, narrative tab identity, attention page, and export paths.</w:t>
            </w:r>
          </w:p>
        </w:tc>
      </w:tr>
    </w:tbl>
    <w:p>
      <w:pPr>
        <w:pStyle w:val="Heading1"/>
        <w:spacing w:before="320" w:after="160"/>
      </w:pPr>
      <w:r>
        <w:rPr>
          <w:rFonts w:ascii="Calibri" w:hAnsi="Calibri" w:eastAsia="Calibri"/>
          <w:b/>
          <w:i w:val="0"/>
          <w:color w:val="2E74B5"/>
          <w:sz w:val="32"/>
        </w:rPr>
        <w:t>Known Cautions Before Tagging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i w:val="0"/>
          <w:sz w:val="22"/>
        </w:rPr>
        <w:t>The worktree contains many modified and untracked files. The freeze commit should be curated, not a blind add-all.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i w:val="0"/>
          <w:sz w:val="22"/>
        </w:rPr>
        <w:t>The database state is part of the release candidate. Back up dev.db and confirm migrations before any mobile/remote deployment step.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i w:val="0"/>
          <w:sz w:val="22"/>
        </w:rPr>
        <w:t>Cloudflare Tunnel is acceptable for immediate mobile validation, but a stable domain and access control should replace temporary tunnel URLs.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i w:val="0"/>
          <w:sz w:val="22"/>
        </w:rPr>
        <w:t>A VPS/Postgres deployment is a stronger long-term path, but should wait until the frozen workflow is validated in daily use.</w:t>
      </w:r>
    </w:p>
    <w:p>
      <w:pPr>
        <w:pStyle w:val="Heading1"/>
        <w:spacing w:before="320" w:after="160"/>
      </w:pPr>
      <w:r>
        <w:rPr>
          <w:rFonts w:ascii="Calibri" w:hAnsi="Calibri" w:eastAsia="Calibri"/>
          <w:b/>
          <w:color w:val="2E74B5"/>
          <w:sz w:val="32"/>
        </w:rPr>
        <w:t>Addendum: One-page briefing hardening</w:t>
      </w:r>
    </w:p>
    <w:p>
      <w:pPr>
        <w:spacing w:after="120" w:line="264" w:lineRule="auto"/>
      </w:pPr>
      <w:r>
        <w:rPr>
          <w:rFonts w:ascii="Calibri" w:hAnsi="Calibri" w:eastAsia="Calibri"/>
          <w:b w:val="0"/>
          <w:color w:val="0B2545"/>
          <w:sz w:val="22"/>
        </w:rPr>
        <w:t>The one-page executive briefing deserves explicit documentation because it evolved from an export convenience into a separate executive communication surface. The implementation now has its own briefing model, focused export modes, and layout rules designed to keep a dense project story readable on one page.</w:t>
      </w:r>
    </w:p>
    <w:p>
      <w:pPr>
        <w:pStyle w:val="Heading2"/>
        <w:spacing w:before="240" w:after="120"/>
      </w:pPr>
      <w:r>
        <w:rPr>
          <w:rFonts w:ascii="Calibri" w:hAnsi="Calibri" w:eastAsia="Calibri"/>
          <w:b/>
          <w:color w:val="2E74B5"/>
          <w:sz w:val="26"/>
        </w:rPr>
        <w:t>Briefing surface delivered</w:t>
      </w:r>
    </w:p>
    <w:p>
      <w:pPr>
        <w:pStyle w:val="ListBullet"/>
        <w:spacing w:after="80" w:line="280" w:lineRule="auto"/>
      </w:pPr>
      <w:r>
        <w:rPr>
          <w:rFonts w:ascii="Calibri" w:hAnsi="Calibri" w:eastAsia="Calibri"/>
          <w:b w:val="0"/>
          <w:sz w:val="22"/>
        </w:rPr>
        <w:t>Added a dedicated Executive Briefing chapter/tab and a briefing-only export path using view=briefing.</w:t>
      </w:r>
    </w:p>
    <w:p>
      <w:pPr>
        <w:pStyle w:val="ListBullet"/>
        <w:spacing w:after="80" w:line="280" w:lineRule="auto"/>
      </w:pPr>
      <w:r>
        <w:rPr>
          <w:rFonts w:ascii="Calibri" w:hAnsi="Calibri" w:eastAsia="Calibri"/>
          <w:b w:val="0"/>
          <w:sz w:val="22"/>
        </w:rPr>
        <w:t>Built a compact briefing model that combines timeline, delivery status, project pulse, progress since last report, risks, decisions, issues, next steps, management ask, and conclusion.</w:t>
      </w:r>
    </w:p>
    <w:p>
      <w:pPr>
        <w:pStyle w:val="ListBullet"/>
        <w:spacing w:after="80" w:line="280" w:lineRule="auto"/>
      </w:pPr>
      <w:r>
        <w:rPr>
          <w:rFonts w:ascii="Calibri" w:hAnsi="Calibri" w:eastAsia="Calibri"/>
          <w:b w:val="0"/>
          <w:sz w:val="22"/>
        </w:rPr>
        <w:t>Integrated managed narrative assets so the briefing can use governed narrative content rather than only legacy reporting pack text fields.</w:t>
      </w:r>
    </w:p>
    <w:p>
      <w:pPr>
        <w:pStyle w:val="ListBullet"/>
        <w:spacing w:after="80" w:line="280" w:lineRule="auto"/>
      </w:pPr>
      <w:r>
        <w:rPr>
          <w:rFonts w:ascii="Calibri" w:hAnsi="Calibri" w:eastAsia="Calibri"/>
          <w:b w:val="0"/>
          <w:sz w:val="22"/>
        </w:rPr>
        <w:t>Added narrative presentation modes, including bullet and checkpoint rendering, to make briefing text scannable instead of paragraph-heavy.</w:t>
      </w:r>
    </w:p>
    <w:p>
      <w:pPr>
        <w:pStyle w:val="Heading2"/>
        <w:spacing w:before="240" w:after="120"/>
      </w:pPr>
      <w:r>
        <w:rPr>
          <w:rFonts w:ascii="Calibri" w:hAnsi="Calibri" w:eastAsia="Calibri"/>
          <w:b/>
          <w:color w:val="2E74B5"/>
          <w:sz w:val="26"/>
        </w:rPr>
        <w:t>Layout and export hardening</w:t>
      </w:r>
    </w:p>
    <w:p>
      <w:pPr>
        <w:pStyle w:val="ListBullet"/>
        <w:spacing w:after="80" w:line="280" w:lineRule="auto"/>
      </w:pPr>
      <w:r>
        <w:rPr>
          <w:rFonts w:ascii="Calibri" w:hAnsi="Calibri" w:eastAsia="Calibri"/>
          <w:b w:val="0"/>
          <w:sz w:val="22"/>
        </w:rPr>
        <w:t>Hardened the PDF briefing layout with fixed briefing cards, a scaled timeline/Gantt section, compact metric grids, and overflow control suitable for a single-page executive view.</w:t>
      </w:r>
    </w:p>
    <w:p>
      <w:pPr>
        <w:pStyle w:val="ListBullet"/>
        <w:spacing w:after="80" w:line="280" w:lineRule="auto"/>
      </w:pPr>
      <w:r>
        <w:rPr>
          <w:rFonts w:ascii="Calibri" w:hAnsi="Calibri" w:eastAsia="Calibri"/>
          <w:b w:val="0"/>
          <w:sz w:val="22"/>
        </w:rPr>
        <w:t>Added PPTX briefing slide generation with matching timeline, pulse, metric, and narrative card structure.</w:t>
      </w:r>
    </w:p>
    <w:p>
      <w:pPr>
        <w:pStyle w:val="ListBullet"/>
        <w:spacing w:after="80" w:line="280" w:lineRule="auto"/>
      </w:pPr>
      <w:r>
        <w:rPr>
          <w:rFonts w:ascii="Calibri" w:hAnsi="Calibri" w:eastAsia="Calibri"/>
          <w:b w:val="0"/>
          <w:sz w:val="22"/>
        </w:rPr>
        <w:t>Improved full-report PDF/PPTX pagination around decision attention, risk attention, timeline, workstream/milestone cockpit content, and detailed Gantt slides.</w:t>
      </w:r>
    </w:p>
    <w:p>
      <w:pPr>
        <w:pStyle w:val="ListBullet"/>
        <w:spacing w:after="80" w:line="280" w:lineRule="auto"/>
      </w:pPr>
      <w:r>
        <w:rPr>
          <w:rFonts w:ascii="Calibri" w:hAnsi="Calibri" w:eastAsia="Calibri"/>
          <w:b w:val="0"/>
          <w:sz w:val="22"/>
        </w:rPr>
        <w:t>Combined workstream and milestone cockpit content where appropriate to reduce unnecessary report fragmentation.</w:t>
      </w:r>
    </w:p>
    <w:p>
      <w:pPr>
        <w:pStyle w:val="ListBullet"/>
        <w:spacing w:after="80" w:line="280" w:lineRule="auto"/>
      </w:pPr>
      <w:r>
        <w:rPr>
          <w:rFonts w:ascii="Calibri" w:hAnsi="Calibri" w:eastAsia="Calibri"/>
          <w:b w:val="0"/>
          <w:sz w:val="22"/>
        </w:rPr>
        <w:t>Added dynamic vertical spacing for risk and decision sections so attention tables and recent outcome blocks are less likely to collide or leave awkward gaps.</w:t>
      </w:r>
    </w:p>
    <w:p>
      <w:pPr>
        <w:pStyle w:val="Heading2"/>
        <w:spacing w:before="240" w:after="120"/>
      </w:pPr>
      <w:r>
        <w:rPr>
          <w:rFonts w:ascii="Calibri" w:hAnsi="Calibri" w:eastAsia="Calibri"/>
          <w:b/>
          <w:color w:val="2E74B5"/>
          <w:sz w:val="26"/>
        </w:rPr>
        <w:t>Why this matters for the freeze</w:t>
      </w:r>
    </w:p>
    <w:p>
      <w:pPr>
        <w:pStyle w:val="ListBullet"/>
        <w:spacing w:after="80" w:line="280" w:lineRule="auto"/>
      </w:pPr>
      <w:r>
        <w:rPr>
          <w:rFonts w:ascii="Calibri" w:hAnsi="Calibri" w:eastAsia="Calibri"/>
          <w:b w:val="0"/>
          <w:sz w:val="22"/>
        </w:rPr>
        <w:t>The briefing is the fastest executive readout for a project and should be treated as a release-critical artifact, not a secondary report view.</w:t>
      </w:r>
    </w:p>
    <w:p>
      <w:pPr>
        <w:pStyle w:val="ListBullet"/>
        <w:spacing w:after="80" w:line="280" w:lineRule="auto"/>
      </w:pPr>
      <w:r>
        <w:rPr>
          <w:rFonts w:ascii="Calibri" w:hAnsi="Calibri" w:eastAsia="Calibri"/>
          <w:b w:val="0"/>
          <w:sz w:val="22"/>
        </w:rPr>
        <w:t>The hardening work reduced the risk of embarrassing layout defects in PDF/PPTX outputs, especially when projects have several milestones, risks, or decisions.</w:t>
      </w:r>
    </w:p>
    <w:p>
      <w:pPr>
        <w:pStyle w:val="ListBullet"/>
        <w:spacing w:after="80" w:line="280" w:lineRule="auto"/>
      </w:pPr>
      <w:r>
        <w:rPr>
          <w:rFonts w:ascii="Calibri" w:hAnsi="Calibri" w:eastAsia="Calibri"/>
          <w:b w:val="0"/>
          <w:sz w:val="22"/>
        </w:rPr>
        <w:t>The briefing also validates the managed narrative strategy because it reuses the same narrative assets across one-page and detailed reporting outputs.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475569"/>
        <w:sz w:val="18"/>
      </w:rPr>
      <w:t>Project Operations System - Freeze checkpoint - 2026-07-14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