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知识图谱原型评审要点清单（7月3日）</w:t>
      </w:r>
    </w:p>
    <w:p>
      <w:pPr>
        <w:pStyle w:val="2"/>
        <w:spacing w:before="320" w:after="120" w:line="288" w:lineRule="auto"/>
        <w:ind w:left="0"/>
        <w:jc w:val="left"/>
        <w:outlineLvl w:val="1"/>
      </w:pPr>
      <w:bookmarkStart w:name="heading_0" w:id="0"/>
      <w:r>
        <w:rPr>
          <w:rFonts w:eastAsia="等线" w:ascii="Arial" w:cs="Arial" w:hAnsi="Arial"/>
          <w:b w:val="true"/>
          <w:sz w:val="32"/>
        </w:rPr>
        <w:t>一、会议结论</w:t>
      </w:r>
      <w:bookmarkEnd w:id="0"/>
    </w:p>
    <w:p>
      <w:pPr>
        <w:spacing w:before="120" w:after="120" w:line="288" w:lineRule="auto"/>
        <w:ind w:left="0"/>
        <w:jc w:val="left"/>
      </w:pPr>
      <w:r>
        <w:rPr>
          <w:rFonts w:eastAsia="等线" w:ascii="Arial" w:cs="Arial" w:hAnsi="Arial"/>
          <w:sz w:val="22"/>
        </w:rPr>
        <w:t xml:space="preserve">本次会议明确了知识图谱系统的核心整改方向：当前方案不能仅停留在 </w:t>
      </w:r>
      <w:r>
        <w:rPr>
          <w:rFonts w:eastAsia="等线" w:ascii="Arial" w:cs="Arial" w:hAnsi="Arial"/>
          <w:b w:val="true"/>
          <w:sz w:val="22"/>
        </w:rPr>
        <w:t>9 个独立业务接口展示</w:t>
      </w:r>
      <w:r>
        <w:rPr>
          <w:rFonts w:eastAsia="等线" w:ascii="Arial" w:cs="Arial" w:hAnsi="Arial"/>
          <w:sz w:val="22"/>
        </w:rPr>
        <w:t xml:space="preserve"> 层面，缺少统一底层平台支撑，难以满足后续持续迭代和常态化数据治理要求，交付体系需要从接口展示调整为平台化建设。</w:t>
      </w:r>
    </w:p>
    <w:p>
      <w:pPr>
        <w:numPr>
          <w:numId w:val="1"/>
        </w:numPr>
        <w:spacing w:before="120" w:after="120" w:line="288" w:lineRule="auto"/>
        <w:ind w:left="0"/>
        <w:jc w:val="left"/>
      </w:pPr>
      <w:r>
        <w:rPr>
          <w:rFonts w:eastAsia="等线" w:ascii="Arial" w:cs="Arial" w:hAnsi="Arial"/>
          <w:sz w:val="22"/>
        </w:rPr>
        <w:t xml:space="preserve"> 交付重心由 '</w:t>
      </w:r>
      <w:r>
        <w:rPr>
          <w:rFonts w:eastAsia="等线" w:ascii="Arial" w:cs="Arial" w:hAnsi="Arial"/>
          <w:b w:val="true"/>
          <w:sz w:val="22"/>
        </w:rPr>
        <w:t>9 个割裂独立接口'</w:t>
      </w:r>
      <w:r>
        <w:rPr>
          <w:rFonts w:eastAsia="等线" w:ascii="Arial" w:cs="Arial" w:hAnsi="Arial"/>
          <w:sz w:val="22"/>
        </w:rPr>
        <w:t xml:space="preserve"> 调整为 </w:t>
      </w:r>
      <w:r>
        <w:rPr>
          <w:rFonts w:eastAsia="等线" w:ascii="Arial" w:cs="Arial" w:hAnsi="Arial"/>
          <w:b w:val="true"/>
          <w:sz w:val="22"/>
        </w:rPr>
        <w:t>'统一底层知识图谱平台 + 上层 9 大业务服务模块'</w:t>
      </w:r>
      <w:r>
        <w:rPr>
          <w:rFonts w:eastAsia="等线" w:ascii="Arial" w:cs="Arial" w:hAnsi="Arial"/>
          <w:sz w:val="22"/>
        </w:rPr>
        <w:t xml:space="preserve"> 架构。 </w:t>
      </w:r>
    </w:p>
    <w:p>
      <w:pPr>
        <w:numPr>
          <w:numId w:val="2"/>
        </w:numPr>
        <w:spacing w:before="120" w:after="120" w:line="288" w:lineRule="auto"/>
        <w:ind w:left="0"/>
        <w:jc w:val="left"/>
      </w:pPr>
      <w:r>
        <w:rPr>
          <w:rFonts w:eastAsia="等线" w:ascii="Arial" w:cs="Arial" w:hAnsi="Arial"/>
          <w:sz w:val="22"/>
        </w:rPr>
        <w:t xml:space="preserve"> 核心交付要求是搭建具备完整数据处理闭环的标准化技术平台，覆盖数据接入、图谱构建、图谱治理、增量更新和业务调用全流程。 </w:t>
      </w:r>
    </w:p>
    <w:p>
      <w:pPr>
        <w:numPr>
          <w:numId w:val="3"/>
        </w:numPr>
        <w:spacing w:before="120" w:after="120" w:line="288" w:lineRule="auto"/>
        <w:ind w:left="0"/>
        <w:jc w:val="left"/>
      </w:pPr>
      <w:r>
        <w:rPr>
          <w:rFonts w:eastAsia="等线" w:ascii="Arial" w:cs="Arial" w:hAnsi="Arial"/>
          <w:sz w:val="22"/>
        </w:rPr>
        <w:t xml:space="preserve"> 平台需要具备实体、关系、属性的定义、抽取、规则管理、人工审核、入库、更新和图查询等全链路能力。</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二、调整具体需求</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1. 整体方案调整为统一知识图谱平台</w:t>
      </w:r>
      <w:bookmarkEnd w:id="2"/>
    </w:p>
    <w:p>
      <w:pPr>
        <w:spacing w:before="120" w:after="120" w:line="288" w:lineRule="auto"/>
        <w:ind w:left="0"/>
        <w:jc w:val="left"/>
      </w:pPr>
      <w:r>
        <w:rPr>
          <w:rFonts w:eastAsia="等线" w:ascii="Arial" w:cs="Arial" w:hAnsi="Arial"/>
          <w:sz w:val="22"/>
        </w:rPr>
        <w:t>当前方案不能继续按照 9 个独立功能接口进行设计，需要统一调整为知识图谱技术平台。</w:t>
      </w:r>
    </w:p>
    <w:p>
      <w:pPr>
        <w:spacing w:before="120" w:after="120" w:line="288" w:lineRule="auto"/>
        <w:ind w:left="0"/>
        <w:jc w:val="left"/>
      </w:pPr>
      <w:r>
        <w:rPr>
          <w:rFonts w:eastAsia="等线" w:ascii="Arial" w:cs="Arial" w:hAnsi="Arial"/>
          <w:sz w:val="22"/>
        </w:rPr>
        <w:t>具体要求如下：</w:t>
      </w:r>
    </w:p>
    <w:p>
      <w:pPr>
        <w:numPr>
          <w:numId w:val="4"/>
        </w:numPr>
        <w:spacing w:before="120" w:after="120" w:line="288" w:lineRule="auto"/>
        <w:ind w:left="0"/>
        <w:jc w:val="left"/>
      </w:pPr>
      <w:r>
        <w:rPr>
          <w:rFonts w:eastAsia="等线" w:ascii="Arial" w:cs="Arial" w:hAnsi="Arial"/>
          <w:sz w:val="22"/>
        </w:rPr>
        <w:t xml:space="preserve"> 不再将 9 个业务模块设计成 9 套割裂的独立接口，9 个业务模块应作为平台上层应用，由统一底层平台支撑。 </w:t>
      </w:r>
    </w:p>
    <w:p>
      <w:pPr>
        <w:numPr>
          <w:numId w:val="5"/>
        </w:numPr>
        <w:spacing w:before="120" w:after="120" w:line="288" w:lineRule="auto"/>
        <w:ind w:left="0"/>
        <w:jc w:val="left"/>
      </w:pPr>
      <w:r>
        <w:rPr>
          <w:rFonts w:eastAsia="等线" w:ascii="Arial" w:cs="Arial" w:hAnsi="Arial"/>
          <w:sz w:val="22"/>
        </w:rPr>
        <w:t xml:space="preserve"> 平台应具备“建图、管图、更新图、查图、用图”的完整能力。 </w:t>
      </w:r>
    </w:p>
    <w:p>
      <w:pPr>
        <w:numPr>
          <w:numId w:val="6"/>
        </w:numPr>
        <w:spacing w:before="120" w:after="120" w:line="288" w:lineRule="auto"/>
        <w:ind w:left="0"/>
        <w:jc w:val="left"/>
      </w:pPr>
      <w:r>
        <w:rPr>
          <w:rFonts w:eastAsia="等线" w:ascii="Arial" w:cs="Arial" w:hAnsi="Arial"/>
          <w:sz w:val="22"/>
        </w:rPr>
        <w:t xml:space="preserve"> 后续方案和原型应重点展示底层平台如何处理数据，而不是只展示接口查询结果。 </w:t>
      </w:r>
    </w:p>
    <w:p>
      <w:pPr>
        <w:numPr>
          <w:numId w:val="7"/>
        </w:numPr>
        <w:spacing w:before="120" w:after="120" w:line="288" w:lineRule="auto"/>
        <w:ind w:left="0"/>
        <w:jc w:val="left"/>
      </w:pPr>
      <w:r>
        <w:rPr>
          <w:rFonts w:eastAsia="等线" w:ascii="Arial" w:cs="Arial" w:hAnsi="Arial"/>
          <w:sz w:val="22"/>
        </w:rPr>
        <w:t xml:space="preserve"> 业务模块应通过统一接口调试入口、图查询入口和参数配置方式调用平台能力。</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 w:id="3"/>
      <w:r>
        <w:rPr>
          <w:rFonts w:eastAsia="等线" w:ascii="Arial" w:cs="Arial" w:hAnsi="Arial"/>
          <w:b w:val="true"/>
          <w:sz w:val="30"/>
        </w:rPr>
        <w:t>2. 补充完整数据处理闭环</w:t>
      </w:r>
      <w:bookmarkEnd w:id="3"/>
    </w:p>
    <w:p>
      <w:pPr>
        <w:spacing w:before="120" w:after="120" w:line="288" w:lineRule="auto"/>
        <w:ind w:left="0"/>
        <w:jc w:val="left"/>
      </w:pPr>
      <w:r>
        <w:rPr>
          <w:rFonts w:eastAsia="等线" w:ascii="Arial" w:cs="Arial" w:hAnsi="Arial"/>
          <w:sz w:val="22"/>
        </w:rPr>
        <w:t>平台必须体现从原始数据到知识图谱应用的完整处理流程。</w:t>
      </w:r>
    </w:p>
    <w:p>
      <w:pPr>
        <w:spacing w:before="120" w:after="120" w:line="288" w:lineRule="auto"/>
        <w:ind w:left="0"/>
        <w:jc w:val="left"/>
      </w:pPr>
      <w:r>
        <w:rPr>
          <w:rFonts w:eastAsia="等线" w:ascii="Arial" w:cs="Arial" w:hAnsi="Arial"/>
          <w:sz w:val="22"/>
        </w:rPr>
        <w:t>具体流程可包括：</w:t>
      </w:r>
    </w:p>
    <w:p>
      <w:pPr>
        <w:numPr>
          <w:numId w:val="8"/>
        </w:numPr>
        <w:spacing w:before="120" w:after="120" w:line="288" w:lineRule="auto"/>
        <w:ind w:left="0"/>
        <w:jc w:val="left"/>
      </w:pPr>
      <w:r>
        <w:rPr>
          <w:rFonts w:eastAsia="等线" w:ascii="Arial" w:cs="Arial" w:hAnsi="Arial"/>
          <w:b w:val="true"/>
          <w:sz w:val="22"/>
        </w:rPr>
        <w:t>数据接入与读取</w:t>
      </w:r>
      <w:r>
        <w:rPr>
          <w:rFonts w:eastAsia="等线" w:ascii="Arial" w:cs="Arial" w:hAnsi="Arial"/>
          <w:sz w:val="22"/>
        </w:rPr>
        <w:t xml:space="preserve">：接入相关数据源，并完成原始数据读取。 </w:t>
      </w:r>
    </w:p>
    <w:p>
      <w:pPr>
        <w:numPr>
          <w:numId w:val="9"/>
        </w:numPr>
        <w:spacing w:before="120" w:after="120" w:line="288" w:lineRule="auto"/>
        <w:ind w:left="0"/>
        <w:jc w:val="left"/>
      </w:pPr>
      <w:r>
        <w:rPr>
          <w:rFonts w:eastAsia="等线" w:ascii="Arial" w:cs="Arial" w:hAnsi="Arial"/>
          <w:b w:val="true"/>
          <w:sz w:val="22"/>
        </w:rPr>
        <w:t>数据清洗与标准化</w:t>
      </w:r>
      <w:r>
        <w:rPr>
          <w:rFonts w:eastAsia="等线" w:ascii="Arial" w:cs="Arial" w:hAnsi="Arial"/>
          <w:sz w:val="22"/>
        </w:rPr>
        <w:t xml:space="preserve">：对原始数据进行清洗、格式统一、字段规范化和基础质量校验。 </w:t>
      </w:r>
    </w:p>
    <w:p>
      <w:pPr>
        <w:numPr>
          <w:numId w:val="10"/>
        </w:numPr>
        <w:spacing w:before="120" w:after="120" w:line="288" w:lineRule="auto"/>
        <w:ind w:left="0"/>
        <w:jc w:val="left"/>
      </w:pPr>
      <w:r>
        <w:rPr>
          <w:rFonts w:eastAsia="等线" w:ascii="Arial" w:cs="Arial" w:hAnsi="Arial"/>
          <w:b w:val="true"/>
          <w:sz w:val="22"/>
        </w:rPr>
        <w:t>实体、关系、属性抽取与更新</w:t>
      </w:r>
      <w:r>
        <w:rPr>
          <w:rFonts w:eastAsia="等线" w:ascii="Arial" w:cs="Arial" w:hAnsi="Arial"/>
          <w:sz w:val="22"/>
        </w:rPr>
        <w:t xml:space="preserve">：基于规则、算法，并可结合大模型辅助能力，抽取实体、关系及相关属性信息。 </w:t>
      </w:r>
    </w:p>
    <w:p>
      <w:pPr>
        <w:numPr>
          <w:numId w:val="11"/>
        </w:numPr>
        <w:spacing w:before="120" w:after="120" w:line="288" w:lineRule="auto"/>
        <w:ind w:left="0"/>
        <w:jc w:val="left"/>
      </w:pPr>
      <w:r>
        <w:rPr>
          <w:rFonts w:eastAsia="等线" w:ascii="Arial" w:cs="Arial" w:hAnsi="Arial"/>
          <w:b w:val="true"/>
          <w:sz w:val="22"/>
        </w:rPr>
        <w:t>图谱比对与消歧匹配</w:t>
      </w:r>
      <w:r>
        <w:rPr>
          <w:rFonts w:eastAsia="等线" w:ascii="Arial" w:cs="Arial" w:hAnsi="Arial"/>
          <w:sz w:val="22"/>
        </w:rPr>
        <w:t xml:space="preserve">：将抽取结果与已有图谱数据进行比对，完成实体消歧、关系匹配和属性更新判断。 </w:t>
      </w:r>
    </w:p>
    <w:p>
      <w:pPr>
        <w:numPr>
          <w:numId w:val="12"/>
        </w:numPr>
        <w:spacing w:before="120" w:after="120" w:line="288" w:lineRule="auto"/>
        <w:ind w:left="0"/>
        <w:jc w:val="left"/>
      </w:pPr>
      <w:r>
        <w:rPr>
          <w:rFonts w:eastAsia="等线" w:ascii="Arial" w:cs="Arial" w:hAnsi="Arial"/>
          <w:b w:val="true"/>
          <w:sz w:val="22"/>
        </w:rPr>
        <w:t>置信度判断与人工审核</w:t>
      </w:r>
      <w:r>
        <w:rPr>
          <w:rFonts w:eastAsia="等线" w:ascii="Arial" w:cs="Arial" w:hAnsi="Arial"/>
          <w:sz w:val="22"/>
        </w:rPr>
        <w:t xml:space="preserve">：高置信度结果自动入库，低置信度或冲突数据进入人工审核，人工确认后写入图数据库。 </w:t>
      </w:r>
    </w:p>
    <w:p>
      <w:pPr>
        <w:numPr>
          <w:numId w:val="13"/>
        </w:numPr>
        <w:spacing w:before="120" w:after="120" w:line="288" w:lineRule="auto"/>
        <w:ind w:left="0"/>
        <w:jc w:val="left"/>
      </w:pPr>
      <w:r>
        <w:rPr>
          <w:rFonts w:eastAsia="等线" w:ascii="Arial" w:cs="Arial" w:hAnsi="Arial"/>
          <w:b w:val="true"/>
          <w:sz w:val="22"/>
        </w:rPr>
        <w:t>增量更新与服务调用</w:t>
      </w:r>
      <w:r>
        <w:rPr>
          <w:rFonts w:eastAsia="等线" w:ascii="Arial" w:cs="Arial" w:hAnsi="Arial"/>
          <w:sz w:val="22"/>
        </w:rPr>
        <w:t xml:space="preserve">：新增数据触发图谱增量更新，更新后的图谱继续支撑接口调用、图查询和业务模块展示。 </w:t>
      </w:r>
    </w:p>
    <w:p>
      <w:pPr>
        <w:spacing w:before="120" w:after="120" w:line="288" w:lineRule="auto"/>
        <w:ind w:left="0"/>
        <w:jc w:val="left"/>
      </w:pPr>
      <w:r>
        <w:rPr>
          <w:rFonts w:eastAsia="等线" w:ascii="Arial" w:cs="Arial" w:hAnsi="Arial"/>
          <w:sz w:val="22"/>
        </w:rPr>
        <w:t>该部分是本次调整的核心，需要在方案和原型中重点体现。</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 w:id="4"/>
      <w:r>
        <w:rPr>
          <w:rFonts w:eastAsia="等线" w:ascii="Arial" w:cs="Arial" w:hAnsi="Arial"/>
          <w:b w:val="true"/>
          <w:sz w:val="30"/>
        </w:rPr>
        <w:t>3. 增加实体、关系、属性管理能力</w:t>
      </w:r>
      <w:bookmarkEnd w:id="4"/>
    </w:p>
    <w:p>
      <w:pPr>
        <w:spacing w:before="120" w:after="120" w:line="288" w:lineRule="auto"/>
        <w:ind w:left="0"/>
        <w:jc w:val="left"/>
      </w:pPr>
      <w:r>
        <w:rPr>
          <w:rFonts w:eastAsia="等线" w:ascii="Arial" w:cs="Arial" w:hAnsi="Arial"/>
          <w:sz w:val="22"/>
        </w:rPr>
        <w:t>平台需要具备对知识图谱基础对象的统一管理能力，重点包括实体管理、关系管理和属性管理。交付内容不能只停留在查询接口或结果展示层面，而应能够支撑实体、关系、属性的定义、抽取、审核、入库、更新和查询，形成底层知识图谱数据管理能力。</w:t>
      </w:r>
    </w:p>
    <w:p>
      <w:pPr>
        <w:pStyle w:val="4"/>
        <w:spacing w:before="260" w:after="120" w:line="288" w:lineRule="auto"/>
        <w:ind w:left="0"/>
        <w:jc w:val="left"/>
        <w:outlineLvl w:val="3"/>
      </w:pPr>
      <w:bookmarkStart w:name="heading_5" w:id="5"/>
      <w:r>
        <w:rPr>
          <w:rFonts w:eastAsia="等线" w:ascii="Arial" w:cs="Arial" w:hAnsi="Arial"/>
          <w:b w:val="true"/>
          <w:sz w:val="28"/>
        </w:rPr>
        <w:t>3.1 实体管理</w:t>
      </w:r>
      <w:bookmarkEnd w:id="5"/>
    </w:p>
    <w:p>
      <w:pPr>
        <w:spacing w:before="120" w:after="120" w:line="288" w:lineRule="auto"/>
        <w:ind w:left="0"/>
        <w:jc w:val="left"/>
      </w:pPr>
      <w:r>
        <w:rPr>
          <w:rFonts w:eastAsia="等线" w:ascii="Arial" w:cs="Arial" w:hAnsi="Arial"/>
          <w:sz w:val="22"/>
        </w:rPr>
        <w:t>在实体管理方面，重点要求平台能够从数据中识别和抽取实体，并支持新增实体与已有图谱实体进行比对，解决实体重复、名称不一致、简称或别名等问题。实体新增、编辑、合并、消歧等属于落实实体管理能力的具体操作方式，平台要具备实体建立、实体治理、人工确认和持续更新能力。</w:t>
      </w:r>
    </w:p>
    <w:p>
      <w:pPr>
        <w:pStyle w:val="4"/>
        <w:spacing w:before="260" w:after="120" w:line="288" w:lineRule="auto"/>
        <w:ind w:left="0"/>
        <w:jc w:val="left"/>
        <w:outlineLvl w:val="3"/>
      </w:pPr>
      <w:bookmarkStart w:name="heading_6" w:id="6"/>
      <w:r>
        <w:rPr>
          <w:rFonts w:eastAsia="等线" w:ascii="Arial" w:cs="Arial" w:hAnsi="Arial"/>
          <w:b w:val="true"/>
          <w:sz w:val="28"/>
        </w:rPr>
        <w:t>3.2 关系管理</w:t>
      </w:r>
      <w:bookmarkEnd w:id="6"/>
    </w:p>
    <w:p>
      <w:pPr>
        <w:spacing w:before="120" w:after="120" w:line="288" w:lineRule="auto"/>
        <w:ind w:left="0"/>
        <w:jc w:val="left"/>
      </w:pPr>
      <w:r>
        <w:rPr>
          <w:rFonts w:eastAsia="等线" w:ascii="Arial" w:cs="Arial" w:hAnsi="Arial"/>
          <w:sz w:val="22"/>
        </w:rPr>
        <w:t>在关系管理方面，要求平台具备关系建立和关系管理能力，不能只展示已有关系结果，也不能把 9 个业务模块拆成彼此割裂的独立接口。平台需要能够通过规则、算法或人工审核等方式完成关系抽取、关系匹配、关系验证和关系入库。具体关系类型、关系属性和关系字段，需要在梳理清楚数据之间的关联关系后，结合知识图谱构建统一规范重新设计。</w:t>
      </w:r>
    </w:p>
    <w:p>
      <w:pPr>
        <w:spacing w:before="120" w:after="120" w:line="288" w:lineRule="auto"/>
        <w:ind w:left="0"/>
        <w:jc w:val="left"/>
      </w:pPr>
      <w:r>
        <w:rPr>
          <w:rFonts w:eastAsia="等线" w:ascii="Arial" w:cs="Arial" w:hAnsi="Arial"/>
          <w:sz w:val="22"/>
        </w:rPr>
        <w:t>参考</w:t>
      </w:r>
      <w:hyperlink r:id="rId5">
        <w:r>
          <w:rPr>
            <w:rFonts w:eastAsia="等线" w:ascii="Arial" w:cs="Arial" w:hAnsi="Arial"/>
            <w:color w:val="3370ff"/>
            <w:sz w:val="22"/>
          </w:rPr>
          <w:t>知识图谱构建统一规范</w:t>
        </w:r>
      </w:hyperlink>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具体【关系类型以及关系属性】待梳理清楚【数据之间的关联后】重新设计</w:t>
            </w:r>
          </w:p>
        </w:tc>
      </w:tr>
    </w:tbl>
    <w:p>
      <w:pPr>
        <w:pStyle w:val="4"/>
        <w:spacing w:before="260" w:after="120" w:line="288" w:lineRule="auto"/>
        <w:ind w:left="0"/>
        <w:jc w:val="left"/>
        <w:outlineLvl w:val="3"/>
      </w:pPr>
      <w:bookmarkStart w:name="heading_7" w:id="7"/>
      <w:r>
        <w:rPr>
          <w:rFonts w:eastAsia="等线" w:ascii="Arial" w:cs="Arial" w:hAnsi="Arial"/>
          <w:b w:val="true"/>
          <w:sz w:val="28"/>
        </w:rPr>
        <w:t>3.3 属性管理</w:t>
      </w:r>
      <w:bookmarkEnd w:id="7"/>
    </w:p>
    <w:p>
      <w:pPr>
        <w:spacing w:before="120" w:after="120" w:line="288" w:lineRule="auto"/>
        <w:ind w:left="0"/>
        <w:jc w:val="left"/>
      </w:pPr>
      <w:r>
        <w:rPr>
          <w:rFonts w:eastAsia="等线" w:ascii="Arial" w:cs="Arial" w:hAnsi="Arial"/>
          <w:sz w:val="22"/>
        </w:rPr>
        <w:t>在属性管理方面，重点强调需要明确动态变化属性在图谱中的处理方式，尤其是被引用次数等会随时间变化的属性，不能简单作为一次性静态字段处理。平台需要具备属性抽取、属性更新和新增属性识别能力，新增数据进入后应能够与已有图谱属性进行比对，判断是属性补充、属性更新还是冲突数据。论文数量、被引次数、成果数量、企业经营状态等可作为动态属性的典型示例。</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具体哪些属性属于动态属性、更新方式和审核规则，需要后续结合实际数据和业务规范进一步梳理。</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b w:val="true"/>
          <w:sz w:val="30"/>
        </w:rPr>
        <w:t>4. 增加规则配置与规则管理能力</w:t>
      </w:r>
      <w:bookmarkEnd w:id="8"/>
    </w:p>
    <w:p>
      <w:pPr>
        <w:spacing w:before="120" w:after="120" w:line="288" w:lineRule="auto"/>
        <w:ind w:left="0"/>
        <w:jc w:val="left"/>
      </w:pPr>
      <w:r>
        <w:rPr>
          <w:rFonts w:eastAsia="等线" w:ascii="Arial" w:cs="Arial" w:hAnsi="Arial"/>
          <w:sz w:val="22"/>
        </w:rPr>
        <w:t>知识图谱平台不能仅依靠临时 SQL、零散代码或人工改代码来处理数据。SQL、脚本和算法可以作为底层实现手段，但相关处理逻辑需要封装为平台中的规则配置、任务执行和可追踪流程，支撑实体识别、关系抽取、人工审核和持续更新。</w:t>
      </w:r>
    </w:p>
    <w:p>
      <w:pPr>
        <w:spacing w:before="120" w:after="120" w:line="288" w:lineRule="auto"/>
        <w:ind w:left="0"/>
        <w:jc w:val="left"/>
      </w:pPr>
      <w:r>
        <w:rPr>
          <w:rFonts w:eastAsia="等线" w:ascii="Arial" w:cs="Arial" w:hAnsi="Arial"/>
          <w:sz w:val="22"/>
        </w:rPr>
        <w:t>平台规则能力应重点体现：支持规则配置与维护，支持正则表达式、算法包、指定页面等方式配置抽取规则，支持大模型辅助抽检，支持人工建立、调整和确认关系及匹配规则。</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具体方式需要结合实际数据字段和知识图谱构建统一规范进一步梳理。</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5. 增加任务执行与过程管理能力</w:t>
      </w:r>
      <w:bookmarkEnd w:id="9"/>
    </w:p>
    <w:p>
      <w:pPr>
        <w:spacing w:before="120" w:after="120" w:line="288" w:lineRule="auto"/>
        <w:ind w:left="0"/>
        <w:jc w:val="left"/>
      </w:pPr>
      <w:r>
        <w:rPr>
          <w:rFonts w:eastAsia="等线" w:ascii="Arial" w:cs="Arial" w:hAnsi="Arial"/>
          <w:sz w:val="22"/>
        </w:rPr>
        <w:t>平台需要将知识图谱数据处理过程纳入统一任务管理，不能只在后台通过脚本或临时代码处理。要求平台能够支撑数据读取、清洗、实体关系抽取、属性更新、图谱入库、增量更新、冲突处理和人工审核等关键流程，并能够查看任务执行状态和处理结果。</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具体任务类型和展示字段在后续原型设计中结合实际流程进一步细化。</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 w:id="10"/>
      <w:r>
        <w:rPr>
          <w:rFonts w:eastAsia="等线" w:ascii="Arial" w:cs="Arial" w:hAnsi="Arial"/>
          <w:b w:val="true"/>
          <w:sz w:val="30"/>
        </w:rPr>
        <w:t>6. 增加人工审核与人机协同机制</w:t>
      </w:r>
      <w:bookmarkEnd w:id="10"/>
    </w:p>
    <w:p>
      <w:pPr>
        <w:spacing w:before="120" w:after="120" w:line="288" w:lineRule="auto"/>
        <w:ind w:left="0"/>
        <w:jc w:val="left"/>
      </w:pPr>
      <w:r>
        <w:rPr>
          <w:rFonts w:eastAsia="等线" w:ascii="Arial" w:cs="Arial" w:hAnsi="Arial"/>
          <w:sz w:val="22"/>
        </w:rPr>
        <w:t>知识图谱平台不能完全依赖自动化处理，也不能完全依赖人工处理，需要形成机器处理与人工审核相结合的机制。平台应支持对低置信度数据、冲突数据和抽取失败数据进行人工确认，并将人工确认后的结果回写图谱，支撑后续实体、关系和属性的持续治理。</w:t>
      </w:r>
    </w:p>
    <w:p>
      <w:pPr>
        <w:spacing w:before="120" w:after="120" w:line="288" w:lineRule="auto"/>
        <w:ind w:left="0"/>
        <w:jc w:val="left"/>
      </w:pPr>
      <w:r>
        <w:rPr>
          <w:rFonts w:eastAsia="等线" w:ascii="Arial" w:cs="Arial" w:hAnsi="Arial"/>
          <w:sz w:val="22"/>
        </w:rPr>
        <w:t>其中，‘高置信度数据自动入库、低置信度或冲突数据进入人工审核‘’是会议明确提到的处理思路；‘机器初筛 + 人工审核 + 规则沉淀‘’可以作为对该思路的总结表述。至于人工是否能修改哪些字段、审核结果如何沉淀为规则、是否单独设置人工审核页面或冲突处理页面，可在后续原型设计中进一步细化。</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 w:id="11"/>
      <w:r>
        <w:rPr>
          <w:rFonts w:eastAsia="等线" w:ascii="Arial" w:cs="Arial" w:hAnsi="Arial"/>
          <w:b w:val="true"/>
          <w:sz w:val="30"/>
        </w:rPr>
        <w:t>7. 增加持续更新、增量处理和动态发现能力</w:t>
      </w:r>
      <w:bookmarkEnd w:id="11"/>
    </w:p>
    <w:p>
      <w:pPr>
        <w:spacing w:before="120" w:after="120" w:line="288" w:lineRule="auto"/>
        <w:ind w:left="0"/>
        <w:jc w:val="left"/>
      </w:pPr>
      <w:r>
        <w:rPr>
          <w:rFonts w:eastAsia="等线" w:ascii="Arial" w:cs="Arial" w:hAnsi="Arial"/>
          <w:sz w:val="22"/>
        </w:rPr>
        <w:t>知识图谱平台不能只做一次性数据导入，而应具备持续更新和增量处理能力。新增数据进入系统后，需要与已有图谱数据进行比对，判断是否涉及新增实体、新增关系、属性更新或数据冲突，并根据处理结果进入自动入库或人工审核流程。</w:t>
      </w:r>
    </w:p>
    <w:p>
      <w:pPr>
        <w:spacing w:before="120" w:after="120" w:line="288" w:lineRule="auto"/>
        <w:ind w:left="0"/>
        <w:jc w:val="left"/>
      </w:pPr>
      <w:r>
        <w:rPr>
          <w:rFonts w:eastAsia="等线" w:ascii="Arial" w:cs="Arial" w:hAnsi="Arial"/>
          <w:sz w:val="22"/>
        </w:rPr>
        <w:t>同时，会议强调平台需要具备动态发现能力，能够识别新增实体、新增关系、新增属性以及潜在隐藏关系。具体如何判断新增实体、如何识别新增关系、如何处理属性更新和冲突数据，需要结合后续数据结构、业务规则和图谱构建规范进一步设计。</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 w:id="12"/>
      <w:r>
        <w:rPr>
          <w:rFonts w:eastAsia="等线" w:ascii="Arial" w:cs="Arial" w:hAnsi="Arial"/>
          <w:b w:val="true"/>
          <w:sz w:val="30"/>
        </w:rPr>
        <w:t>8. 调整 9 个业务模块实现方式</w:t>
      </w:r>
      <w:bookmarkEnd w:id="12"/>
    </w:p>
    <w:p>
      <w:pPr>
        <w:spacing w:before="120" w:after="120" w:line="288" w:lineRule="auto"/>
        <w:ind w:left="0"/>
        <w:jc w:val="left"/>
      </w:pPr>
      <w:r>
        <w:rPr>
          <w:rFonts w:eastAsia="等线" w:ascii="Arial" w:cs="Arial" w:hAnsi="Arial"/>
          <w:sz w:val="22"/>
        </w:rPr>
        <w:t>现有 9 个业务模块可以保留，但不应继续设计成 9 套割裂的独立接口。后续应调整为由统一知识图谱平台支撑，9 个业务模块作为平台上层应用，通过统一入口调用底层实体、关系、属性、规则和图查询能力。</w:t>
      </w:r>
    </w:p>
    <w:p>
      <w:pPr>
        <w:spacing w:before="120" w:after="120" w:line="288" w:lineRule="auto"/>
        <w:ind w:left="0"/>
        <w:jc w:val="left"/>
      </w:pPr>
      <w:r>
        <w:rPr>
          <w:rFonts w:eastAsia="等线" w:ascii="Arial" w:cs="Arial" w:hAnsi="Arial"/>
          <w:sz w:val="22"/>
        </w:rPr>
        <w:t>会议中提到可通过下拉选择等方式实现业务模块切换，因此“通过下拉框选择业务模块”可以作为交互方式示例，不宜写成唯一实现方式。更准确的要求是：平台应提供统一的接口调试和图查询能力，业务模块通过参数配置或页面选择方式调用底层平台能力，避免重复建设 9 套独立接口。</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 w:id="13"/>
      <w:r>
        <w:rPr>
          <w:rFonts w:eastAsia="等线" w:ascii="Arial" w:cs="Arial" w:hAnsi="Arial"/>
          <w:b w:val="true"/>
          <w:sz w:val="30"/>
        </w:rPr>
        <w:t>9. 调整前端原型和交互方式</w:t>
      </w:r>
      <w:bookmarkEnd w:id="13"/>
    </w:p>
    <w:p>
      <w:pPr>
        <w:spacing w:before="120" w:after="120" w:line="288" w:lineRule="auto"/>
        <w:ind w:left="0"/>
        <w:jc w:val="left"/>
      </w:pPr>
      <w:r>
        <w:rPr>
          <w:rFonts w:eastAsia="等线" w:ascii="Arial" w:cs="Arial" w:hAnsi="Arial"/>
          <w:sz w:val="22"/>
        </w:rPr>
        <w:t>后续原型不能只展示业务接口返回结果，而应重点体现知识图谱平台的底层处理能力，包括数据处理闭环、规则配置、任务执行、人工审核、冲突处理、增量更新、图查询和接口调用等能力。</w:t>
      </w:r>
    </w:p>
    <w:p>
      <w:pPr>
        <w:spacing w:before="120" w:after="120" w:line="288" w:lineRule="auto"/>
        <w:ind w:left="0"/>
        <w:jc w:val="left"/>
      </w:pPr>
      <w:r>
        <w:rPr>
          <w:rFonts w:eastAsia="等线" w:ascii="Arial" w:cs="Arial" w:hAnsi="Arial"/>
          <w:sz w:val="22"/>
        </w:rPr>
        <w:t>“</w:t>
      </w:r>
      <w:r>
        <w:rPr>
          <w:rFonts w:eastAsia="等线" w:ascii="Arial" w:cs="Arial" w:hAnsi="Arial"/>
          <w:sz w:val="22"/>
        </w:rPr>
        <w:t>图谱管理 任务管理 数据管理</w:t>
      </w:r>
      <w:r>
        <w:rPr>
          <w:rFonts w:eastAsia="等线" w:ascii="Arial" w:cs="Arial" w:hAnsi="Arial"/>
          <w:sz w:val="22"/>
        </w:rPr>
        <w:t>”等页面，可以作为原型设计的参考方向。原型页面可围绕上述平台能力进行组织，具体页面数量和交互形式由后续产品设计统一确定。</w:t>
      </w:r>
    </w:p>
    <w:p>
      <w:pPr>
        <w:spacing w:before="120" w:after="120" w:line="288" w:lineRule="auto"/>
        <w:ind w:left="0"/>
        <w:jc w:val="left"/>
      </w:pPr>
      <w:r>
        <w:rPr>
          <w:rFonts w:eastAsia="等线" w:ascii="Arial" w:cs="Arial" w:hAnsi="Arial"/>
          <w:sz w:val="22"/>
        </w:rPr>
        <w:t>在交互方式上，会议明确指出当前“先全量展示再筛选”的方式不合理，需要优化为先输入条件、再返回查询结果的方式。图谱展示应突出核心节点和关键关系，避免一次性展示过多节点和关系。按实体类型、关系类型、时间范围、数据来源、置信度、审核状态等筛选条件，可以作为后续交互设计的参考筛选项，具体筛选项需结合实际业务和数据字段确定。</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69161">
    <w:lvl>
      <w:start w:val="1"/>
      <w:numFmt w:val="decimal"/>
      <w:suff w:val="tab"/>
      <w:lvlText w:val="%1."/>
      <w:rPr>
        <w:color w:val="3370ff"/>
      </w:rPr>
    </w:lvl>
  </w:abstractNum>
  <w:abstractNum w:abstractNumId="1269162">
    <w:lvl>
      <w:start w:val="2"/>
      <w:numFmt w:val="decimal"/>
      <w:suff w:val="tab"/>
      <w:lvlText w:val="%1."/>
      <w:rPr>
        <w:color w:val="3370ff"/>
      </w:rPr>
    </w:lvl>
  </w:abstractNum>
  <w:abstractNum w:abstractNumId="1269163">
    <w:lvl>
      <w:start w:val="3"/>
      <w:numFmt w:val="decimal"/>
      <w:suff w:val="tab"/>
      <w:lvlText w:val="%1."/>
      <w:rPr>
        <w:color w:val="3370ff"/>
      </w:rPr>
    </w:lvl>
  </w:abstractNum>
  <w:abstractNum w:abstractNumId="1269164">
    <w:lvl>
      <w:start w:val="1"/>
      <w:numFmt w:val="decimal"/>
      <w:suff w:val="tab"/>
      <w:lvlText w:val="%1."/>
      <w:rPr>
        <w:color w:val="3370ff"/>
      </w:rPr>
    </w:lvl>
  </w:abstractNum>
  <w:abstractNum w:abstractNumId="1269165">
    <w:lvl>
      <w:start w:val="2"/>
      <w:numFmt w:val="decimal"/>
      <w:suff w:val="tab"/>
      <w:lvlText w:val="%1."/>
      <w:rPr>
        <w:color w:val="3370ff"/>
      </w:rPr>
    </w:lvl>
  </w:abstractNum>
  <w:abstractNum w:abstractNumId="1269166">
    <w:lvl>
      <w:start w:val="3"/>
      <w:numFmt w:val="decimal"/>
      <w:suff w:val="tab"/>
      <w:lvlText w:val="%1."/>
      <w:rPr>
        <w:color w:val="3370ff"/>
      </w:rPr>
    </w:lvl>
  </w:abstractNum>
  <w:abstractNum w:abstractNumId="1269167">
    <w:lvl>
      <w:start w:val="4"/>
      <w:numFmt w:val="decimal"/>
      <w:suff w:val="tab"/>
      <w:lvlText w:val="%1."/>
      <w:rPr>
        <w:color w:val="3370ff"/>
      </w:rPr>
    </w:lvl>
  </w:abstractNum>
  <w:abstractNum w:abstractNumId="1269168">
    <w:lvl>
      <w:start w:val="1"/>
      <w:numFmt w:val="decimal"/>
      <w:suff w:val="tab"/>
      <w:lvlText w:val="%1."/>
      <w:rPr>
        <w:color w:val="3370ff"/>
      </w:rPr>
    </w:lvl>
  </w:abstractNum>
  <w:abstractNum w:abstractNumId="1269169">
    <w:lvl>
      <w:start w:val="2"/>
      <w:numFmt w:val="decimal"/>
      <w:suff w:val="tab"/>
      <w:lvlText w:val="%1."/>
      <w:rPr>
        <w:color w:val="3370ff"/>
      </w:rPr>
    </w:lvl>
  </w:abstractNum>
  <w:abstractNum w:abstractNumId="1269170">
    <w:lvl>
      <w:start w:val="3"/>
      <w:numFmt w:val="decimal"/>
      <w:suff w:val="tab"/>
      <w:lvlText w:val="%1."/>
      <w:rPr>
        <w:color w:val="3370ff"/>
      </w:rPr>
    </w:lvl>
  </w:abstractNum>
  <w:abstractNum w:abstractNumId="1269171">
    <w:lvl>
      <w:start w:val="4"/>
      <w:numFmt w:val="decimal"/>
      <w:suff w:val="tab"/>
      <w:lvlText w:val="%1."/>
      <w:rPr>
        <w:color w:val="3370ff"/>
      </w:rPr>
    </w:lvl>
  </w:abstractNum>
  <w:abstractNum w:abstractNumId="1269172">
    <w:lvl>
      <w:start w:val="5"/>
      <w:numFmt w:val="decimal"/>
      <w:suff w:val="tab"/>
      <w:lvlText w:val="%1."/>
      <w:rPr>
        <w:color w:val="3370ff"/>
      </w:rPr>
    </w:lvl>
  </w:abstractNum>
  <w:abstractNum w:abstractNumId="1269173">
    <w:lvl>
      <w:start w:val="6"/>
      <w:numFmt w:val="decimal"/>
      <w:suff w:val="tab"/>
      <w:lvlText w:val="%1."/>
      <w:rPr>
        <w:color w:val="3370ff"/>
      </w:rPr>
    </w:lvl>
  </w:abstractNum>
  <w:num w:numId="1">
    <w:abstractNumId w:val="1269161"/>
  </w:num>
  <w:num w:numId="2">
    <w:abstractNumId w:val="1269162"/>
  </w:num>
  <w:num w:numId="3">
    <w:abstractNumId w:val="1269163"/>
  </w:num>
  <w:num w:numId="4">
    <w:abstractNumId w:val="1269164"/>
  </w:num>
  <w:num w:numId="5">
    <w:abstractNumId w:val="1269165"/>
  </w:num>
  <w:num w:numId="6">
    <w:abstractNumId w:val="1269166"/>
  </w:num>
  <w:num w:numId="7">
    <w:abstractNumId w:val="1269167"/>
  </w:num>
  <w:num w:numId="8">
    <w:abstractNumId w:val="1269168"/>
  </w:num>
  <w:num w:numId="9">
    <w:abstractNumId w:val="1269169"/>
  </w:num>
  <w:num w:numId="10">
    <w:abstractNumId w:val="1269170"/>
  </w:num>
  <w:num w:numId="11">
    <w:abstractNumId w:val="1269171"/>
  </w:num>
  <w:num w:numId="12">
    <w:abstractNumId w:val="1269172"/>
  </w:num>
  <w:num w:numId="13">
    <w:abstractNumId w:val="126917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n4b4xvnvbr.feishu.cn/wiki/HwvVwYwSZiHuFdks1sJcLfM4nvh" TargetMode="External" Type="http://schemas.openxmlformats.org/officeDocument/2006/relationships/hyperlink"/><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2026-07-06T11:00:15Z</dcterms:created>
  <dc:creator>Apache POI</dc:creator>
</cp:coreProperties>
</file>