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pacing w:after="200"/>
        <w:jc w:val="center"/>
      </w:pPr>
      <w:r>
        <w:rPr>
          <w:b/>
          <w:bCs/>
          <w:color w:val="1C5A73"/>
          <w:sz w:val="56"/>
          <w:szCs w:val="56"/>
        </w:rPr>
        <w:t xml:space="preserve">Rising Waters</w:t>
      </w:r>
    </w:p>
    <w:p>
      <w:pPr>
        <w:spacing w:after="400"/>
        <w:jc w:val="center"/>
      </w:pPr>
      <w:r>
        <w:rPr>
          <w:color w:val="2F8AA3"/>
          <w:sz w:val="32"/>
          <w:szCs w:val="32"/>
        </w:rPr>
        <w:t xml:space="preserve">A Machine Learning Approach to Flood Prediction</w:t>
      </w:r>
    </w:p>
    <w:p>
      <w:pPr>
        <w:spacing w:after="200"/>
        <w:jc w:val="center"/>
      </w:pPr>
      <w:r>
        <w:rPr>
          <w:b/>
          <w:bCs/>
          <w:sz w:val="40"/>
          <w:szCs w:val="40"/>
        </w:rPr>
        <w:t xml:space="preserve">Technology Stack</w:t>
      </w:r>
    </w:p>
    <w:p>
      <w:pPr>
        <w:spacing w:after="400"/>
        <w:jc w:val="center"/>
      </w:pPr>
      <w:r>
        <w:rPr>
          <w:i/>
          <w:iCs/>
          <w:color w:val="666666"/>
          <w:sz w:val="24"/>
          <w:szCs w:val="24"/>
        </w:rPr>
        <w:t xml:space="preserve">Phase 2 — Requirement Analysis</w:t>
      </w:r>
    </w:p>
    <w:p>
      <w:pPr>
        <w:spacing w:after="100"/>
        <w:jc w:val="center"/>
      </w:pPr>
      <w:r>
        <w:rPr>
          <w:b/>
          <w:bCs/>
          <w:sz w:val="24"/>
          <w:szCs w:val="24"/>
        </w:rPr>
        <w:t xml:space="preserve">Team Members:</w:t>
      </w:r>
    </w:p>
    <w:p>
      <w:pPr>
        <w:spacing w:after="80"/>
        <w:jc w:val="center"/>
      </w:pPr>
      <w:r>
        <w:rPr>
          <w:color w:val="444444"/>
          <w:sz w:val="22"/>
          <w:szCs w:val="22"/>
        </w:rPr>
        <w:t xml:space="preserve">Shaik Rabin Sonu (Team Lead)  |  Undi Venkata Naga Siva  |  Arun Kumar Varikuppala</w:t>
      </w:r>
    </w:p>
    <w:p>
      <w:pPr>
        <w:spacing w:after="400"/>
        <w:jc w:val="center"/>
      </w:pPr>
      <w:r>
        <w:rPr>
          <w:color w:val="444444"/>
          <w:sz w:val="22"/>
          <w:szCs w:val="22"/>
        </w:rPr>
        <w:t xml:space="preserve">Sai Chaitanya Goud Kandimalla  |  Somavarapu Umamaheswar Reddy</w:t>
      </w:r>
    </w:p>
    <w:p>
      <w:pPr>
        <w:jc w:val="center"/>
      </w:pPr>
      <w:r>
        <w:rPr>
          <w:color w:val="888888"/>
          <w:sz w:val="22"/>
          <w:szCs w:val="22"/>
        </w:rPr>
        <w:t xml:space="preserve">SmartBridge Educational Services  |  June–July 2026</w:t>
      </w:r>
    </w:p>
    <w:p>
      <w:r>
        <w:br w:type="page"/>
      </w:r>
    </w:p>
    <w:p>
      <w:pPr>
        <w:pStyle w:val="Heading1"/>
        <w:spacing w:after="200" w:before="400"/>
      </w:pPr>
      <w:r>
        <w:t xml:space="preserve">1. Overview</w:t>
      </w:r>
    </w:p>
    <w:p>
      <w:pPr>
        <w:spacing w:after="120"/>
      </w:pPr>
      <w:r>
        <w:rPr>
          <w:sz w:val="24"/>
          <w:szCs w:val="24"/>
        </w:rPr>
        <w:t xml:space="preserve">This document describes the complete technology stack used in the Rising Waters flood prediction system, covering data science, machine learning, web development, and deployment layers.</w:t>
      </w:r>
    </w:p>
    <w:p>
      <w:pPr>
        <w:pStyle w:val="Heading1"/>
        <w:spacing w:after="200" w:before="400"/>
      </w:pPr>
      <w:r>
        <w:t xml:space="preserve">2.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C5A73" w:color="1C5A73" w:val="clear"/>
          </w:tcPr>
          <w:p>
            <w:r>
              <w:rPr>
                <w:b/>
                <w:bCs/>
                <w:color w:val="FFFFFF"/>
                <w:sz w:val="22"/>
                <w:szCs w:val="22"/>
              </w:rPr>
              <w:t xml:space="preserve">Layer</w:t>
            </w:r>
          </w:p>
        </w:tc>
        <w:tc>
          <w:tcPr>
            <w:tcW w:type="dxa" w:w="2250"/>
            <w:shd w:fill="1C5A73" w:color="1C5A73" w:val="clear"/>
          </w:tcPr>
          <w:p>
            <w:r>
              <w:rPr>
                <w:b/>
                <w:bCs/>
                <w:color w:val="FFFFFF"/>
                <w:sz w:val="22"/>
                <w:szCs w:val="22"/>
              </w:rPr>
              <w:t xml:space="preserve">Technology</w:t>
            </w:r>
          </w:p>
        </w:tc>
        <w:tc>
          <w:tcPr>
            <w:tcW w:type="dxa" w:w="2250"/>
            <w:shd w:fill="1C5A73" w:color="1C5A73" w:val="clear"/>
          </w:tcPr>
          <w:p>
            <w:r>
              <w:rPr>
                <w:b/>
                <w:bCs/>
                <w:color w:val="FFFFFF"/>
                <w:sz w:val="22"/>
                <w:szCs w:val="22"/>
              </w:rPr>
              <w:t xml:space="preserve">Version</w:t>
            </w:r>
          </w:p>
        </w:tc>
        <w:tc>
          <w:tcPr>
            <w:tcW w:type="dxa" w:w="2250"/>
            <w:shd w:fill="1C5A73" w:color="1C5A73" w:val="clear"/>
          </w:tcPr>
          <w:p>
            <w:r>
              <w:rPr>
                <w:b/>
                <w:bCs/>
                <w:color w:val="FFFFFF"/>
                <w:sz w:val="22"/>
                <w:szCs w:val="22"/>
              </w:rPr>
              <w:t xml:space="preserve">Purpose</w:t>
            </w:r>
          </w:p>
        </w:tc>
      </w:tr>
      <w:tr>
        <w:tc>
          <w:tcPr>
            <w:tcW w:type="dxa" w:w="2250"/>
            <w:shd w:fill="EEF6F6" w:color="auto" w:val="clear"/>
          </w:tcPr>
          <w:p>
            <w:r>
              <w:rPr>
                <w:sz w:val="22"/>
                <w:szCs w:val="22"/>
              </w:rPr>
              <w:t xml:space="preserve">Language</w:t>
            </w:r>
          </w:p>
        </w:tc>
        <w:tc>
          <w:tcPr>
            <w:tcW w:type="dxa" w:w="2250"/>
            <w:shd w:fill="EEF6F6" w:color="auto" w:val="clear"/>
          </w:tcPr>
          <w:p>
            <w:r>
              <w:rPr>
                <w:sz w:val="22"/>
                <w:szCs w:val="22"/>
              </w:rPr>
              <w:t xml:space="preserve">Python</w:t>
            </w:r>
          </w:p>
        </w:tc>
        <w:tc>
          <w:tcPr>
            <w:tcW w:type="dxa" w:w="2250"/>
            <w:shd w:fill="EEF6F6" w:color="auto" w:val="clear"/>
          </w:tcPr>
          <w:p>
            <w:r>
              <w:rPr>
                <w:sz w:val="22"/>
                <w:szCs w:val="22"/>
              </w:rPr>
              <w:t xml:space="preserve">3.11+</w:t>
            </w:r>
          </w:p>
        </w:tc>
        <w:tc>
          <w:tcPr>
            <w:tcW w:type="dxa" w:w="2250"/>
            <w:shd w:fill="EEF6F6" w:color="auto" w:val="clear"/>
          </w:tcPr>
          <w:p>
            <w:r>
              <w:rPr>
                <w:sz w:val="22"/>
                <w:szCs w:val="22"/>
              </w:rPr>
              <w:t xml:space="preserve">Core programming language</w:t>
            </w:r>
          </w:p>
        </w:tc>
      </w:tr>
      <w:tr>
        <w:tc>
          <w:tcPr>
            <w:tcW w:type="dxa" w:w="2250"/>
            <w:shd w:fill="FFFFFF" w:color="auto" w:val="clear"/>
          </w:tcPr>
          <w:p>
            <w:r>
              <w:rPr>
                <w:sz w:val="22"/>
                <w:szCs w:val="22"/>
              </w:rPr>
              <w:t xml:space="preserve">Data Manipulation</w:t>
            </w:r>
          </w:p>
        </w:tc>
        <w:tc>
          <w:tcPr>
            <w:tcW w:type="dxa" w:w="2250"/>
            <w:shd w:fill="FFFFFF" w:color="auto" w:val="clear"/>
          </w:tcPr>
          <w:p>
            <w:r>
              <w:rPr>
                <w:sz w:val="22"/>
                <w:szCs w:val="22"/>
              </w:rPr>
              <w:t xml:space="preserve">Pandas</w:t>
            </w:r>
          </w:p>
        </w:tc>
        <w:tc>
          <w:tcPr>
            <w:tcW w:type="dxa" w:w="2250"/>
            <w:shd w:fill="FFFFFF" w:color="auto" w:val="clear"/>
          </w:tcPr>
          <w:p>
            <w:r>
              <w:rPr>
                <w:sz w:val="22"/>
                <w:szCs w:val="22"/>
              </w:rPr>
              <w:t xml:space="preserve">2.x</w:t>
            </w:r>
          </w:p>
        </w:tc>
        <w:tc>
          <w:tcPr>
            <w:tcW w:type="dxa" w:w="2250"/>
            <w:shd w:fill="FFFFFF" w:color="auto" w:val="clear"/>
          </w:tcPr>
          <w:p>
            <w:r>
              <w:rPr>
                <w:sz w:val="22"/>
                <w:szCs w:val="22"/>
              </w:rPr>
              <w:t xml:space="preserve">Dataset loading, cleaning, analysis</w:t>
            </w:r>
          </w:p>
        </w:tc>
      </w:tr>
      <w:tr>
        <w:tc>
          <w:tcPr>
            <w:tcW w:type="dxa" w:w="2250"/>
            <w:shd w:fill="EEF6F6" w:color="auto" w:val="clear"/>
          </w:tcPr>
          <w:p>
            <w:r>
              <w:rPr>
                <w:sz w:val="22"/>
                <w:szCs w:val="22"/>
              </w:rPr>
              <w:t xml:space="preserve">Numerical Computing</w:t>
            </w:r>
          </w:p>
        </w:tc>
        <w:tc>
          <w:tcPr>
            <w:tcW w:type="dxa" w:w="2250"/>
            <w:shd w:fill="EEF6F6" w:color="auto" w:val="clear"/>
          </w:tcPr>
          <w:p>
            <w:r>
              <w:rPr>
                <w:sz w:val="22"/>
                <w:szCs w:val="22"/>
              </w:rPr>
              <w:t xml:space="preserve">NumPy</w:t>
            </w:r>
          </w:p>
        </w:tc>
        <w:tc>
          <w:tcPr>
            <w:tcW w:type="dxa" w:w="2250"/>
            <w:shd w:fill="EEF6F6" w:color="auto" w:val="clear"/>
          </w:tcPr>
          <w:p>
            <w:r>
              <w:rPr>
                <w:sz w:val="22"/>
                <w:szCs w:val="22"/>
              </w:rPr>
              <w:t xml:space="preserve">2.5.0</w:t>
            </w:r>
          </w:p>
        </w:tc>
        <w:tc>
          <w:tcPr>
            <w:tcW w:type="dxa" w:w="2250"/>
            <w:shd w:fill="EEF6F6" w:color="auto" w:val="clear"/>
          </w:tcPr>
          <w:p>
            <w:r>
              <w:rPr>
                <w:sz w:val="22"/>
                <w:szCs w:val="22"/>
              </w:rPr>
              <w:t xml:space="preserve">Array operations, feature engineering</w:t>
            </w:r>
          </w:p>
        </w:tc>
      </w:tr>
      <w:tr>
        <w:tc>
          <w:tcPr>
            <w:tcW w:type="dxa" w:w="2250"/>
            <w:shd w:fill="FFFFFF" w:color="auto" w:val="clear"/>
          </w:tcPr>
          <w:p>
            <w:r>
              <w:rPr>
                <w:sz w:val="22"/>
                <w:szCs w:val="22"/>
              </w:rPr>
              <w:t xml:space="preserve">Visualization</w:t>
            </w:r>
          </w:p>
        </w:tc>
        <w:tc>
          <w:tcPr>
            <w:tcW w:type="dxa" w:w="2250"/>
            <w:shd w:fill="FFFFFF" w:color="auto" w:val="clear"/>
          </w:tcPr>
          <w:p>
            <w:r>
              <w:rPr>
                <w:sz w:val="22"/>
                <w:szCs w:val="22"/>
              </w:rPr>
              <w:t xml:space="preserve">Matplotlib</w:t>
            </w:r>
          </w:p>
        </w:tc>
        <w:tc>
          <w:tcPr>
            <w:tcW w:type="dxa" w:w="2250"/>
            <w:shd w:fill="FFFFFF" w:color="auto" w:val="clear"/>
          </w:tcPr>
          <w:p>
            <w:r>
              <w:rPr>
                <w:sz w:val="22"/>
                <w:szCs w:val="22"/>
              </w:rPr>
              <w:t xml:space="preserve">3.x</w:t>
            </w:r>
          </w:p>
        </w:tc>
        <w:tc>
          <w:tcPr>
            <w:tcW w:type="dxa" w:w="2250"/>
            <w:shd w:fill="FFFFFF" w:color="auto" w:val="clear"/>
          </w:tcPr>
          <w:p>
            <w:r>
              <w:rPr>
                <w:sz w:val="22"/>
                <w:szCs w:val="22"/>
              </w:rPr>
              <w:t xml:space="preserve">Static charts, histograms, boxplots</w:t>
            </w:r>
          </w:p>
        </w:tc>
      </w:tr>
      <w:tr>
        <w:tc>
          <w:tcPr>
            <w:tcW w:type="dxa" w:w="2250"/>
            <w:shd w:fill="EEF6F6" w:color="auto" w:val="clear"/>
          </w:tcPr>
          <w:p>
            <w:r>
              <w:rPr>
                <w:sz w:val="22"/>
                <w:szCs w:val="22"/>
              </w:rPr>
              <w:t xml:space="preserve">Visualization</w:t>
            </w:r>
          </w:p>
        </w:tc>
        <w:tc>
          <w:tcPr>
            <w:tcW w:type="dxa" w:w="2250"/>
            <w:shd w:fill="EEF6F6" w:color="auto" w:val="clear"/>
          </w:tcPr>
          <w:p>
            <w:r>
              <w:rPr>
                <w:sz w:val="22"/>
                <w:szCs w:val="22"/>
              </w:rPr>
              <w:t xml:space="preserve">Seaborn</w:t>
            </w:r>
          </w:p>
        </w:tc>
        <w:tc>
          <w:tcPr>
            <w:tcW w:type="dxa" w:w="2250"/>
            <w:shd w:fill="EEF6F6" w:color="auto" w:val="clear"/>
          </w:tcPr>
          <w:p>
            <w:r>
              <w:rPr>
                <w:sz w:val="22"/>
                <w:szCs w:val="22"/>
              </w:rPr>
              <w:t xml:space="preserve">0.x</w:t>
            </w:r>
          </w:p>
        </w:tc>
        <w:tc>
          <w:tcPr>
            <w:tcW w:type="dxa" w:w="2250"/>
            <w:shd w:fill="EEF6F6" w:color="auto" w:val="clear"/>
          </w:tcPr>
          <w:p>
            <w:r>
              <w:rPr>
                <w:sz w:val="22"/>
                <w:szCs w:val="22"/>
              </w:rPr>
              <w:t xml:space="preserve">Heatmaps, pairplots, statistical plots</w:t>
            </w:r>
          </w:p>
        </w:tc>
      </w:tr>
      <w:tr>
        <w:tc>
          <w:tcPr>
            <w:tcW w:type="dxa" w:w="2250"/>
            <w:shd w:fill="FFFFFF" w:color="auto" w:val="clear"/>
          </w:tcPr>
          <w:p>
            <w:r>
              <w:rPr>
                <w:sz w:val="22"/>
                <w:szCs w:val="22"/>
              </w:rPr>
              <w:t xml:space="preserve">ML Library</w:t>
            </w:r>
          </w:p>
        </w:tc>
        <w:tc>
          <w:tcPr>
            <w:tcW w:type="dxa" w:w="2250"/>
            <w:shd w:fill="FFFFFF" w:color="auto" w:val="clear"/>
          </w:tcPr>
          <w:p>
            <w:r>
              <w:rPr>
                <w:sz w:val="22"/>
                <w:szCs w:val="22"/>
              </w:rPr>
              <w:t xml:space="preserve">Scikit-learn</w:t>
            </w:r>
          </w:p>
        </w:tc>
        <w:tc>
          <w:tcPr>
            <w:tcW w:type="dxa" w:w="2250"/>
            <w:shd w:fill="FFFFFF" w:color="auto" w:val="clear"/>
          </w:tcPr>
          <w:p>
            <w:r>
              <w:rPr>
                <w:sz w:val="22"/>
                <w:szCs w:val="22"/>
              </w:rPr>
              <w:t xml:space="preserve">1.6.1</w:t>
            </w:r>
          </w:p>
        </w:tc>
        <w:tc>
          <w:tcPr>
            <w:tcW w:type="dxa" w:w="2250"/>
            <w:shd w:fill="FFFFFF" w:color="auto" w:val="clear"/>
          </w:tcPr>
          <w:p>
            <w:r>
              <w:rPr>
                <w:sz w:val="22"/>
                <w:szCs w:val="22"/>
              </w:rPr>
              <w:t xml:space="preserve">All models, preprocessing, evaluation</w:t>
            </w:r>
          </w:p>
        </w:tc>
      </w:tr>
      <w:tr>
        <w:tc>
          <w:tcPr>
            <w:tcW w:type="dxa" w:w="2250"/>
            <w:shd w:fill="EEF6F6" w:color="auto" w:val="clear"/>
          </w:tcPr>
          <w:p>
            <w:r>
              <w:rPr>
                <w:sz w:val="22"/>
                <w:szCs w:val="22"/>
              </w:rPr>
              <w:t xml:space="preserve">ML Model</w:t>
            </w:r>
          </w:p>
        </w:tc>
        <w:tc>
          <w:tcPr>
            <w:tcW w:type="dxa" w:w="2250"/>
            <w:shd w:fill="EEF6F6" w:color="auto" w:val="clear"/>
          </w:tcPr>
          <w:p>
            <w:r>
              <w:rPr>
                <w:sz w:val="22"/>
                <w:szCs w:val="22"/>
              </w:rPr>
              <w:t xml:space="preserve">Gradient Boosting</w:t>
            </w:r>
          </w:p>
        </w:tc>
        <w:tc>
          <w:tcPr>
            <w:tcW w:type="dxa" w:w="2250"/>
            <w:shd w:fill="EEF6F6" w:color="auto" w:val="clear"/>
          </w:tcPr>
          <w:p>
            <w:r>
              <w:rPr>
                <w:sz w:val="22"/>
                <w:szCs w:val="22"/>
              </w:rPr>
              <w:t xml:space="preserve">(sklearn)</w:t>
            </w:r>
          </w:p>
        </w:tc>
        <w:tc>
          <w:tcPr>
            <w:tcW w:type="dxa" w:w="2250"/>
            <w:shd w:fill="EEF6F6" w:color="auto" w:val="clear"/>
          </w:tcPr>
          <w:p>
            <w:r>
              <w:rPr>
                <w:sz w:val="22"/>
                <w:szCs w:val="22"/>
              </w:rPr>
              <w:t xml:space="preserve">Final deployment model</w:t>
            </w:r>
          </w:p>
        </w:tc>
      </w:tr>
      <w:tr>
        <w:tc>
          <w:tcPr>
            <w:tcW w:type="dxa" w:w="2250"/>
            <w:shd w:fill="FFFFFF" w:color="auto" w:val="clear"/>
          </w:tcPr>
          <w:p>
            <w:r>
              <w:rPr>
                <w:sz w:val="22"/>
                <w:szCs w:val="22"/>
              </w:rPr>
              <w:t xml:space="preserve">Model Persistence</w:t>
            </w:r>
          </w:p>
        </w:tc>
        <w:tc>
          <w:tcPr>
            <w:tcW w:type="dxa" w:w="2250"/>
            <w:shd w:fill="FFFFFF" w:color="auto" w:val="clear"/>
          </w:tcPr>
          <w:p>
            <w:r>
              <w:rPr>
                <w:sz w:val="22"/>
                <w:szCs w:val="22"/>
              </w:rPr>
              <w:t xml:space="preserve">Joblib</w:t>
            </w:r>
          </w:p>
        </w:tc>
        <w:tc>
          <w:tcPr>
            <w:tcW w:type="dxa" w:w="2250"/>
            <w:shd w:fill="FFFFFF" w:color="auto" w:val="clear"/>
          </w:tcPr>
          <w:p>
            <w:r>
              <w:rPr>
                <w:sz w:val="22"/>
                <w:szCs w:val="22"/>
              </w:rPr>
              <w:t xml:space="preserve">1.5.3</w:t>
            </w:r>
          </w:p>
        </w:tc>
        <w:tc>
          <w:tcPr>
            <w:tcW w:type="dxa" w:w="2250"/>
            <w:shd w:fill="FFFFFF" w:color="auto" w:val="clear"/>
          </w:tcPr>
          <w:p>
            <w:r>
              <w:rPr>
                <w:sz w:val="22"/>
                <w:szCs w:val="22"/>
              </w:rPr>
              <w:t xml:space="preserve">Saving/loading model and scaler</w:t>
            </w:r>
          </w:p>
        </w:tc>
      </w:tr>
      <w:tr>
        <w:tc>
          <w:tcPr>
            <w:tcW w:type="dxa" w:w="2250"/>
            <w:shd w:fill="EEF6F6" w:color="auto" w:val="clear"/>
          </w:tcPr>
          <w:p>
            <w:r>
              <w:rPr>
                <w:sz w:val="22"/>
                <w:szCs w:val="22"/>
              </w:rPr>
              <w:t xml:space="preserve">Notebook Environment</w:t>
            </w:r>
          </w:p>
        </w:tc>
        <w:tc>
          <w:tcPr>
            <w:tcW w:type="dxa" w:w="2250"/>
            <w:shd w:fill="EEF6F6" w:color="auto" w:val="clear"/>
          </w:tcPr>
          <w:p>
            <w:r>
              <w:rPr>
                <w:sz w:val="22"/>
                <w:szCs w:val="22"/>
              </w:rPr>
              <w:t xml:space="preserve">Google Colab</w:t>
            </w:r>
          </w:p>
        </w:tc>
        <w:tc>
          <w:tcPr>
            <w:tcW w:type="dxa" w:w="2250"/>
            <w:shd w:fill="EEF6F6" w:color="auto" w:val="clear"/>
          </w:tcPr>
          <w:p>
            <w:r>
              <w:rPr>
                <w:sz w:val="22"/>
                <w:szCs w:val="22"/>
              </w:rPr>
              <w:t xml:space="preserve">—</w:t>
            </w:r>
          </w:p>
        </w:tc>
        <w:tc>
          <w:tcPr>
            <w:tcW w:type="dxa" w:w="2250"/>
            <w:shd w:fill="EEF6F6" w:color="auto" w:val="clear"/>
          </w:tcPr>
          <w:p>
            <w:r>
              <w:rPr>
                <w:sz w:val="22"/>
                <w:szCs w:val="22"/>
              </w:rPr>
              <w:t xml:space="preserve">Development, training, analysis</w:t>
            </w:r>
          </w:p>
        </w:tc>
      </w:tr>
      <w:tr>
        <w:tc>
          <w:tcPr>
            <w:tcW w:type="dxa" w:w="2250"/>
            <w:shd w:fill="FFFFFF" w:color="auto" w:val="clear"/>
          </w:tcPr>
          <w:p>
            <w:r>
              <w:rPr>
                <w:sz w:val="22"/>
                <w:szCs w:val="22"/>
              </w:rPr>
              <w:t xml:space="preserve">Web Framework</w:t>
            </w:r>
          </w:p>
        </w:tc>
        <w:tc>
          <w:tcPr>
            <w:tcW w:type="dxa" w:w="2250"/>
            <w:shd w:fill="FFFFFF" w:color="auto" w:val="clear"/>
          </w:tcPr>
          <w:p>
            <w:r>
              <w:rPr>
                <w:sz w:val="22"/>
                <w:szCs w:val="22"/>
              </w:rPr>
              <w:t xml:space="preserve">Flask</w:t>
            </w:r>
          </w:p>
        </w:tc>
        <w:tc>
          <w:tcPr>
            <w:tcW w:type="dxa" w:w="2250"/>
            <w:shd w:fill="FFFFFF" w:color="auto" w:val="clear"/>
          </w:tcPr>
          <w:p>
            <w:r>
              <w:rPr>
                <w:sz w:val="22"/>
                <w:szCs w:val="22"/>
              </w:rPr>
              <w:t xml:space="preserve">3.1.3</w:t>
            </w:r>
          </w:p>
        </w:tc>
        <w:tc>
          <w:tcPr>
            <w:tcW w:type="dxa" w:w="2250"/>
            <w:shd w:fill="FFFFFF" w:color="auto" w:val="clear"/>
          </w:tcPr>
          <w:p>
            <w:r>
              <w:rPr>
                <w:sz w:val="22"/>
                <w:szCs w:val="22"/>
              </w:rPr>
              <w:t xml:space="preserve">Web application server</w:t>
            </w:r>
          </w:p>
        </w:tc>
      </w:tr>
      <w:tr>
        <w:tc>
          <w:tcPr>
            <w:tcW w:type="dxa" w:w="2250"/>
            <w:shd w:fill="EEF6F6" w:color="auto" w:val="clear"/>
          </w:tcPr>
          <w:p>
            <w:r>
              <w:rPr>
                <w:sz w:val="22"/>
                <w:szCs w:val="22"/>
              </w:rPr>
              <w:t xml:space="preserve">Production Server</w:t>
            </w:r>
          </w:p>
        </w:tc>
        <w:tc>
          <w:tcPr>
            <w:tcW w:type="dxa" w:w="2250"/>
            <w:shd w:fill="EEF6F6" w:color="auto" w:val="clear"/>
          </w:tcPr>
          <w:p>
            <w:r>
              <w:rPr>
                <w:sz w:val="22"/>
                <w:szCs w:val="22"/>
              </w:rPr>
              <w:t xml:space="preserve">Gunicorn</w:t>
            </w:r>
          </w:p>
        </w:tc>
        <w:tc>
          <w:tcPr>
            <w:tcW w:type="dxa" w:w="2250"/>
            <w:shd w:fill="EEF6F6" w:color="auto" w:val="clear"/>
          </w:tcPr>
          <w:p>
            <w:r>
              <w:rPr>
                <w:sz w:val="22"/>
                <w:szCs w:val="22"/>
              </w:rPr>
              <w:t xml:space="preserve">23.0.0</w:t>
            </w:r>
          </w:p>
        </w:tc>
        <w:tc>
          <w:tcPr>
            <w:tcW w:type="dxa" w:w="2250"/>
            <w:shd w:fill="EEF6F6" w:color="auto" w:val="clear"/>
          </w:tcPr>
          <w:p>
            <w:r>
              <w:rPr>
                <w:sz w:val="22"/>
                <w:szCs w:val="22"/>
              </w:rPr>
              <w:t xml:space="preserve">WSGI HTTP server for deployment</w:t>
            </w:r>
          </w:p>
        </w:tc>
      </w:tr>
      <w:tr>
        <w:tc>
          <w:tcPr>
            <w:tcW w:type="dxa" w:w="2250"/>
            <w:shd w:fill="FFFFFF" w:color="auto" w:val="clear"/>
          </w:tcPr>
          <w:p>
            <w:r>
              <w:rPr>
                <w:sz w:val="22"/>
                <w:szCs w:val="22"/>
              </w:rPr>
              <w:t xml:space="preserve">Frontend</w:t>
            </w:r>
          </w:p>
        </w:tc>
        <w:tc>
          <w:tcPr>
            <w:tcW w:type="dxa" w:w="2250"/>
            <w:shd w:fill="FFFFFF" w:color="auto" w:val="clear"/>
          </w:tcPr>
          <w:p>
            <w:r>
              <w:rPr>
                <w:sz w:val="22"/>
                <w:szCs w:val="22"/>
              </w:rPr>
              <w:t xml:space="preserve">HTML5 + CSS3</w:t>
            </w:r>
          </w:p>
        </w:tc>
        <w:tc>
          <w:tcPr>
            <w:tcW w:type="dxa" w:w="2250"/>
            <w:shd w:fill="FFFFFF" w:color="auto" w:val="clear"/>
          </w:tcPr>
          <w:p>
            <w:r>
              <w:rPr>
                <w:sz w:val="22"/>
                <w:szCs w:val="22"/>
              </w:rPr>
              <w:t xml:space="preserve">—</w:t>
            </w:r>
          </w:p>
        </w:tc>
        <w:tc>
          <w:tcPr>
            <w:tcW w:type="dxa" w:w="2250"/>
            <w:shd w:fill="FFFFFF" w:color="auto" w:val="clear"/>
          </w:tcPr>
          <w:p>
            <w:r>
              <w:rPr>
                <w:sz w:val="22"/>
                <w:szCs w:val="22"/>
              </w:rPr>
              <w:t xml:space="preserve">User interface templates</w:t>
            </w:r>
          </w:p>
        </w:tc>
      </w:tr>
      <w:tr>
        <w:tc>
          <w:tcPr>
            <w:tcW w:type="dxa" w:w="2250"/>
            <w:shd w:fill="EEF6F6" w:color="auto" w:val="clear"/>
          </w:tcPr>
          <w:p>
            <w:r>
              <w:rPr>
                <w:sz w:val="22"/>
                <w:szCs w:val="22"/>
              </w:rPr>
              <w:t xml:space="preserve">Version Control</w:t>
            </w:r>
          </w:p>
        </w:tc>
        <w:tc>
          <w:tcPr>
            <w:tcW w:type="dxa" w:w="2250"/>
            <w:shd w:fill="EEF6F6" w:color="auto" w:val="clear"/>
          </w:tcPr>
          <w:p>
            <w:r>
              <w:rPr>
                <w:sz w:val="22"/>
                <w:szCs w:val="22"/>
              </w:rPr>
              <w:t xml:space="preserve">Git + GitHub</w:t>
            </w:r>
          </w:p>
        </w:tc>
        <w:tc>
          <w:tcPr>
            <w:tcW w:type="dxa" w:w="2250"/>
            <w:shd w:fill="EEF6F6" w:color="auto" w:val="clear"/>
          </w:tcPr>
          <w:p>
            <w:r>
              <w:rPr>
                <w:sz w:val="22"/>
                <w:szCs w:val="22"/>
              </w:rPr>
              <w:t xml:space="preserve">—</w:t>
            </w:r>
          </w:p>
        </w:tc>
        <w:tc>
          <w:tcPr>
            <w:tcW w:type="dxa" w:w="2250"/>
            <w:shd w:fill="EEF6F6" w:color="auto" w:val="clear"/>
          </w:tcPr>
          <w:p>
            <w:r>
              <w:rPr>
                <w:sz w:val="22"/>
                <w:szCs w:val="22"/>
              </w:rPr>
              <w:t xml:space="preserve">Source code management</w:t>
            </w:r>
          </w:p>
        </w:tc>
      </w:tr>
      <w:tr>
        <w:tc>
          <w:tcPr>
            <w:tcW w:type="dxa" w:w="2250"/>
            <w:shd w:fill="FFFFFF" w:color="auto" w:val="clear"/>
          </w:tcPr>
          <w:p>
            <w:r>
              <w:rPr>
                <w:sz w:val="22"/>
                <w:szCs w:val="22"/>
              </w:rPr>
              <w:t xml:space="preserve">Deployment</w:t>
            </w:r>
          </w:p>
        </w:tc>
        <w:tc>
          <w:tcPr>
            <w:tcW w:type="dxa" w:w="2250"/>
            <w:shd w:fill="FFFFFF" w:color="auto" w:val="clear"/>
          </w:tcPr>
          <w:p>
            <w:r>
              <w:rPr>
                <w:sz w:val="22"/>
                <w:szCs w:val="22"/>
              </w:rPr>
              <w:t xml:space="preserve">Render</w:t>
            </w:r>
          </w:p>
        </w:tc>
        <w:tc>
          <w:tcPr>
            <w:tcW w:type="dxa" w:w="2250"/>
            <w:shd w:fill="FFFFFF" w:color="auto" w:val="clear"/>
          </w:tcPr>
          <w:p>
            <w:r>
              <w:rPr>
                <w:sz w:val="22"/>
                <w:szCs w:val="22"/>
              </w:rPr>
              <w:t xml:space="preserve">Free tier</w:t>
            </w:r>
          </w:p>
        </w:tc>
        <w:tc>
          <w:tcPr>
            <w:tcW w:type="dxa" w:w="2250"/>
            <w:shd w:fill="FFFFFF" w:color="auto" w:val="clear"/>
          </w:tcPr>
          <w:p>
            <w:r>
              <w:rPr>
                <w:sz w:val="22"/>
                <w:szCs w:val="22"/>
              </w:rPr>
              <w:t xml:space="preserve">Cloud hosting platform</w:t>
            </w:r>
          </w:p>
        </w:tc>
      </w:tr>
      <w:tr>
        <w:tc>
          <w:tcPr>
            <w:tcW w:type="dxa" w:w="2250"/>
            <w:shd w:fill="EEF6F6" w:color="auto" w:val="clear"/>
          </w:tcPr>
          <w:p>
            <w:r>
              <w:rPr>
                <w:sz w:val="22"/>
                <w:szCs w:val="22"/>
              </w:rPr>
              <w:t xml:space="preserve">Dataset Source</w:t>
            </w:r>
          </w:p>
        </w:tc>
        <w:tc>
          <w:tcPr>
            <w:tcW w:type="dxa" w:w="2250"/>
            <w:shd w:fill="EEF6F6" w:color="auto" w:val="clear"/>
          </w:tcPr>
          <w:p>
            <w:r>
              <w:rPr>
                <w:sz w:val="22"/>
                <w:szCs w:val="22"/>
              </w:rPr>
              <w:t xml:space="preserve">Kaggle</w:t>
            </w:r>
          </w:p>
        </w:tc>
        <w:tc>
          <w:tcPr>
            <w:tcW w:type="dxa" w:w="2250"/>
            <w:shd w:fill="EEF6F6" w:color="auto" w:val="clear"/>
          </w:tcPr>
          <w:p>
            <w:r>
              <w:rPr>
                <w:sz w:val="22"/>
                <w:szCs w:val="22"/>
              </w:rPr>
              <w:t xml:space="preserve">—</w:t>
            </w:r>
          </w:p>
        </w:tc>
        <w:tc>
          <w:tcPr>
            <w:tcW w:type="dxa" w:w="2250"/>
            <w:shd w:fill="EEF6F6" w:color="auto" w:val="clear"/>
          </w:tcPr>
          <w:p>
            <w:r>
              <w:rPr>
                <w:sz w:val="22"/>
                <w:szCs w:val="22"/>
              </w:rPr>
              <w:t xml:space="preserve">Rainfall dataset (115 records)</w:t>
            </w:r>
          </w:p>
        </w:tc>
      </w:tr>
    </w:tbl>
    <w:p>
      <w:pPr>
        <w:spacing w:after="200"/>
      </w:pPr>
    </w:p>
    <w:p>
      <w:pPr>
        <w:pStyle w:val="Heading1"/>
        <w:spacing w:after="200" w:before="400"/>
      </w:pPr>
      <w:r>
        <w:t xml:space="preserve">3. Justification of Key Choices</w:t>
      </w:r>
    </w:p>
    <w:p>
      <w:pPr>
        <w:pStyle w:val="Heading2"/>
        <w:spacing w:after="150" w:before="300"/>
      </w:pPr>
      <w:r>
        <w:t xml:space="preserve">3.1 Scikit-learn over PyTorch/TensorFlow</w:t>
      </w:r>
    </w:p>
    <w:p>
      <w:pPr>
        <w:spacing w:after="120"/>
      </w:pPr>
      <w:r>
        <w:rPr>
          <w:sz w:val="24"/>
          <w:szCs w:val="24"/>
        </w:rPr>
        <w:t xml:space="preserve">The dataset contains only 115 records — far too small for deep learning to be beneficial. Scikit-learn's classical ML algorithms are well-suited to small tabular datasets, offer interpretable outputs, and have minimal computational overhead.</w:t>
      </w:r>
    </w:p>
    <w:p>
      <w:pPr>
        <w:pStyle w:val="Heading2"/>
        <w:spacing w:after="150" w:before="300"/>
      </w:pPr>
      <w:r>
        <w:t xml:space="preserve">3.2 Gradient Boosting as final model</w:t>
      </w:r>
    </w:p>
    <w:p>
      <w:pPr>
        <w:spacing w:after="120"/>
      </w:pPr>
      <w:r>
        <w:rPr>
          <w:sz w:val="24"/>
          <w:szCs w:val="24"/>
        </w:rPr>
        <w:t xml:space="preserve">Although Decision Tree, Random Forest, and Gradient Boosting all achieved 95.65% accuracy on the test set, Gradient Boosting was selected for deployment due to its stronger theoretical generalization guarantees (ensemble of weak learners that iteratively corrects errors) and lower overfitting risk compared to a single Decision Tree.</w:t>
      </w:r>
    </w:p>
    <w:p>
      <w:pPr>
        <w:pStyle w:val="Heading2"/>
        <w:spacing w:after="150" w:before="300"/>
      </w:pPr>
      <w:r>
        <w:t xml:space="preserve">3.3 Flask over Django</w:t>
      </w:r>
    </w:p>
    <w:p>
      <w:pPr>
        <w:spacing w:after="120"/>
      </w:pPr>
      <w:r>
        <w:rPr>
          <w:sz w:val="24"/>
          <w:szCs w:val="24"/>
        </w:rPr>
        <w:t xml:space="preserve">Flask's lightweight, minimalist design is appropriate for a single-purpose prediction API with a small HTML frontend. Django's full-featured ORM, admin interface, and application structure would add unnecessary complexity for this scope.</w:t>
      </w:r>
    </w:p>
    <w:p>
      <w:pPr>
        <w:pStyle w:val="Heading2"/>
        <w:spacing w:after="150" w:before="300"/>
      </w:pPr>
      <w:r>
        <w:t xml:space="preserve">3.4 Render over IBM Cloud</w:t>
      </w:r>
    </w:p>
    <w:p>
      <w:pPr>
        <w:spacing w:after="120"/>
      </w:pPr>
      <w:r>
        <w:rPr>
          <w:sz w:val="24"/>
          <w:szCs w:val="24"/>
        </w:rPr>
        <w:t xml:space="preserve">Render's free tier requires no credit card, supports GitHub auto-deploy, and correctly serves Python/Flask applications via Gunicorn with minimal configuration. IBM Cloud's free tier required billing information that was not accessible during this project phase.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2026-07-06T08:06:30.221Z</dcterms:created>
  <dcterms:modified xsi:type="dcterms:W3CDTF">2026-07-06T08:06:30.221Z</dcterms:modified>
</cp:coreProperties>
</file>

<file path=docProps/custom.xml><?xml version="1.0" encoding="utf-8"?>
<Properties xmlns="http://schemas.openxmlformats.org/officeDocument/2006/custom-properties" xmlns:vt="http://schemas.openxmlformats.org/officeDocument/2006/docPropsVTypes"/>
</file>