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4"/>
          <w:szCs w:val="24"/>
        </w:rPr>
        <w:t xml:space="preserve"/>
      </w:r>
    </w:p>
    <w:p>
      <w:pPr>
        <w:spacing w:after="200"/>
        <w:jc w:val="center"/>
      </w:pPr>
      <w:r>
        <w:rPr>
          <w:b/>
          <w:bCs/>
          <w:color w:val="1C5A73"/>
          <w:sz w:val="56"/>
          <w:szCs w:val="56"/>
        </w:rPr>
        <w:t xml:space="preserve">Rising Waters</w:t>
      </w:r>
    </w:p>
    <w:p>
      <w:pPr>
        <w:spacing w:after="400"/>
        <w:jc w:val="center"/>
      </w:pPr>
      <w:r>
        <w:rPr>
          <w:color w:val="2F8AA3"/>
          <w:sz w:val="32"/>
          <w:szCs w:val="32"/>
        </w:rPr>
        <w:t xml:space="preserve">A Machine Learning Approach to Flood Prediction</w:t>
      </w:r>
    </w:p>
    <w:p>
      <w:pPr>
        <w:spacing w:after="200"/>
        <w:jc w:val="center"/>
      </w:pPr>
      <w:r>
        <w:rPr>
          <w:b/>
          <w:bCs/>
          <w:sz w:val="40"/>
          <w:szCs w:val="40"/>
        </w:rPr>
        <w:t xml:space="preserve">Problem-Solution Fit</w:t>
      </w:r>
    </w:p>
    <w:p>
      <w:pPr>
        <w:spacing w:after="400"/>
        <w:jc w:val="center"/>
      </w:pPr>
      <w:r>
        <w:rPr>
          <w:i/>
          <w:iCs/>
          <w:color w:val="666666"/>
          <w:sz w:val="24"/>
          <w:szCs w:val="24"/>
        </w:rPr>
        <w:t xml:space="preserve">Phase 3 — Project Design</w:t>
      </w:r>
    </w:p>
    <w:p>
      <w:pPr>
        <w:spacing w:after="100"/>
        <w:jc w:val="center"/>
      </w:pPr>
      <w:r>
        <w:rPr>
          <w:b/>
          <w:bCs/>
          <w:sz w:val="24"/>
          <w:szCs w:val="24"/>
        </w:rPr>
        <w:t xml:space="preserve">Team Members:</w:t>
      </w:r>
    </w:p>
    <w:p>
      <w:pPr>
        <w:spacing w:after="80"/>
        <w:jc w:val="center"/>
      </w:pPr>
      <w:r>
        <w:rPr>
          <w:color w:val="444444"/>
          <w:sz w:val="22"/>
          <w:szCs w:val="22"/>
        </w:rPr>
        <w:t xml:space="preserve">Shaik Rabin Sonu (Team Lead)  |  Undi Venkata Naga Siva  |  Arun Kumar Varikuppala</w:t>
      </w:r>
    </w:p>
    <w:p>
      <w:pPr>
        <w:spacing w:after="400"/>
        <w:jc w:val="center"/>
      </w:pPr>
      <w:r>
        <w:rPr>
          <w:color w:val="444444"/>
          <w:sz w:val="22"/>
          <w:szCs w:val="22"/>
        </w:rPr>
        <w:t xml:space="preserve">Sai Chaitanya Goud Kandimalla  |  Somavarapu Umamaheswar Reddy</w:t>
      </w:r>
    </w:p>
    <w:p>
      <w:pPr>
        <w:jc w:val="center"/>
      </w:pPr>
      <w:r>
        <w:rPr>
          <w:color w:val="888888"/>
          <w:sz w:val="22"/>
          <w:szCs w:val="22"/>
        </w:rPr>
        <w:t xml:space="preserve">SmartBridge Educational Services  |  June–July 2026</w:t>
      </w:r>
    </w:p>
    <w:p>
      <w:r>
        <w:br w:type="page"/>
      </w:r>
    </w:p>
    <w:p>
      <w:pPr>
        <w:pStyle w:val="Heading1"/>
        <w:spacing w:after="200" w:before="400"/>
      </w:pPr>
      <w:r>
        <w:t xml:space="preserve">1. The Problem (Recap)</w:t>
      </w:r>
    </w:p>
    <w:p>
      <w:pPr>
        <w:spacing w:after="120"/>
      </w:pPr>
      <w:r>
        <w:rPr>
          <w:sz w:val="24"/>
          <w:szCs w:val="24"/>
        </w:rPr>
        <w:t xml:space="preserve">Flood-prone communities lack timely, accurate, and accessible early-warning systems. Conventional forecasting methods are either too slow, too complex for local authorities, or insufficiently localized. The result is inadequate response time before flood events, leading to preventable loss of life and property.</w:t>
      </w:r>
    </w:p>
    <w:p>
      <w:pPr>
        <w:pStyle w:val="Heading1"/>
        <w:spacing w:after="200" w:before="400"/>
      </w:pPr>
      <w:r>
        <w:t xml:space="preserve">2. The Solution</w:t>
      </w:r>
    </w:p>
    <w:p>
      <w:pPr>
        <w:spacing w:after="120"/>
      </w:pPr>
      <w:r>
        <w:rPr>
          <w:sz w:val="24"/>
          <w:szCs w:val="24"/>
        </w:rPr>
        <w:t xml:space="preserve">Rising Waters addresses this gap through a machine learning-powered web application that:</w:t>
      </w:r>
    </w:p>
    <w:p>
      <w:pPr>
        <w:pStyle w:val="ListParagraph"/>
        <w:numPr>
          <w:ilvl w:val="0"/>
          <w:numId w:val="1"/>
        </w:numPr>
        <w:spacing w:after="80"/>
      </w:pPr>
      <w:r>
        <w:rPr>
          <w:sz w:val="24"/>
          <w:szCs w:val="24"/>
        </w:rPr>
        <w:t xml:space="preserve">Accepts simple weather readings as input (no specialized equipment needed)</w:t>
      </w:r>
    </w:p>
    <w:p>
      <w:pPr>
        <w:pStyle w:val="ListParagraph"/>
        <w:numPr>
          <w:ilvl w:val="0"/>
          <w:numId w:val="1"/>
        </w:numPr>
        <w:spacing w:after="80"/>
      </w:pPr>
      <w:r>
        <w:rPr>
          <w:sz w:val="24"/>
          <w:szCs w:val="24"/>
        </w:rPr>
        <w:t xml:space="preserve">Processes them through a trained Gradient Boosting classifier in under 2 seconds</w:t>
      </w:r>
    </w:p>
    <w:p>
      <w:pPr>
        <w:pStyle w:val="ListParagraph"/>
        <w:numPr>
          <w:ilvl w:val="0"/>
          <w:numId w:val="1"/>
        </w:numPr>
        <w:spacing w:after="80"/>
      </w:pPr>
      <w:r>
        <w:rPr>
          <w:sz w:val="24"/>
          <w:szCs w:val="24"/>
        </w:rPr>
        <w:t xml:space="preserve">Returns a clear, binary flood risk verdict accessible to non-technical users</w:t>
      </w:r>
    </w:p>
    <w:p>
      <w:pPr>
        <w:pStyle w:val="ListParagraph"/>
        <w:numPr>
          <w:ilvl w:val="0"/>
          <w:numId w:val="1"/>
        </w:numPr>
        <w:spacing w:after="80"/>
      </w:pPr>
      <w:r>
        <w:rPr>
          <w:sz w:val="24"/>
          <w:szCs w:val="24"/>
        </w:rPr>
        <w:t xml:space="preserve">Runs in any browser with no installation or login required</w:t>
      </w:r>
    </w:p>
    <w:p>
      <w:pPr>
        <w:pStyle w:val="Heading1"/>
        <w:spacing w:after="200" w:before="400"/>
      </w:pPr>
      <w:r>
        <w:t xml:space="preserve">3. Problem-Solution Fit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C5A73" w:color="1C5A73" w:val="clear"/>
          </w:tcPr>
          <w:p>
            <w:r>
              <w:rPr>
                <w:b/>
                <w:bCs/>
                <w:color w:val="FFFFFF"/>
                <w:sz w:val="22"/>
                <w:szCs w:val="22"/>
              </w:rPr>
              <w:t xml:space="preserve">Problem</w:t>
            </w:r>
          </w:p>
        </w:tc>
        <w:tc>
          <w:tcPr>
            <w:tcW w:type="dxa" w:w="4500"/>
            <w:shd w:fill="1C5A73" w:color="1C5A73" w:val="clear"/>
          </w:tcPr>
          <w:p>
            <w:r>
              <w:rPr>
                <w:b/>
                <w:bCs/>
                <w:color w:val="FFFFFF"/>
                <w:sz w:val="22"/>
                <w:szCs w:val="22"/>
              </w:rPr>
              <w:t xml:space="preserve">How Rising Waters Addresses It</w:t>
            </w:r>
          </w:p>
        </w:tc>
      </w:tr>
      <w:tr>
        <w:tc>
          <w:tcPr>
            <w:tcW w:type="dxa" w:w="4500"/>
            <w:shd w:fill="EEF6F6" w:color="auto" w:val="clear"/>
          </w:tcPr>
          <w:p>
            <w:r>
              <w:rPr>
                <w:sz w:val="22"/>
                <w:szCs w:val="22"/>
              </w:rPr>
              <w:t xml:space="preserve">No timely early-warning system</w:t>
            </w:r>
          </w:p>
        </w:tc>
        <w:tc>
          <w:tcPr>
            <w:tcW w:type="dxa" w:w="4500"/>
            <w:shd w:fill="EEF6F6" w:color="auto" w:val="clear"/>
          </w:tcPr>
          <w:p>
            <w:r>
              <w:rPr>
                <w:sz w:val="22"/>
                <w:szCs w:val="22"/>
              </w:rPr>
              <w:t xml:space="preserve">Instant prediction from current weather readings</w:t>
            </w:r>
          </w:p>
        </w:tc>
      </w:tr>
      <w:tr>
        <w:tc>
          <w:tcPr>
            <w:tcW w:type="dxa" w:w="4500"/>
            <w:shd w:fill="FFFFFF" w:color="auto" w:val="clear"/>
          </w:tcPr>
          <w:p>
            <w:r>
              <w:rPr>
                <w:sz w:val="22"/>
                <w:szCs w:val="22"/>
              </w:rPr>
              <w:t xml:space="preserve">Complex forecasting tools</w:t>
            </w:r>
          </w:p>
        </w:tc>
        <w:tc>
          <w:tcPr>
            <w:tcW w:type="dxa" w:w="4500"/>
            <w:shd w:fill="FFFFFF" w:color="auto" w:val="clear"/>
          </w:tcPr>
          <w:p>
            <w:r>
              <w:rPr>
                <w:sz w:val="22"/>
                <w:szCs w:val="22"/>
              </w:rPr>
              <w:t xml:space="preserve">Simple 10-field form, binary verdict output</w:t>
            </w:r>
          </w:p>
        </w:tc>
      </w:tr>
      <w:tr>
        <w:tc>
          <w:tcPr>
            <w:tcW w:type="dxa" w:w="4500"/>
            <w:shd w:fill="EEF6F6" w:color="auto" w:val="clear"/>
          </w:tcPr>
          <w:p>
            <w:r>
              <w:rPr>
                <w:sz w:val="22"/>
                <w:szCs w:val="22"/>
              </w:rPr>
              <w:t xml:space="preserve">Inaccessible to local authorities</w:t>
            </w:r>
          </w:p>
        </w:tc>
        <w:tc>
          <w:tcPr>
            <w:tcW w:type="dxa" w:w="4500"/>
            <w:shd w:fill="EEF6F6" w:color="auto" w:val="clear"/>
          </w:tcPr>
          <w:p>
            <w:r>
              <w:rPr>
                <w:sz w:val="22"/>
                <w:szCs w:val="22"/>
              </w:rPr>
              <w:t xml:space="preserve">Browser-based, no install, public URL</w:t>
            </w:r>
          </w:p>
        </w:tc>
      </w:tr>
      <w:tr>
        <w:tc>
          <w:tcPr>
            <w:tcW w:type="dxa" w:w="4500"/>
            <w:shd w:fill="FFFFFF" w:color="auto" w:val="clear"/>
          </w:tcPr>
          <w:p>
            <w:r>
              <w:rPr>
                <w:sz w:val="22"/>
                <w:szCs w:val="22"/>
              </w:rPr>
              <w:t xml:space="preserve">Single-factor prediction</w:t>
            </w:r>
          </w:p>
        </w:tc>
        <w:tc>
          <w:tcPr>
            <w:tcW w:type="dxa" w:w="4500"/>
            <w:shd w:fill="FFFFFF" w:color="auto" w:val="clear"/>
          </w:tcPr>
          <w:p>
            <w:r>
              <w:rPr>
                <w:sz w:val="22"/>
                <w:szCs w:val="22"/>
              </w:rPr>
              <w:t xml:space="preserve">Multi-variable model (10 meteorological features)</w:t>
            </w:r>
          </w:p>
        </w:tc>
      </w:tr>
      <w:tr>
        <w:tc>
          <w:tcPr>
            <w:tcW w:type="dxa" w:w="4500"/>
            <w:shd w:fill="EEF6F6" w:color="auto" w:val="clear"/>
          </w:tcPr>
          <w:p>
            <w:r>
              <w:rPr>
                <w:sz w:val="22"/>
                <w:szCs w:val="22"/>
              </w:rPr>
              <w:t xml:space="preserve">No historical validation</w:t>
            </w:r>
          </w:p>
        </w:tc>
        <w:tc>
          <w:tcPr>
            <w:tcW w:type="dxa" w:w="4500"/>
            <w:shd w:fill="EEF6F6" w:color="auto" w:val="clear"/>
          </w:tcPr>
          <w:p>
            <w:r>
              <w:rPr>
                <w:sz w:val="22"/>
                <w:szCs w:val="22"/>
              </w:rPr>
              <w:t xml:space="preserve">Model trained and validated on 115 real flood records</w:t>
            </w:r>
          </w:p>
        </w:tc>
      </w:tr>
      <w:tr>
        <w:tc>
          <w:tcPr>
            <w:tcW w:type="dxa" w:w="4500"/>
            <w:shd w:fill="FFFFFF" w:color="auto" w:val="clear"/>
          </w:tcPr>
          <w:p>
            <w:r>
              <w:rPr>
                <w:sz w:val="22"/>
                <w:szCs w:val="22"/>
              </w:rPr>
              <w:t xml:space="preserve">Not scalable beyond one location</w:t>
            </w:r>
          </w:p>
        </w:tc>
        <w:tc>
          <w:tcPr>
            <w:tcW w:type="dxa" w:w="4500"/>
            <w:shd w:fill="FFFFFF" w:color="auto" w:val="clear"/>
          </w:tcPr>
          <w:p>
            <w:r>
              <w:rPr>
                <w:sz w:val="22"/>
                <w:szCs w:val="22"/>
              </w:rPr>
              <w:t xml:space="preserve">Cloud-deployed, accessible from any location</w:t>
            </w:r>
          </w:p>
        </w:tc>
      </w:tr>
    </w:tbl>
    <w:p>
      <w:pPr>
        <w:spacing w:after="200"/>
      </w:pPr>
    </w:p>
    <w:p>
      <w:pPr>
        <w:pStyle w:val="Heading1"/>
        <w:spacing w:after="200" w:before="400"/>
      </w:pPr>
      <w:r>
        <w:t xml:space="preserve">4. Value Proposition</w:t>
      </w:r>
    </w:p>
    <w:p>
      <w:pPr>
        <w:spacing w:after="120"/>
      </w:pPr>
      <w:r>
        <w:rPr>
          <w:sz w:val="24"/>
          <w:szCs w:val="24"/>
        </w:rPr>
        <w:t xml:space="preserve">Rising Waters provides disaster management authorities with a fast, simple, and reliable flood risk assessment tool that converts raw weather data into actionable early-warning signals — requiring no specialized training, no expensive hardware, and no complex infrastructure to operate.</w:t>
      </w:r>
    </w:p>
    <w:p>
      <w:pPr>
        <w:pStyle w:val="Heading1"/>
        <w:spacing w:after="200" w:before="400"/>
      </w:pPr>
      <w:r>
        <w:t xml:space="preserve">5. Validation Evidence</w:t>
      </w:r>
    </w:p>
    <w:p>
      <w:pPr>
        <w:pStyle w:val="ListParagraph"/>
        <w:numPr>
          <w:ilvl w:val="0"/>
          <w:numId w:val="1"/>
        </w:numPr>
        <w:spacing w:after="80"/>
      </w:pPr>
      <w:r>
        <w:rPr>
          <w:sz w:val="24"/>
          <w:szCs w:val="24"/>
        </w:rPr>
        <w:t xml:space="preserve">Model achieves 95.65% accuracy on a held-out test set of 23 records</w:t>
      </w:r>
    </w:p>
    <w:p>
      <w:pPr>
        <w:pStyle w:val="ListParagraph"/>
        <w:numPr>
          <w:ilvl w:val="0"/>
          <w:numId w:val="1"/>
        </w:numPr>
        <w:spacing w:after="80"/>
      </w:pPr>
      <w:r>
        <w:rPr>
          <w:sz w:val="24"/>
          <w:szCs w:val="24"/>
        </w:rPr>
        <w:t xml:space="preserve">Correctly identified 2 of 3 flood events in the test set (recall = 0.67 on flood class)</w:t>
      </w:r>
    </w:p>
    <w:p>
      <w:pPr>
        <w:pStyle w:val="ListParagraph"/>
        <w:numPr>
          <w:ilvl w:val="0"/>
          <w:numId w:val="1"/>
        </w:numPr>
        <w:spacing w:after="80"/>
      </w:pPr>
      <w:r>
        <w:rPr>
          <w:sz w:val="24"/>
          <w:szCs w:val="24"/>
        </w:rPr>
        <w:t xml:space="preserve">Jun-Sep rainfall correlation with flood outcome = 0.71 — confirms strongest real-world predictor is captured</w:t>
      </w:r>
    </w:p>
    <w:p>
      <w:pPr>
        <w:pStyle w:val="ListParagraph"/>
        <w:numPr>
          <w:ilvl w:val="0"/>
          <w:numId w:val="1"/>
        </w:numPr>
        <w:spacing w:after="80"/>
      </w:pPr>
      <w:r>
        <w:rPr>
          <w:sz w:val="24"/>
          <w:szCs w:val="24"/>
        </w:rPr>
        <w:t xml:space="preserve">Deployed successfully at https://raisingwaters.onrender.com — publicly accessible, tested end-to-end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2026-07-06T08:06:30.238Z</dcterms:created>
  <dcterms:modified xsi:type="dcterms:W3CDTF">2026-07-06T08:06:30.238Z</dcterms:modified>
</cp:coreProperties>
</file>

<file path=docProps/custom.xml><?xml version="1.0" encoding="utf-8"?>
<Properties xmlns="http://schemas.openxmlformats.org/officeDocument/2006/custom-properties" xmlns:vt="http://schemas.openxmlformats.org/officeDocument/2006/docPropsVTypes"/>
</file>