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Code Layout, Readability and Reusability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5 — Project Development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This document evaluates the code layout, readability, and reusability standards applied across the Rising Waters project — covering both the Colab machine learning notebook and the Flask web application.</w:t>
      </w:r>
    </w:p>
    <w:p>
      <w:pPr>
        <w:pStyle w:val="Heading1"/>
        <w:spacing w:after="200" w:before="400"/>
      </w:pPr>
      <w:r>
        <w:t xml:space="preserve">2. Notebook Code Layout</w:t>
      </w:r>
    </w:p>
    <w:p>
      <w:pPr>
        <w:pStyle w:val="Heading2"/>
        <w:spacing w:after="150" w:before="300"/>
      </w:pPr>
      <w:r>
        <w:t xml:space="preserve">2.1 Cell Organization</w:t>
      </w:r>
    </w:p>
    <w:p>
      <w:pPr>
        <w:spacing w:after="120"/>
      </w:pPr>
      <w:r>
        <w:rPr>
          <w:sz w:val="24"/>
          <w:szCs w:val="24"/>
        </w:rPr>
        <w:t xml:space="preserve">The notebook follows a strict top-to-bottom linear flow matching the project's Epic structure: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Cell Type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1. Dataset Loading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Code + Markdown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kagglehub download, pd.read_excel, df.head()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2. Library Imports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Code + Markdown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All imports in one cell with descriptive comment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3. EDA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Code + Markdown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df.info(), describe(), visualizations with titles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4. Preprocessing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Code + Markdown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Outlier capping, X/y split, scaling with inline comments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5. Model Training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Code + Markdown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One function per model, clear naming conventions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6. Comparison &amp; Save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Code + Markdown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compareModel(), joblib.dump() with confirmation prints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Naming Conventions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Variables: snake_case throughout (X_train, y_test, dt_accuracy, rf_pred)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Functions: camelCase for model functions matching task description (decisiontree, randomForest, KNN, xgboost)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Files: lowercase with underscores (floods.save, transform.save)</w:t>
      </w:r>
    </w:p>
    <w:p>
      <w:pPr>
        <w:pStyle w:val="Heading2"/>
        <w:spacing w:after="150" w:before="300"/>
      </w:pPr>
      <w:r>
        <w:t xml:space="preserve">2.3 Reusability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Each model function accepts (X_train, X_test, y_train, y_test) — interchangeable with any preprocessed dataset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compareModel() accepts four accuracy floats — works regardless of which models are evaluated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cap_outliers() is a reusable function applicable to any numeric DataFrame column</w:t>
      </w:r>
    </w:p>
    <w:p>
      <w:pPr>
        <w:pStyle w:val="Heading1"/>
        <w:spacing w:after="200" w:before="400"/>
      </w:pPr>
      <w:r>
        <w:t xml:space="preserve">3. Flask App Code Layout</w:t>
      </w:r>
    </w:p>
    <w:p>
      <w:pPr>
        <w:pStyle w:val="Heading2"/>
        <w:spacing w:after="150" w:before="300"/>
      </w:pPr>
      <w:r>
        <w:t xml:space="preserve">3.1 File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app.py — single application file, clearly sectioned: imports, model loading, history store, routes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templates/ — Flask-convention HTML templates, one per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static/ — CSS stylesheet separate from HTML for maintainability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requirements.txt — explicit dependency pinning for reproducibility</w:t>
      </w:r>
    </w:p>
    <w:p>
      <w:pPr>
        <w:pStyle w:val="Heading2"/>
        <w:spacing w:after="150" w:before="300"/>
      </w:pPr>
      <w:r>
        <w:t xml:space="preserve">3.2 Readability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Inline comments explain non-obvious logic (column order, PORT binding rationale)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Route functions named descriptively (home, predict, history)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Feature array construction uses explicit variable names, not positional magic numbers</w:t>
      </w:r>
    </w:p>
    <w:p>
      <w:pPr>
        <w:pStyle w:val="Heading1"/>
        <w:spacing w:after="200" w:before="400"/>
      </w:pPr>
      <w:r>
        <w:t xml:space="preserve">4. Functional Features 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Dataset download via kagglehub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Notebook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10-feature input form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index.html + app.py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StandardScaler inference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app.py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Gradient Boosting prediction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app.py + floods.save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Flood/clear result page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result.html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Session prediction history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history.html + app.py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Responsive CSS design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style.css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Cloud deployment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Render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Implemented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2026-07-06T08:06:30.421Z</dcterms:created>
  <dcterms:modified xsi:type="dcterms:W3CDTF">2026-07-06T08:06:30.421Z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