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b/>
          <w:bCs/>
          <w:color w:val="1C5A73"/>
          <w:sz w:val="56"/>
          <w:szCs w:val="56"/>
        </w:rPr>
        <w:t xml:space="preserve">Rising Waters</w:t>
      </w:r>
    </w:p>
    <w:p>
      <w:pPr>
        <w:spacing w:after="400"/>
        <w:jc w:val="center"/>
      </w:pPr>
      <w:r>
        <w:rPr>
          <w:color w:val="2F8AA3"/>
          <w:sz w:val="32"/>
          <w:szCs w:val="32"/>
        </w:rPr>
        <w:t xml:space="preserve">A Machine Learning Approach to Flood Prediction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Coding &amp; Solution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Phase 5 — Project Development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Team Members: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Shaik Rabin Sonu (Team Lead)  |  Undi Venkata Naga Siva  |  Arun Kumar Varikuppala</w:t>
      </w:r>
    </w:p>
    <w:p>
      <w:pPr>
        <w:spacing w:after="400"/>
        <w:jc w:val="center"/>
      </w:pPr>
      <w:r>
        <w:rPr>
          <w:color w:val="444444"/>
          <w:sz w:val="22"/>
          <w:szCs w:val="22"/>
        </w:rPr>
        <w:t xml:space="preserve">Sai Chaitanya Goud Kandimalla  |  Somavarapu Umamaheswar Reddy</w:t>
      </w:r>
    </w:p>
    <w:p>
      <w:pPr>
        <w:jc w:val="center"/>
      </w:pPr>
      <w:r>
        <w:rPr>
          <w:color w:val="888888"/>
          <w:sz w:val="22"/>
          <w:szCs w:val="22"/>
        </w:rPr>
        <w:t xml:space="preserve">SmartBridge Educational Services  |  June–July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Development Overview</w:t>
      </w:r>
    </w:p>
    <w:p>
      <w:pPr>
        <w:spacing w:after="120"/>
      </w:pPr>
      <w:r>
        <w:rPr>
          <w:sz w:val="24"/>
          <w:szCs w:val="24"/>
        </w:rPr>
        <w:t xml:space="preserve">The Rising Waters solution was developed in two phases: a machine learning pipeline built in Google Colab, and a Flask web application built locally and deployed to Render.</w:t>
      </w:r>
    </w:p>
    <w:p>
      <w:pPr>
        <w:pStyle w:val="Heading1"/>
        <w:spacing w:after="200" w:before="400"/>
      </w:pPr>
      <w:r>
        <w:t xml:space="preserve">2. Machine Learning Pipeline — Key Code</w:t>
      </w:r>
    </w:p>
    <w:p>
      <w:pPr>
        <w:pStyle w:val="Heading2"/>
        <w:spacing w:after="150" w:before="300"/>
      </w:pPr>
      <w:r>
        <w:t xml:space="preserve">2.1 Dataset Loading</w:t>
      </w:r>
    </w:p>
    <w:p>
      <w:pPr>
        <w:spacing w:after="120"/>
      </w:pPr>
      <w:r>
        <w:rPr>
          <w:sz w:val="24"/>
          <w:szCs w:val="24"/>
        </w:rPr>
        <w:t xml:space="preserve">The flood prediction dataset was downloaded from Kaggle using the kagglehub library and loaded into a pandas DataFrame using pd.read_excel(). The dataset contains 115 records and 11 columns (10 features + 1 target).</w:t>
      </w:r>
    </w:p>
    <w:p>
      <w:pPr>
        <w:pStyle w:val="Heading2"/>
        <w:spacing w:after="150" w:before="300"/>
      </w:pPr>
      <w:r>
        <w:t xml:space="preserve">2.2 Preprocessing</w:t>
      </w:r>
    </w:p>
    <w:p>
      <w:pPr>
        <w:spacing w:after="120"/>
      </w:pPr>
      <w:r>
        <w:rPr>
          <w:sz w:val="24"/>
          <w:szCs w:val="24"/>
        </w:rPr>
        <w:t xml:space="preserve">Outliers were treated using IQR-based capping (not removal) to preserve the full 115-row dataset. Features were split into X (10 input columns) and y (flood target), then divided 80/20 into training and test sets using stratified sampling. StandardScaler was applied to normalize all features, and both the scaler and the trained model were saved using Joblib.</w:t>
      </w:r>
    </w:p>
    <w:p>
      <w:pPr>
        <w:pStyle w:val="Heading2"/>
        <w:spacing w:after="150" w:before="300"/>
      </w:pPr>
      <w:r>
        <w:t xml:space="preserve">2.3 Model Training</w:t>
      </w:r>
    </w:p>
    <w:p>
      <w:pPr>
        <w:spacing w:after="120"/>
      </w:pPr>
      <w:r>
        <w:rPr>
          <w:sz w:val="24"/>
          <w:szCs w:val="24"/>
        </w:rPr>
        <w:t xml:space="preserve">Four classification models were trained: Decision Tree, Random Forest, K-Nearest Neighbors (n_neighbors=5), and Gradient Boosting. All models were encapsulated in separate functions (decisiontree(), randomForest(), KNN(), xgboost()) accepting X_train, X_test, y_train, y_test as parameters.</w:t>
      </w:r>
    </w:p>
    <w:p>
      <w:pPr>
        <w:pStyle w:val="Heading2"/>
        <w:spacing w:after="150" w:before="300"/>
      </w:pPr>
      <w:r>
        <w:t xml:space="preserve">2.4 Model Evaluation</w:t>
      </w:r>
    </w:p>
    <w:p>
      <w:pPr>
        <w:spacing w:after="120"/>
      </w:pPr>
      <w:r>
        <w:rPr>
          <w:sz w:val="24"/>
          <w:szCs w:val="24"/>
        </w:rPr>
        <w:t xml:space="preserve">Each model was evaluated using accuracy score, confusion matrix, and classification report (precision, recall, F1-score). A compareModel() function was built to display all four accuracies side-by-side.</w:t>
      </w:r>
    </w:p>
    <w:p>
      <w:pPr>
        <w:pStyle w:val="Heading1"/>
        <w:spacing w:after="200" w:before="400"/>
      </w:pPr>
      <w:r>
        <w:t xml:space="preserve">3. Model Performance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Accuracy</w:t>
            </w:r>
          </w:p>
        </w:tc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Flood Recall</w:t>
            </w:r>
          </w:p>
        </w:tc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Flood Precision</w:t>
            </w:r>
          </w:p>
        </w:tc>
      </w:tr>
      <w:tr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Decision Tree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95.65%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0.67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1.00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95.65%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0.67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1.00</w:t>
            </w:r>
          </w:p>
        </w:tc>
      </w:tr>
      <w:tr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KNN (k=5)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86.96%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0.33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0.50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Gradient Boosting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95.65%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0.67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1.00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4"/>
          <w:szCs w:val="24"/>
        </w:rPr>
        <w:t xml:space="preserve">Gradient Boosting was selected as the final model due to its superior generalization properties and resistance to overfitting. Saved as floods.save using Joblib.</w:t>
      </w:r>
    </w:p>
    <w:p>
      <w:pPr>
        <w:pStyle w:val="Heading1"/>
        <w:spacing w:after="200" w:before="400"/>
      </w:pPr>
      <w:r>
        <w:t xml:space="preserve">4. Flask Application</w:t>
      </w:r>
    </w:p>
    <w:p>
      <w:pPr>
        <w:pStyle w:val="Heading2"/>
        <w:spacing w:after="150" w:before="300"/>
      </w:pPr>
      <w:r>
        <w:t xml:space="preserve">4.1 app.py 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Model and scaler loaded at startup: joblib.load('floods.save'), joblib.load('transform.save')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In-memory prediction history: prediction_history = []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Route /: GET — renders index.html (input form)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Route /predict: POST — parses form, builds feature array, scales, predicts, logs, renders result.html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Route /history: GET — renders history.html with session log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Production binding: app.run(host='0.0.0.0', port=int(os.environ.get('PORT', 5000)))</w:t>
      </w:r>
    </w:p>
    <w:p>
      <w:pPr>
        <w:pStyle w:val="Heading2"/>
        <w:spacing w:after="150" w:before="300"/>
      </w:pPr>
      <w:r>
        <w:t xml:space="preserve">4.2 HTML Templates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index.html: 10-field input form with units (°C, %, mm), placeholder values from dataset mean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result.html: Verdict page with conditional flood/clear styling, key input recap, back-to-predict link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history.html: Table of all session predictions with flood/clear tags</w:t>
      </w:r>
    </w:p>
    <w:p>
      <w:pPr>
        <w:pStyle w:val="Heading1"/>
        <w:spacing w:after="200" w:before="400"/>
      </w:pPr>
      <w:r>
        <w:t xml:space="preserve">5. Code Quality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Functions encapsulate each model for reusability and readability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Markdown cells document findings at each stage of the notebook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Consistent naming conventions across notebook and Flask 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Version-pinned requirements.txt ensures reproducible deployment environment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2026-07-06T08:06:30.399Z</dcterms:created>
  <dcterms:modified xsi:type="dcterms:W3CDTF">2026-07-06T08:06:30.399Z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