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F3864"/>
          <w:sz w:val="64"/>
          <w:szCs w:val="64"/>
        </w:rPr>
        <w:t xml:space="preserve">ShipPaulJobs</w:t>
      </w:r>
    </w:p>
    <w:p>
      <w:pPr>
        <w:spacing w:after="200"/>
        <w:jc w:val="center"/>
      </w:pPr>
      <w:r>
        <w:rPr>
          <w:b/>
          <w:bCs/>
          <w:color w:val="2E74B5"/>
          <w:sz w:val="36"/>
          <w:szCs w:val="36"/>
        </w:rPr>
        <w:t xml:space="preserve">Investor Due Diligence Report</w:t>
      </w:r>
    </w:p>
    <w:p>
      <w:pPr>
        <w:spacing w:after="200"/>
        <w:jc w:val="center"/>
      </w:pPr>
      <w:r>
        <w:rPr>
          <w:color w:val="595959"/>
          <w:sz w:val="24"/>
          <w:szCs w:val="24"/>
        </w:rPr>
        <w:t xml:space="preserve">Google Analytics 4 Analysis | August 2026</w:t>
      </w:r>
    </w:p>
    <w:p>
      <w:pPr>
        <w:spacing w:after="1440"/>
        <w:jc w:val="center"/>
      </w:pPr>
      <w:r>
        <w:rPr>
          <w:i/>
          <w:iCs/>
          <w:color w:val="7F7F7F"/>
          <w:sz w:val="20"/>
          <w:szCs w:val="20"/>
        </w:rPr>
        <w:t xml:space="preserve">Senior Digital Strategy / SEO / EEAT Evaluator / VC Analyst Perspective</w:t>
      </w:r>
    </w:p>
    <w:p>
      <w:r>
        <w:br w:type="page"/>
      </w:r>
    </w:p>
    <w:p>
      <w:pPr>
        <w:pStyle w:val="Heading1"/>
        <w:spacing w:after="200" w:before="400"/>
      </w:pPr>
      <w:r>
        <w:t xml:space="preserve">GA4 Raw Data Snapshot (90-Day Window: May 3 – July 31, 2026)</w:t>
      </w:r>
    </w:p>
    <w:p>
      <w:pPr>
        <w:spacing w:after="120"/>
      </w:pPr>
      <w:r>
        <w:rPr>
          <w:sz w:val="22"/>
          <w:szCs w:val="22"/>
        </w:rPr>
        <w:t xml:space="preserve">All data collected directly from Google Analytics 4 (Property: Blog_Access / ShipPauljobs) and Google Search Console integration during live 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D9E2F3" w:color="auto" w:val="clear"/>
          </w:tcPr>
          <w:p>
            <w:r>
              <w:rPr>
                <w:b/>
                <w:bCs/>
                <w:sz w:val="22"/>
                <w:szCs w:val="22"/>
              </w:rPr>
              <w:t xml:space="preserve">Metric</w:t>
            </w:r>
          </w:p>
        </w:tc>
        <w:tc>
          <w:tcPr>
            <w:tcW w:type="dxa" w:w="3000"/>
            <w:shd w:fill="D9E2F3" w:color="auto" w:val="clear"/>
          </w:tcPr>
          <w:p>
            <w:r>
              <w:rPr>
                <w:b/>
                <w:bCs/>
                <w:sz w:val="22"/>
                <w:szCs w:val="22"/>
              </w:rPr>
              <w:t xml:space="preserve">90 Days</w:t>
            </w:r>
          </w:p>
        </w:tc>
        <w:tc>
          <w:tcPr>
            <w:tcW w:type="dxa" w:w="3000"/>
            <w:shd w:fill="D9E2F3" w:color="auto" w:val="clear"/>
          </w:tcPr>
          <w:p>
            <w:r>
              <w:rPr>
                <w:b/>
                <w:bCs/>
                <w:sz w:val="22"/>
                <w:szCs w:val="22"/>
              </w:rPr>
              <w:t xml:space="preserve">28 Days</w:t>
            </w:r>
          </w:p>
        </w:tc>
      </w:tr>
      <w:tr>
        <w:tc>
          <w:tcPr>
            <w:tcW w:type="dxa" w:w="3500"/>
          </w:tcPr>
          <w:p>
            <w:r>
              <w:rPr>
                <w:sz w:val="22"/>
                <w:szCs w:val="22"/>
              </w:rPr>
              <w:t xml:space="preserve">Active Users</w:t>
            </w:r>
          </w:p>
        </w:tc>
        <w:tc>
          <w:tcPr>
            <w:tcW w:type="dxa" w:w="3000"/>
          </w:tcPr>
          <w:p>
            <w:r>
              <w:rPr>
                <w:sz w:val="22"/>
                <w:szCs w:val="22"/>
              </w:rPr>
              <w:t xml:space="preserve">2,500</w:t>
            </w:r>
          </w:p>
        </w:tc>
        <w:tc>
          <w:tcPr>
            <w:tcW w:type="dxa" w:w="3000"/>
          </w:tcPr>
          <w:p>
            <w:r>
              <w:rPr>
                <w:sz w:val="22"/>
                <w:szCs w:val="22"/>
              </w:rPr>
              <w:t xml:space="preserve">1,200</w:t>
            </w:r>
          </w:p>
        </w:tc>
      </w:tr>
      <w:tr>
        <w:tc>
          <w:tcPr>
            <w:tcW w:type="dxa" w:w="3500"/>
          </w:tcPr>
          <w:p>
            <w:r>
              <w:rPr>
                <w:sz w:val="22"/>
                <w:szCs w:val="22"/>
              </w:rPr>
              <w:t xml:space="preserve">New Users (% of active)</w:t>
            </w:r>
          </w:p>
        </w:tc>
        <w:tc>
          <w:tcPr>
            <w:tcW w:type="dxa" w:w="3000"/>
          </w:tcPr>
          <w:p>
            <w:r>
              <w:rPr>
                <w:sz w:val="22"/>
                <w:szCs w:val="22"/>
              </w:rPr>
              <w:t xml:space="preserve">2,500 (~100%)</w:t>
            </w:r>
          </w:p>
        </w:tc>
        <w:tc>
          <w:tcPr>
            <w:tcW w:type="dxa" w:w="3000"/>
          </w:tcPr>
          <w:p>
            <w:r>
              <w:rPr>
                <w:sz w:val="22"/>
                <w:szCs w:val="22"/>
              </w:rPr>
              <w:t xml:space="preserve">1,200 (~100%)</w:t>
            </w:r>
          </w:p>
        </w:tc>
      </w:tr>
      <w:tr>
        <w:tc>
          <w:tcPr>
            <w:tcW w:type="dxa" w:w="3500"/>
          </w:tcPr>
          <w:p>
            <w:r>
              <w:rPr>
                <w:sz w:val="22"/>
                <w:szCs w:val="22"/>
              </w:rPr>
              <w:t xml:space="preserve">Total Page Views</w:t>
            </w:r>
          </w:p>
        </w:tc>
        <w:tc>
          <w:tcPr>
            <w:tcW w:type="dxa" w:w="3000"/>
          </w:tcPr>
          <w:p>
            <w:r>
              <w:rPr>
                <w:sz w:val="22"/>
                <w:szCs w:val="22"/>
              </w:rPr>
              <w:t xml:space="preserve">12,001</w:t>
            </w:r>
          </w:p>
        </w:tc>
        <w:tc>
          <w:tcPr>
            <w:tcW w:type="dxa" w:w="3000"/>
          </w:tcPr>
          <w:p>
            <w:r>
              <w:rPr>
                <w:sz w:val="22"/>
                <w:szCs w:val="22"/>
              </w:rPr>
              <w:t xml:space="preserve">~5,600</w:t>
            </w:r>
          </w:p>
        </w:tc>
      </w:tr>
      <w:tr>
        <w:tc>
          <w:tcPr>
            <w:tcW w:type="dxa" w:w="3500"/>
          </w:tcPr>
          <w:p>
            <w:r>
              <w:rPr>
                <w:sz w:val="22"/>
                <w:szCs w:val="22"/>
              </w:rPr>
              <w:t xml:space="preserve">Avg. Engagement Time/User</w:t>
            </w:r>
          </w:p>
        </w:tc>
        <w:tc>
          <w:tcPr>
            <w:tcW w:type="dxa" w:w="3000"/>
          </w:tcPr>
          <w:p>
            <w:r>
              <w:rPr>
                <w:sz w:val="22"/>
                <w:szCs w:val="22"/>
              </w:rPr>
              <w:t xml:space="preserve">1 min 49 sec</w:t>
            </w:r>
          </w:p>
        </w:tc>
        <w:tc>
          <w:tcPr>
            <w:tcW w:type="dxa" w:w="3000"/>
          </w:tcPr>
          <w:p>
            <w:r>
              <w:rPr>
                <w:sz w:val="22"/>
                <w:szCs w:val="22"/>
              </w:rPr>
              <w:t xml:space="preserve">1 min 41 sec</w:t>
            </w:r>
          </w:p>
        </w:tc>
      </w:tr>
      <w:tr>
        <w:tc>
          <w:tcPr>
            <w:tcW w:type="dxa" w:w="3500"/>
          </w:tcPr>
          <w:p>
            <w:r>
              <w:rPr>
                <w:sz w:val="22"/>
                <w:szCs w:val="22"/>
              </w:rPr>
              <w:t xml:space="preserve">Total Events</w:t>
            </w:r>
          </w:p>
        </w:tc>
        <w:tc>
          <w:tcPr>
            <w:tcW w:type="dxa" w:w="3000"/>
          </w:tcPr>
          <w:p>
            <w:r>
              <w:rPr>
                <w:sz w:val="22"/>
                <w:szCs w:val="22"/>
              </w:rPr>
              <w:t xml:space="preserve">34,000</w:t>
            </w:r>
          </w:p>
        </w:tc>
        <w:tc>
          <w:tcPr>
            <w:tcW w:type="dxa" w:w="3000"/>
          </w:tcPr>
          <w:p>
            <w:r>
              <w:rPr>
                <w:sz w:val="22"/>
                <w:szCs w:val="22"/>
              </w:rPr>
              <w:t xml:space="preserve">14,000</w:t>
            </w:r>
          </w:p>
        </w:tc>
      </w:tr>
      <w:tr>
        <w:tc>
          <w:tcPr>
            <w:tcW w:type="dxa" w:w="3500"/>
          </w:tcPr>
          <w:p>
            <w:r>
              <w:rPr>
                <w:sz w:val="22"/>
                <w:szCs w:val="22"/>
              </w:rPr>
              <w:t xml:space="preserve">Google Organic Clicks (GSC)</w:t>
            </w:r>
          </w:p>
        </w:tc>
        <w:tc>
          <w:tcPr>
            <w:tcW w:type="dxa" w:w="3000"/>
          </w:tcPr>
          <w:p>
            <w:r>
              <w:rPr>
                <w:sz w:val="22"/>
                <w:szCs w:val="22"/>
              </w:rPr>
              <w:t xml:space="preserve">262</w:t>
            </w:r>
          </w:p>
        </w:tc>
        <w:tc>
          <w:tcPr>
            <w:tcW w:type="dxa" w:w="3000"/>
          </w:tcPr>
          <w:p>
            <w:r>
              <w:rPr>
                <w:sz w:val="22"/>
                <w:szCs w:val="22"/>
              </w:rPr>
              <w:t xml:space="preserve">~88 est.</w:t>
            </w:r>
          </w:p>
        </w:tc>
      </w:tr>
      <w:tr>
        <w:tc>
          <w:tcPr>
            <w:tcW w:type="dxa" w:w="3500"/>
          </w:tcPr>
          <w:p>
            <w:r>
              <w:rPr>
                <w:sz w:val="22"/>
                <w:szCs w:val="22"/>
              </w:rPr>
              <w:t xml:space="preserve">Google Impressions (GSC)</w:t>
            </w:r>
          </w:p>
        </w:tc>
        <w:tc>
          <w:tcPr>
            <w:tcW w:type="dxa" w:w="3000"/>
          </w:tcPr>
          <w:p>
            <w:r>
              <w:rPr>
                <w:sz w:val="22"/>
                <w:szCs w:val="22"/>
              </w:rPr>
              <w:t xml:space="preserve">5,729</w:t>
            </w:r>
          </w:p>
        </w:tc>
        <w:tc>
          <w:tcPr>
            <w:tcW w:type="dxa" w:w="3000"/>
          </w:tcPr>
          <w:p>
            <w:r>
              <w:rPr>
                <w:sz w:val="22"/>
                <w:szCs w:val="22"/>
              </w:rPr>
              <w:t xml:space="preserve">~1,800 est.</w:t>
            </w:r>
          </w:p>
        </w:tc>
      </w:tr>
      <w:tr>
        <w:tc>
          <w:tcPr>
            <w:tcW w:type="dxa" w:w="3500"/>
          </w:tcPr>
          <w:p>
            <w:r>
              <w:rPr>
                <w:sz w:val="22"/>
                <w:szCs w:val="22"/>
              </w:rPr>
              <w:t xml:space="preserve">Avg. Google Position</w:t>
            </w:r>
          </w:p>
        </w:tc>
        <w:tc>
          <w:tcPr>
            <w:tcW w:type="dxa" w:w="3000"/>
          </w:tcPr>
          <w:p>
            <w:r>
              <w:rPr>
                <w:sz w:val="22"/>
                <w:szCs w:val="22"/>
              </w:rPr>
              <w:t xml:space="preserve">14.87 (page 2)</w:t>
            </w:r>
          </w:p>
        </w:tc>
        <w:tc>
          <w:tcPr>
            <w:tcW w:type="dxa" w:w="3000"/>
          </w:tcPr>
          <w:p>
            <w:r>
              <w:rPr>
                <w:sz w:val="22"/>
                <w:szCs w:val="22"/>
              </w:rPr>
              <w:t xml:space="preserve">—</w:t>
            </w:r>
          </w:p>
        </w:tc>
      </w:tr>
      <w:tr>
        <w:tc>
          <w:tcPr>
            <w:tcW w:type="dxa" w:w="3500"/>
          </w:tcPr>
          <w:p>
            <w:r>
              <w:rPr>
                <w:sz w:val="22"/>
                <w:szCs w:val="22"/>
              </w:rPr>
              <w:t xml:space="preserve">Organic CTR</w:t>
            </w:r>
          </w:p>
        </w:tc>
        <w:tc>
          <w:tcPr>
            <w:tcW w:type="dxa" w:w="3000"/>
          </w:tcPr>
          <w:p>
            <w:r>
              <w:rPr>
                <w:sz w:val="22"/>
                <w:szCs w:val="22"/>
              </w:rPr>
              <w:t xml:space="preserve">4.57%</w:t>
            </w:r>
          </w:p>
        </w:tc>
        <w:tc>
          <w:tcPr>
            <w:tcW w:type="dxa" w:w="3000"/>
          </w:tcPr>
          <w:p>
            <w:r>
              <w:rPr>
                <w:sz w:val="22"/>
                <w:szCs w:val="22"/>
              </w:rPr>
              <w:t xml:space="preserve">—</w:t>
            </w:r>
          </w:p>
        </w:tc>
      </w:tr>
      <w:tr>
        <w:tc>
          <w:tcPr>
            <w:tcW w:type="dxa" w:w="3500"/>
          </w:tcPr>
          <w:p>
            <w:r>
              <w:rPr>
                <w:sz w:val="22"/>
                <w:szCs w:val="22"/>
              </w:rPr>
              <w:t xml:space="preserve">Platform</w:t>
            </w:r>
          </w:p>
        </w:tc>
        <w:tc>
          <w:tcPr>
            <w:tcW w:type="dxa" w:w="3000"/>
          </w:tcPr>
          <w:p>
            <w:r>
              <w:rPr>
                <w:sz w:val="22"/>
                <w:szCs w:val="22"/>
              </w:rPr>
              <w:t xml:space="preserve">Web 100%</w:t>
            </w:r>
          </w:p>
        </w:tc>
        <w:tc>
          <w:tcPr>
            <w:tcW w:type="dxa" w:w="3000"/>
          </w:tcPr>
          <w:p>
            <w:r>
              <w:rPr>
                <w:sz w:val="22"/>
                <w:szCs w:val="22"/>
              </w:rPr>
              <w:t xml:space="preserve">Web 100%</w:t>
            </w:r>
          </w:p>
        </w:tc>
      </w:tr>
    </w:tbl>
    <w:p>
      <w:pPr>
        <w:spacing w:after="200"/>
      </w:pPr>
    </w:p>
    <w:p>
      <w:r>
        <w:br w:type="page"/>
      </w:r>
    </w:p>
    <w:p>
      <w:pPr>
        <w:pStyle w:val="Heading1"/>
        <w:spacing w:after="200" w:before="400"/>
      </w:pPr>
      <w:r>
        <w:t xml:space="preserve">1. Executive Summary</w:t>
      </w:r>
    </w:p>
    <w:p>
      <w:pPr>
        <w:spacing w:after="120"/>
      </w:pPr>
      <w:r>
        <w:rPr>
          <w:sz w:val="22"/>
          <w:szCs w:val="22"/>
        </w:rPr>
        <w:t xml:space="preserve">ShipPaulJobs is a Singapore-based English-language professional publication covering maritime AI, smart ships, shipyard digital transformation, OT/cybersecurity, and IACS UR E26/E27 regulatory compliance. It is a sole-proprietor operation with genuine practitioner credibility.</w:t>
      </w:r>
    </w:p>
    <w:p>
      <w:pPr>
        <w:spacing w:after="120"/>
      </w:pPr>
      <w:r>
        <w:rPr>
          <w:sz w:val="22"/>
          <w:szCs w:val="22"/>
        </w:rPr>
        <w:t xml:space="preserve">Honest assessment: ShipPaulJobs occupies a real and defensible niche. The author has verifiable maritime industry expertise. The audience — small as it is — consists of senior professionals from the world's leading maritime nations. However, the technical infrastructure (Blogger platform), near-zero organic search visibility, and complete absence of revenue make this a speculative pre-revenue asset, not yet an investable media business.</w:t>
      </w:r>
    </w:p>
    <w:p>
      <w:pPr>
        <w:pStyle w:val="Heading2"/>
        <w:spacing w:after="150" w:before="300"/>
      </w:pPr>
      <w:r>
        <w:t xml:space="preserve">Growth Stage: Seed / Pre-Monetization</w:t>
      </w:r>
    </w:p>
    <w:p>
      <w:pPr>
        <w:spacing w:after="120"/>
      </w:pPr>
      <w:r>
        <w:rPr>
          <w:sz w:val="22"/>
          <w:szCs w:val="22"/>
        </w:rPr>
        <w:t xml:space="preserve">Approximately 27 unique users/day (90-day avg). For context, a viable niche media business typically requires 1,500–5,000 daily unique visitors minimum to generate meaningful advertising revenue.</w:t>
      </w:r>
    </w:p>
    <w:p>
      <w:pPr>
        <w:pStyle w:val="Heading2"/>
        <w:spacing w:after="150" w:before="300"/>
      </w:pPr>
      <w:r>
        <w:t xml:space="preserve">Overall Maturity: 18 / 100</w:t>
      </w:r>
    </w:p>
    <w:p>
      <w:pPr>
        <w:pStyle w:val="Heading2"/>
        <w:spacing w:after="150" w:before="300"/>
      </w:pPr>
      <w:r>
        <w:t xml:space="preserve">Strengths</w:t>
      </w:r>
    </w:p>
    <w:p>
      <w:pPr>
        <w:spacing w:after="80"/>
        <w:ind w:left="360"/>
      </w:pPr>
      <w:r>
        <w:rPr>
          <w:sz w:val="22"/>
          <w:szCs w:val="22"/>
        </w:rPr>
        <w:t xml:space="preserve">• Hyper-niche specialization at maritime AI + cybersecurity intersection — underserved globally</w:t>
      </w:r>
    </w:p>
    <w:p>
      <w:pPr>
        <w:spacing w:after="80"/>
        <w:ind w:left="360"/>
      </w:pPr>
      <w:r>
        <w:rPr>
          <w:sz w:val="22"/>
          <w:szCs w:val="22"/>
        </w:rPr>
        <w:t xml:space="preserve">• Practitioner credibility — real shipbuilding career, not journalism background</w:t>
      </w:r>
    </w:p>
    <w:p>
      <w:pPr>
        <w:spacing w:after="80"/>
        <w:ind w:left="360"/>
      </w:pPr>
      <w:r>
        <w:rPr>
          <w:sz w:val="22"/>
          <w:szCs w:val="22"/>
        </w:rPr>
        <w:t xml:space="preserve">• Singapore APAC positioning — world's busiest maritime hub</w:t>
      </w:r>
    </w:p>
    <w:p>
      <w:pPr>
        <w:spacing w:after="80"/>
        <w:ind w:left="360"/>
      </w:pPr>
      <w:r>
        <w:rPr>
          <w:sz w:val="22"/>
          <w:szCs w:val="22"/>
        </w:rPr>
        <w:t xml:space="preserve">• Timely IACS UR E26/E27 / IMO MASS Code angle — regulatory deadlines create urgent demand</w:t>
      </w:r>
    </w:p>
    <w:p>
      <w:pPr>
        <w:spacing w:after="80"/>
        <w:ind w:left="360"/>
      </w:pPr>
      <w:r>
        <w:rPr>
          <w:sz w:val="22"/>
          <w:szCs w:val="22"/>
        </w:rPr>
        <w:t xml:space="preserve">• High-value audience — age 45-54 dominant, likely C-suite and senior engineers</w:t>
      </w:r>
    </w:p>
    <w:p>
      <w:pPr>
        <w:spacing w:after="80"/>
        <w:ind w:left="360"/>
      </w:pPr>
      <w:r>
        <w:rPr>
          <w:sz w:val="22"/>
          <w:szCs w:val="22"/>
        </w:rPr>
        <w:t xml:space="preserve">• LinkedIn is generating organic referrals without paid spend</w:t>
      </w:r>
    </w:p>
    <w:p>
      <w:pPr>
        <w:pStyle w:val="Heading2"/>
        <w:spacing w:after="150" w:before="300"/>
      </w:pPr>
      <w:r>
        <w:t xml:space="preserve">Weaknesses</w:t>
      </w:r>
    </w:p>
    <w:p>
      <w:pPr>
        <w:spacing w:after="80"/>
        <w:ind w:left="360"/>
      </w:pPr>
      <w:r>
        <w:rPr>
          <w:sz w:val="22"/>
          <w:szCs w:val="22"/>
        </w:rPr>
        <w:t xml:space="preserve">• Blogger platform — the single greatest structural limitation; caps SEO, credibility, and monetization</w:t>
      </w:r>
    </w:p>
    <w:p>
      <w:pPr>
        <w:spacing w:after="80"/>
        <w:ind w:left="360"/>
      </w:pPr>
      <w:r>
        <w:rPr>
          <w:sz w:val="22"/>
          <w:szCs w:val="22"/>
        </w:rPr>
        <w:t xml:space="preserve">• Near-zero organic search: 262 Google clicks in 90 days; avg position 14.87</w:t>
      </w:r>
    </w:p>
    <w:p>
      <w:pPr>
        <w:spacing w:after="80"/>
        <w:ind w:left="360"/>
      </w:pPr>
      <w:r>
        <w:rPr>
          <w:sz w:val="22"/>
          <w:szCs w:val="22"/>
        </w:rPr>
        <w:t xml:space="preserve">• 75% of organic clicks go to homepage — content pages are invisible to search</w:t>
      </w:r>
    </w:p>
    <w:p>
      <w:pPr>
        <w:spacing w:after="80"/>
        <w:ind w:left="360"/>
      </w:pPr>
      <w:r>
        <w:rPr>
          <w:sz w:val="22"/>
          <w:szCs w:val="22"/>
        </w:rPr>
        <w:t xml:space="preserve">• Returning user rate ≈ 0% — no audience loyalty or retention being built</w:t>
      </w:r>
    </w:p>
    <w:p>
      <w:pPr>
        <w:spacing w:after="80"/>
        <w:ind w:left="360"/>
      </w:pPr>
      <w:r>
        <w:rPr>
          <w:sz w:val="22"/>
          <w:szCs w:val="22"/>
        </w:rPr>
        <w:t xml:space="preserve">• Zero revenue — AdSense pending June 2026; no consulting or product income visible</w:t>
      </w:r>
    </w:p>
    <w:p>
      <w:pPr>
        <w:spacing w:after="80"/>
        <w:ind w:left="360"/>
      </w:pPr>
      <w:r>
        <w:rPr>
          <w:sz w:val="22"/>
          <w:szCs w:val="22"/>
        </w:rPr>
        <w:t xml:space="preserve">• Solo operation — 100% key-person dependency is a critical risk and valuation discount</w:t>
      </w:r>
    </w:p>
    <w:p>
      <w:pPr>
        <w:pStyle w:val="Heading2"/>
        <w:spacing w:after="150" w:before="300"/>
      </w:pPr>
      <w:r>
        <w:t xml:space="preserve">Biggest Opportunities</w:t>
      </w:r>
    </w:p>
    <w:p>
      <w:pPr>
        <w:spacing w:after="80"/>
        <w:ind w:left="360"/>
      </w:pPr>
      <w:r>
        <w:rPr>
          <w:sz w:val="22"/>
          <w:szCs w:val="22"/>
        </w:rPr>
        <w:t xml:space="preserve">• IACS UR E26/E27 compliance consulting/training — mandatory regulations, urgent demand, premium pricing</w:t>
      </w:r>
    </w:p>
    <w:p>
      <w:pPr>
        <w:spacing w:after="80"/>
        <w:ind w:left="360"/>
      </w:pPr>
      <w:r>
        <w:rPr>
          <w:sz w:val="22"/>
          <w:szCs w:val="22"/>
        </w:rPr>
        <w:t xml:space="preserve">• Paid newsletter — B2B maritime professionals pay $100-500/year for specialized intelligence</w:t>
      </w:r>
    </w:p>
    <w:p>
      <w:pPr>
        <w:spacing w:after="80"/>
        <w:ind w:left="360"/>
      </w:pPr>
      <w:r>
        <w:rPr>
          <w:sz w:val="22"/>
          <w:szCs w:val="22"/>
        </w:rPr>
        <w:t xml:space="preserve">• APAC market gap — Korea and China maritime sector ignored by all Western maritime media</w:t>
      </w:r>
    </w:p>
    <w:p>
      <w:pPr>
        <w:spacing w:after="80"/>
        <w:ind w:left="360"/>
      </w:pPr>
      <w:r>
        <w:rPr>
          <w:sz w:val="22"/>
          <w:szCs w:val="22"/>
        </w:rPr>
        <w:t xml:space="preserve">• LinkedIn thought leadership — already showing traction; highest ROI channel available now</w:t>
      </w:r>
    </w:p>
    <w:p>
      <w:pPr>
        <w:pStyle w:val="Heading2"/>
        <w:spacing w:after="150" w:before="300"/>
      </w:pPr>
      <w:r>
        <w:t xml:space="preserve">Biggest Risks</w:t>
      </w:r>
    </w:p>
    <w:p>
      <w:pPr>
        <w:spacing w:after="80"/>
        <w:ind w:left="360"/>
      </w:pPr>
      <w:r>
        <w:rPr>
          <w:sz w:val="22"/>
          <w:szCs w:val="22"/>
        </w:rPr>
        <w:t xml:space="preserve">• Blogger platform deprecation — Google has sunsetted products; entire archive at risk</w:t>
      </w:r>
    </w:p>
    <w:p>
      <w:pPr>
        <w:spacing w:after="80"/>
        <w:ind w:left="360"/>
      </w:pPr>
      <w:r>
        <w:rPr>
          <w:sz w:val="22"/>
          <w:szCs w:val="22"/>
        </w:rPr>
        <w:t xml:space="preserve">• Classification societies (DNV, Lloyd's Register, ABS) building dedicated cyber/AI content teams</w:t>
      </w:r>
    </w:p>
    <w:p>
      <w:pPr>
        <w:spacing w:after="80"/>
        <w:ind w:left="360"/>
      </w:pPr>
      <w:r>
        <w:rPr>
          <w:sz w:val="22"/>
          <w:szCs w:val="22"/>
        </w:rPr>
        <w:t xml:space="preserve">• AI content commoditization — LLMs can now produce technical maritime content at scale</w:t>
      </w:r>
    </w:p>
    <w:p>
      <w:pPr>
        <w:spacing w:after="80"/>
        <w:ind w:left="360"/>
      </w:pPr>
      <w:r>
        <w:rPr>
          <w:sz w:val="22"/>
          <w:szCs w:val="22"/>
        </w:rPr>
        <w:t xml:space="preserve">• Founder exit or burnout — 100% single point of failure</w:t>
      </w:r>
    </w:p>
    <w:p>
      <w:r>
        <w:br w:type="page"/>
      </w:r>
    </w:p>
    <w:p>
      <w:pPr>
        <w:pStyle w:val="Heading1"/>
        <w:spacing w:after="200" w:before="400"/>
      </w:pPr>
      <w:r>
        <w:t xml:space="preserve">2. SEO Analysis</w:t>
      </w:r>
    </w:p>
    <w:p>
      <w:pPr>
        <w:spacing w:after="120"/>
      </w:pPr>
      <w:r>
        <w:rPr>
          <w:sz w:val="22"/>
          <w:szCs w:val="22"/>
        </w:rPr>
        <w:t xml:space="preserve">The organic search data reveals the most critical finding of this entire analysis: ShipPaulJobs has essentially no organic search presence despite 489+ indexed pages and months of content creation. This is an existential issue for a media business.</w:t>
      </w:r>
    </w:p>
    <w:p>
      <w:pPr>
        <w:pStyle w:val="Heading2"/>
        <w:spacing w:after="150" w:before="300"/>
      </w:pPr>
      <w:r>
        <w:t xml:space="preserve">Organic Performance vs. Benchmarks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00"/>
            <w:shd w:fill="D9E2F3" w:color="auto" w:val="clear"/>
          </w:tcPr>
          <w:p>
            <w:r>
              <w:rPr>
                <w:b/>
                <w:bCs/>
                <w:sz w:val="22"/>
                <w:szCs w:val="22"/>
              </w:rPr>
              <w:t xml:space="preserve">Metric</w:t>
            </w:r>
          </w:p>
        </w:tc>
        <w:tc>
          <w:tcPr>
            <w:tcW w:type="dxa" w:w="3100"/>
            <w:shd w:fill="D9E2F3" w:color="auto" w:val="clear"/>
          </w:tcPr>
          <w:p>
            <w:r>
              <w:rPr>
                <w:b/>
                <w:bCs/>
                <w:sz w:val="22"/>
                <w:szCs w:val="22"/>
              </w:rPr>
              <w:t xml:space="preserve">ShipPaulJobs (90d)</w:t>
            </w:r>
          </w:p>
        </w:tc>
        <w:tc>
          <w:tcPr>
            <w:tcW w:type="dxa" w:w="3100"/>
            <w:shd w:fill="D9E2F3" w:color="auto" w:val="clear"/>
          </w:tcPr>
          <w:p>
            <w:r>
              <w:rPr>
                <w:b/>
                <w:bCs/>
                <w:sz w:val="22"/>
                <w:szCs w:val="22"/>
              </w:rPr>
              <w:t xml:space="preserve">Viable Niche Blog Target</w:t>
            </w:r>
          </w:p>
        </w:tc>
      </w:tr>
      <w:tr>
        <w:tc>
          <w:tcPr>
            <w:tcW w:type="dxa" w:w="3300"/>
          </w:tcPr>
          <w:p>
            <w:r>
              <w:rPr>
                <w:sz w:val="22"/>
                <w:szCs w:val="22"/>
              </w:rPr>
              <w:t xml:space="preserve">Google Organic Clicks</w:t>
            </w:r>
          </w:p>
        </w:tc>
        <w:tc>
          <w:tcPr>
            <w:tcW w:type="dxa" w:w="3100"/>
          </w:tcPr>
          <w:p>
            <w:r>
              <w:rPr>
                <w:sz w:val="22"/>
                <w:szCs w:val="22"/>
              </w:rPr>
              <w:t xml:space="preserve">262</w:t>
            </w:r>
          </w:p>
        </w:tc>
        <w:tc>
          <w:tcPr>
            <w:tcW w:type="dxa" w:w="3100"/>
          </w:tcPr>
          <w:p>
            <w:r>
              <w:rPr>
                <w:sz w:val="22"/>
                <w:szCs w:val="22"/>
              </w:rPr>
              <w:t xml:space="preserve">5,000–50,000+</w:t>
            </w:r>
          </w:p>
        </w:tc>
      </w:tr>
      <w:tr>
        <w:tc>
          <w:tcPr>
            <w:tcW w:type="dxa" w:w="3300"/>
          </w:tcPr>
          <w:p>
            <w:r>
              <w:rPr>
                <w:sz w:val="22"/>
                <w:szCs w:val="22"/>
              </w:rPr>
              <w:t xml:space="preserve">Google Impressions</w:t>
            </w:r>
          </w:p>
        </w:tc>
        <w:tc>
          <w:tcPr>
            <w:tcW w:type="dxa" w:w="3100"/>
          </w:tcPr>
          <w:p>
            <w:r>
              <w:rPr>
                <w:sz w:val="22"/>
                <w:szCs w:val="22"/>
              </w:rPr>
              <w:t xml:space="preserve">5,729</w:t>
            </w:r>
          </w:p>
        </w:tc>
        <w:tc>
          <w:tcPr>
            <w:tcW w:type="dxa" w:w="3100"/>
          </w:tcPr>
          <w:p>
            <w:r>
              <w:rPr>
                <w:sz w:val="22"/>
                <w:szCs w:val="22"/>
              </w:rPr>
              <w:t xml:space="preserve">100,000–1,000,000</w:t>
            </w:r>
          </w:p>
        </w:tc>
      </w:tr>
      <w:tr>
        <w:tc>
          <w:tcPr>
            <w:tcW w:type="dxa" w:w="3300"/>
          </w:tcPr>
          <w:p>
            <w:r>
              <w:rPr>
                <w:sz w:val="22"/>
                <w:szCs w:val="22"/>
              </w:rPr>
              <w:t xml:space="preserve">Avg. Search Position</w:t>
            </w:r>
          </w:p>
        </w:tc>
        <w:tc>
          <w:tcPr>
            <w:tcW w:type="dxa" w:w="3100"/>
          </w:tcPr>
          <w:p>
            <w:r>
              <w:rPr>
                <w:sz w:val="22"/>
                <w:szCs w:val="22"/>
              </w:rPr>
              <w:t xml:space="preserve">14.87 (page 2)</w:t>
            </w:r>
          </w:p>
        </w:tc>
        <w:tc>
          <w:tcPr>
            <w:tcW w:type="dxa" w:w="3100"/>
          </w:tcPr>
          <w:p>
            <w:r>
              <w:rPr>
                <w:sz w:val="22"/>
                <w:szCs w:val="22"/>
              </w:rPr>
              <w:t xml:space="preserve">5–10 (page 1)</w:t>
            </w:r>
          </w:p>
        </w:tc>
      </w:tr>
      <w:tr>
        <w:tc>
          <w:tcPr>
            <w:tcW w:type="dxa" w:w="3300"/>
          </w:tcPr>
          <w:p>
            <w:r>
              <w:rPr>
                <w:sz w:val="22"/>
                <w:szCs w:val="22"/>
              </w:rPr>
              <w:t xml:space="preserve">Organic CTR</w:t>
            </w:r>
          </w:p>
        </w:tc>
        <w:tc>
          <w:tcPr>
            <w:tcW w:type="dxa" w:w="3100"/>
          </w:tcPr>
          <w:p>
            <w:r>
              <w:rPr>
                <w:sz w:val="22"/>
                <w:szCs w:val="22"/>
              </w:rPr>
              <w:t xml:space="preserve">4.57%</w:t>
            </w:r>
          </w:p>
        </w:tc>
        <w:tc>
          <w:tcPr>
            <w:tcW w:type="dxa" w:w="3100"/>
          </w:tcPr>
          <w:p>
            <w:r>
              <w:rPr>
                <w:sz w:val="22"/>
                <w:szCs w:val="22"/>
              </w:rPr>
              <w:t xml:space="preserve">2–5% (CTR OK; position is the problem)</w:t>
            </w:r>
          </w:p>
        </w:tc>
      </w:tr>
      <w:tr>
        <w:tc>
          <w:tcPr>
            <w:tcW w:type="dxa" w:w="3300"/>
          </w:tcPr>
          <w:p>
            <w:r>
              <w:rPr>
                <w:sz w:val="22"/>
                <w:szCs w:val="22"/>
              </w:rPr>
              <w:t xml:space="preserve">% Organic to Homepage</w:t>
            </w:r>
          </w:p>
        </w:tc>
        <w:tc>
          <w:tcPr>
            <w:tcW w:type="dxa" w:w="3100"/>
          </w:tcPr>
          <w:p>
            <w:r>
              <w:rPr>
                <w:sz w:val="22"/>
                <w:szCs w:val="22"/>
              </w:rPr>
              <w:t xml:space="preserve">75.19% (branded)</w:t>
            </w:r>
          </w:p>
        </w:tc>
        <w:tc>
          <w:tcPr>
            <w:tcW w:type="dxa" w:w="3100"/>
          </w:tcPr>
          <w:p>
            <w:r>
              <w:rPr>
                <w:sz w:val="22"/>
                <w:szCs w:val="22"/>
              </w:rPr>
              <w:t xml:space="preserve">&lt;30% (content pages should rank)</w:t>
            </w:r>
          </w:p>
        </w:tc>
      </w:tr>
      <w:tr>
        <w:tc>
          <w:tcPr>
            <w:tcW w:type="dxa" w:w="3300"/>
          </w:tcPr>
          <w:p>
            <w:r>
              <w:rPr>
                <w:sz w:val="22"/>
                <w:szCs w:val="22"/>
              </w:rPr>
              <w:t xml:space="preserve">Organic share of total traffic</w:t>
            </w:r>
          </w:p>
        </w:tc>
        <w:tc>
          <w:tcPr>
            <w:tcW w:type="dxa" w:w="3100"/>
          </w:tcPr>
          <w:p>
            <w:r>
              <w:rPr>
                <w:sz w:val="22"/>
                <w:szCs w:val="22"/>
              </w:rPr>
              <w:t xml:space="preserve">&lt;10%</w:t>
            </w:r>
          </w:p>
        </w:tc>
        <w:tc>
          <w:tcPr>
            <w:tcW w:type="dxa" w:w="3100"/>
          </w:tcPr>
          <w:p>
            <w:r>
              <w:rPr>
                <w:sz w:val="22"/>
                <w:szCs w:val="22"/>
              </w:rPr>
              <w:t xml:space="preserve">40–70%</w:t>
            </w:r>
          </w:p>
        </w:tc>
      </w:tr>
    </w:tbl>
    <w:p>
      <w:pPr>
        <w:spacing w:after="200"/>
      </w:pPr>
    </w:p>
    <w:p>
      <w:pPr>
        <w:pStyle w:val="Heading2"/>
        <w:spacing w:after="150" w:before="300"/>
      </w:pPr>
      <w:r>
        <w:t xml:space="preserve">Root Cause Analysis</w:t>
      </w:r>
    </w:p>
    <w:p>
      <w:pPr>
        <w:spacing w:after="80"/>
        <w:ind w:left="360"/>
      </w:pPr>
      <w:r>
        <w:rPr>
          <w:sz w:val="22"/>
          <w:szCs w:val="22"/>
        </w:rPr>
        <w:t xml:space="preserve">• Blogger platform — no control over server-side rendering, site structure, or technical SEO parameters</w:t>
      </w:r>
    </w:p>
    <w:p>
      <w:pPr>
        <w:spacing w:after="80"/>
        <w:ind w:left="360"/>
      </w:pPr>
      <w:r>
        <w:rPr>
          <w:sz w:val="22"/>
          <w:szCs w:val="22"/>
        </w:rPr>
        <w:t xml:space="preserve">• No keyword strategy — content titles like "agent-ai-25" are not optimized for any search query</w:t>
      </w:r>
    </w:p>
    <w:p>
      <w:pPr>
        <w:spacing w:after="80"/>
        <w:ind w:left="360"/>
      </w:pPr>
      <w:r>
        <w:rPr>
          <w:sz w:val="22"/>
          <w:szCs w:val="22"/>
        </w:rPr>
        <w:t xml:space="preserve">• Weak internal linking — URLs discovered during this session with no sitemap reference and no referring pages</w:t>
      </w:r>
    </w:p>
    <w:p>
      <w:pPr>
        <w:spacing w:after="80"/>
        <w:ind w:left="360"/>
      </w:pPr>
      <w:r>
        <w:rPr>
          <w:sz w:val="22"/>
          <w:szCs w:val="22"/>
        </w:rPr>
        <w:t xml:space="preserve">• Zero backlinks — no external sites sending organic link equity; DA near 0</w:t>
      </w:r>
    </w:p>
    <w:p>
      <w:pPr>
        <w:spacing w:after="80"/>
        <w:ind w:left="360"/>
      </w:pPr>
      <w:r>
        <w:rPr>
          <w:sz w:val="22"/>
          <w:szCs w:val="22"/>
        </w:rPr>
        <w:t xml:space="preserve">• Domain age and authority — insufficient trust signals for competitive maritime keywords</w:t>
      </w:r>
    </w:p>
    <w:p>
      <w:pPr>
        <w:pStyle w:val="Heading2"/>
        <w:spacing w:after="150" w:before="300"/>
      </w:pPr>
      <w:r>
        <w:t xml:space="preserve">Top Organic Landing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4000"/>
            <w:shd w:fill="D9E2F3" w:color="auto" w:val="clear"/>
          </w:tcPr>
          <w:p>
            <w:r>
              <w:rPr>
                <w:b/>
                <w:bCs/>
                <w:sz w:val="22"/>
                <w:szCs w:val="22"/>
              </w:rPr>
              <w:t xml:space="preserve">Page</w:t>
            </w:r>
          </w:p>
        </w:tc>
        <w:tc>
          <w:tcPr>
            <w:tcW w:type="dxa" w:w="1100"/>
            <w:shd w:fill="D9E2F3" w:color="auto" w:val="clear"/>
          </w:tcPr>
          <w:p>
            <w:r>
              <w:rPr>
                <w:b/>
                <w:bCs/>
                <w:sz w:val="22"/>
                <w:szCs w:val="22"/>
              </w:rPr>
              <w:t xml:space="preserve">Clicks</w:t>
            </w:r>
          </w:p>
        </w:tc>
        <w:tc>
          <w:tcPr>
            <w:tcW w:type="dxa" w:w="1500"/>
            <w:shd w:fill="D9E2F3" w:color="auto" w:val="clear"/>
          </w:tcPr>
          <w:p>
            <w:r>
              <w:rPr>
                <w:b/>
                <w:bCs/>
                <w:sz w:val="22"/>
                <w:szCs w:val="22"/>
              </w:rPr>
              <w:t xml:space="preserve">Impressions</w:t>
            </w:r>
          </w:p>
        </w:tc>
        <w:tc>
          <w:tcPr>
            <w:tcW w:type="dxa" w:w="1000"/>
            <w:shd w:fill="D9E2F3" w:color="auto" w:val="clear"/>
          </w:tcPr>
          <w:p>
            <w:r>
              <w:rPr>
                <w:b/>
                <w:bCs/>
                <w:sz w:val="22"/>
                <w:szCs w:val="22"/>
              </w:rPr>
              <w:t xml:space="preserve">CTR</w:t>
            </w:r>
          </w:p>
        </w:tc>
        <w:tc>
          <w:tcPr>
            <w:tcW w:type="dxa" w:w="1900"/>
            <w:shd w:fill="D9E2F3" w:color="auto" w:val="clear"/>
          </w:tcPr>
          <w:p>
            <w:r>
              <w:rPr>
                <w:b/>
                <w:bCs/>
                <w:sz w:val="22"/>
                <w:szCs w:val="22"/>
              </w:rPr>
              <w:t xml:space="preserve">Position</w:t>
            </w:r>
          </w:p>
        </w:tc>
      </w:tr>
      <w:tr>
        <w:tc>
          <w:tcPr>
            <w:tcW w:type="dxa" w:w="4000"/>
          </w:tcPr>
          <w:p>
            <w:r>
              <w:rPr>
                <w:sz w:val="22"/>
                <w:szCs w:val="22"/>
              </w:rPr>
              <w:t xml:space="preserve">/ (Homepage)</w:t>
            </w:r>
          </w:p>
        </w:tc>
        <w:tc>
          <w:tcPr>
            <w:tcW w:type="dxa" w:w="1100"/>
          </w:tcPr>
          <w:p>
            <w:r>
              <w:rPr>
                <w:sz w:val="22"/>
                <w:szCs w:val="22"/>
              </w:rPr>
              <w:t xml:space="preserve">197 (75.2%)</w:t>
            </w:r>
          </w:p>
        </w:tc>
        <w:tc>
          <w:tcPr>
            <w:tcW w:type="dxa" w:w="1500"/>
          </w:tcPr>
          <w:p>
            <w:r>
              <w:rPr>
                <w:sz w:val="22"/>
                <w:szCs w:val="22"/>
              </w:rPr>
              <w:t xml:space="preserve">497</w:t>
            </w:r>
          </w:p>
        </w:tc>
        <w:tc>
          <w:tcPr>
            <w:tcW w:type="dxa" w:w="1000"/>
          </w:tcPr>
          <w:p>
            <w:r>
              <w:rPr>
                <w:sz w:val="22"/>
                <w:szCs w:val="22"/>
              </w:rPr>
              <w:t xml:space="preserve">39.64%</w:t>
            </w:r>
          </w:p>
        </w:tc>
        <w:tc>
          <w:tcPr>
            <w:tcW w:type="dxa" w:w="1900"/>
          </w:tcPr>
          <w:p>
            <w:r>
              <w:rPr>
                <w:sz w:val="22"/>
                <w:szCs w:val="22"/>
              </w:rPr>
              <w:t xml:space="preserve">2.50</w:t>
            </w:r>
          </w:p>
        </w:tc>
      </w:tr>
      <w:tr>
        <w:tc>
          <w:tcPr>
            <w:tcW w:type="dxa" w:w="4000"/>
          </w:tcPr>
          <w:p>
            <w:r>
              <w:rPr>
                <w:sz w:val="22"/>
                <w:szCs w:val="22"/>
              </w:rPr>
              <w:t xml:space="preserve">/search/label/Maritime Industry Insights</w:t>
            </w:r>
          </w:p>
        </w:tc>
        <w:tc>
          <w:tcPr>
            <w:tcW w:type="dxa" w:w="1100"/>
          </w:tcPr>
          <w:p>
            <w:r>
              <w:rPr>
                <w:sz w:val="22"/>
                <w:szCs w:val="22"/>
              </w:rPr>
              <w:t xml:space="preserve">23 (8.8%)</w:t>
            </w:r>
          </w:p>
        </w:tc>
        <w:tc>
          <w:tcPr>
            <w:tcW w:type="dxa" w:w="1500"/>
          </w:tcPr>
          <w:p>
            <w:r>
              <w:rPr>
                <w:sz w:val="22"/>
                <w:szCs w:val="22"/>
              </w:rPr>
              <w:t xml:space="preserve">225</w:t>
            </w:r>
          </w:p>
        </w:tc>
        <w:tc>
          <w:tcPr>
            <w:tcW w:type="dxa" w:w="1000"/>
          </w:tcPr>
          <w:p>
            <w:r>
              <w:rPr>
                <w:sz w:val="22"/>
                <w:szCs w:val="22"/>
              </w:rPr>
              <w:t xml:space="preserve">10.22%</w:t>
            </w:r>
          </w:p>
        </w:tc>
        <w:tc>
          <w:tcPr>
            <w:tcW w:type="dxa" w:w="1900"/>
          </w:tcPr>
          <w:p>
            <w:r>
              <w:rPr>
                <w:sz w:val="22"/>
                <w:szCs w:val="22"/>
              </w:rPr>
              <w:t xml:space="preserve">4.98</w:t>
            </w:r>
          </w:p>
        </w:tc>
      </w:tr>
      <w:tr>
        <w:tc>
          <w:tcPr>
            <w:tcW w:type="dxa" w:w="4000"/>
          </w:tcPr>
          <w:p>
            <w:r>
              <w:rPr>
                <w:sz w:val="22"/>
                <w:szCs w:val="22"/>
              </w:rPr>
              <w:t xml:space="preserve">/2025/10/part-2.html</w:t>
            </w:r>
          </w:p>
        </w:tc>
        <w:tc>
          <w:tcPr>
            <w:tcW w:type="dxa" w:w="1100"/>
          </w:tcPr>
          <w:p>
            <w:r>
              <w:rPr>
                <w:sz w:val="22"/>
                <w:szCs w:val="22"/>
              </w:rPr>
              <w:t xml:space="preserve">7 (2.7%)</w:t>
            </w:r>
          </w:p>
        </w:tc>
        <w:tc>
          <w:tcPr>
            <w:tcW w:type="dxa" w:w="1500"/>
          </w:tcPr>
          <w:p>
            <w:r>
              <w:rPr>
                <w:sz w:val="22"/>
                <w:szCs w:val="22"/>
              </w:rPr>
              <w:t xml:space="preserve">207</w:t>
            </w:r>
          </w:p>
        </w:tc>
        <w:tc>
          <w:tcPr>
            <w:tcW w:type="dxa" w:w="1000"/>
          </w:tcPr>
          <w:p>
            <w:r>
              <w:rPr>
                <w:sz w:val="22"/>
                <w:szCs w:val="22"/>
              </w:rPr>
              <w:t xml:space="preserve">3.38%</w:t>
            </w:r>
          </w:p>
        </w:tc>
        <w:tc>
          <w:tcPr>
            <w:tcW w:type="dxa" w:w="1900"/>
          </w:tcPr>
          <w:p>
            <w:r>
              <w:rPr>
                <w:sz w:val="22"/>
                <w:szCs w:val="22"/>
              </w:rPr>
              <w:t xml:space="preserve">2.86</w:t>
            </w:r>
          </w:p>
        </w:tc>
      </w:tr>
      <w:tr>
        <w:tc>
          <w:tcPr>
            <w:tcW w:type="dxa" w:w="4000"/>
          </w:tcPr>
          <w:p>
            <w:r>
              <w:rPr>
                <w:sz w:val="22"/>
                <w:szCs w:val="22"/>
              </w:rPr>
              <w:t xml:space="preserve">/2025/02/reconnecting-with-shipbuilding</w:t>
            </w:r>
          </w:p>
        </w:tc>
        <w:tc>
          <w:tcPr>
            <w:tcW w:type="dxa" w:w="1100"/>
          </w:tcPr>
          <w:p>
            <w:r>
              <w:rPr>
                <w:sz w:val="22"/>
                <w:szCs w:val="22"/>
              </w:rPr>
              <w:t xml:space="preserve">5 (1.9%)</w:t>
            </w:r>
          </w:p>
        </w:tc>
        <w:tc>
          <w:tcPr>
            <w:tcW w:type="dxa" w:w="1500"/>
          </w:tcPr>
          <w:p>
            <w:r>
              <w:rPr>
                <w:sz w:val="22"/>
                <w:szCs w:val="22"/>
              </w:rPr>
              <w:t xml:space="preserve">84</w:t>
            </w:r>
          </w:p>
        </w:tc>
        <w:tc>
          <w:tcPr>
            <w:tcW w:type="dxa" w:w="1000"/>
          </w:tcPr>
          <w:p>
            <w:r>
              <w:rPr>
                <w:sz w:val="22"/>
                <w:szCs w:val="22"/>
              </w:rPr>
              <w:t xml:space="preserve">5.95%</w:t>
            </w:r>
          </w:p>
        </w:tc>
        <w:tc>
          <w:tcPr>
            <w:tcW w:type="dxa" w:w="1900"/>
          </w:tcPr>
          <w:p>
            <w:r>
              <w:rPr>
                <w:sz w:val="22"/>
                <w:szCs w:val="22"/>
              </w:rPr>
              <w:t xml:space="preserve">8.49</w:t>
            </w:r>
          </w:p>
        </w:tc>
      </w:tr>
    </w:tbl>
    <w:p>
      <w:pPr>
        <w:spacing w:after="200"/>
      </w:pPr>
    </w:p>
    <w:p>
      <w:pPr>
        <w:spacing w:after="120"/>
      </w:pPr>
      <w:r>
        <w:rPr>
          <w:sz w:val="22"/>
          <w:szCs w:val="22"/>
        </w:rPr>
        <w:t xml:space="preserve">Key insight: 75% of organic clicks go to the homepage. This is the definitive signal that organic traffic is branded (people specifically searching for "ShipPaulJobs"). Non-branded content discovery through Google is essentially zero. The blog does not exist in Google's eyes for any maritime cybersecurity topic.</w:t>
      </w:r>
    </w:p>
    <w:p>
      <w:pPr>
        <w:pStyle w:val="Heading2"/>
        <w:spacing w:after="150" w:before="300"/>
      </w:pPr>
      <w:r>
        <w:t xml:space="preserve">SEO Maturity Score: 12 / 100</w:t>
      </w:r>
    </w:p>
    <w:p>
      <w:pPr>
        <w:pStyle w:val="Heading2"/>
        <w:spacing w:after="150" w:before="300"/>
      </w:pPr>
      <w:r>
        <w:t xml:space="preserve">Probability of Significant Organic Growth (12 months): 15%</w:t>
      </w:r>
    </w:p>
    <w:p>
      <w:pPr>
        <w:spacing w:after="120"/>
      </w:pPr>
      <w:r>
        <w:rPr>
          <w:sz w:val="22"/>
          <w:szCs w:val="22"/>
        </w:rPr>
        <w:t xml:space="preserve">Without WordPress migration, keyword strategy, and backlink acquisition, organic growth is structurally impossible on Blogger. The 15% probability applies only if migration is completed within 90 days.</w:t>
      </w:r>
    </w:p>
    <w:p>
      <w:r>
        <w:br w:type="page"/>
      </w:r>
    </w:p>
    <w:p>
      <w:pPr>
        <w:pStyle w:val="Heading1"/>
        <w:spacing w:after="200" w:before="400"/>
      </w:pPr>
      <w:r>
        <w:t xml:space="preserve">3. Google Search Quality Evaluator Perspective (E-E-A-T)</w:t>
      </w:r>
    </w:p>
    <w:p>
      <w:pPr>
        <w:spacing w:after="120"/>
      </w:pPr>
      <w:r>
        <w:rPr>
          <w:sz w:val="22"/>
          <w:szCs w:val="22"/>
        </w:rPr>
        <w:t xml:space="preserve">Scored as per Google's Search Quality Evaluator Guidelines, 2024 edition. This represents how a trained Google quality rater would evaluate https://www.shippauljobs.com.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color="auto" w:val="clear"/>
          </w:tcPr>
          <w:p>
            <w:r>
              <w:rPr>
                <w:b/>
                <w:bCs/>
                <w:sz w:val="22"/>
                <w:szCs w:val="22"/>
              </w:rPr>
              <w:t xml:space="preserve">Dimension</w:t>
            </w:r>
          </w:p>
        </w:tc>
        <w:tc>
          <w:tcPr>
            <w:tcW w:type="dxa" w:w="800"/>
            <w:shd w:fill="D9E2F3" w:color="auto" w:val="clear"/>
          </w:tcPr>
          <w:p>
            <w:r>
              <w:rPr>
                <w:b/>
                <w:bCs/>
                <w:sz w:val="22"/>
                <w:szCs w:val="22"/>
              </w:rPr>
              <w:t xml:space="preserve">Score</w:t>
            </w:r>
          </w:p>
        </w:tc>
        <w:tc>
          <w:tcPr>
            <w:tcW w:type="dxa" w:w="6500"/>
            <w:shd w:fill="D9E2F3" w:color="auto" w:val="clear"/>
          </w:tcPr>
          <w:p>
            <w:r>
              <w:rPr>
                <w:b/>
                <w:bCs/>
                <w:sz w:val="22"/>
                <w:szCs w:val="22"/>
              </w:rPr>
              <w:t xml:space="preserve">Evaluation</w:t>
            </w:r>
          </w:p>
        </w:tc>
      </w:tr>
      <w:tr>
        <w:tc>
          <w:tcPr>
            <w:tcW w:type="dxa" w:w="2500"/>
          </w:tcPr>
          <w:p>
            <w:r>
              <w:rPr>
                <w:b/>
                <w:bCs/>
                <w:sz w:val="22"/>
                <w:szCs w:val="22"/>
              </w:rPr>
              <w:t xml:space="preserve">Experience</w:t>
            </w:r>
          </w:p>
        </w:tc>
        <w:tc>
          <w:tcPr>
            <w:tcW w:type="dxa" w:w="800"/>
          </w:tcPr>
          <w:p>
            <w:r>
              <w:rPr>
                <w:b/>
                <w:bCs/>
                <w:sz w:val="22"/>
                <w:szCs w:val="22"/>
              </w:rPr>
              <w:t xml:space="preserve">7 / 10</w:t>
            </w:r>
          </w:p>
        </w:tc>
        <w:tc>
          <w:tcPr>
            <w:tcW w:type="dxa" w:w="6200"/>
          </w:tcPr>
          <w:p>
            <w:r>
              <w:rPr>
                <w:sz w:val="22"/>
                <w:szCs w:val="22"/>
              </w:rPr>
              <w:t xml:space="preserve">Real maritime practitioner background evident. Shipbuilding career references, Singapore maritime context, and IACS regulatory detail suggest first-hand experience. Genuine differentiator from journalism-only competitors.</w:t>
            </w:r>
          </w:p>
        </w:tc>
      </w:tr>
      <w:tr>
        <w:tc>
          <w:tcPr>
            <w:tcW w:type="dxa" w:w="2500"/>
          </w:tcPr>
          <w:p>
            <w:r>
              <w:rPr>
                <w:b/>
                <w:bCs/>
                <w:sz w:val="22"/>
                <w:szCs w:val="22"/>
              </w:rPr>
              <w:t xml:space="preserve">Expertise</w:t>
            </w:r>
          </w:p>
        </w:tc>
        <w:tc>
          <w:tcPr>
            <w:tcW w:type="dxa" w:w="800"/>
          </w:tcPr>
          <w:p>
            <w:r>
              <w:rPr>
                <w:b/>
                <w:bCs/>
                <w:sz w:val="22"/>
                <w:szCs w:val="22"/>
              </w:rPr>
              <w:t xml:space="preserve">7 / 10</w:t>
            </w:r>
          </w:p>
        </w:tc>
        <w:tc>
          <w:tcPr>
            <w:tcW w:type="dxa" w:w="6200"/>
          </w:tcPr>
          <w:p>
            <w:r>
              <w:rPr>
                <w:sz w:val="22"/>
                <w:szCs w:val="22"/>
              </w:rPr>
              <w:t xml:space="preserve">Technical depth in IACS UR E26/E27, IEC 62443, OT/IT segmentation is substantive and verifiable. However "agent-ai-25/35/45" URL naming pattern raises AI content concerns. Google actively penalizes scaled AI content without genuine editorial value-add.</w:t>
            </w:r>
          </w:p>
        </w:tc>
      </w:tr>
      <w:tr>
        <w:tc>
          <w:tcPr>
            <w:tcW w:type="dxa" w:w="2500"/>
          </w:tcPr>
          <w:p>
            <w:r>
              <w:rPr>
                <w:b/>
                <w:bCs/>
                <w:sz w:val="22"/>
                <w:szCs w:val="22"/>
              </w:rPr>
              <w:t xml:space="preserve">Authoritativeness</w:t>
            </w:r>
          </w:p>
        </w:tc>
        <w:tc>
          <w:tcPr>
            <w:tcW w:type="dxa" w:w="800"/>
          </w:tcPr>
          <w:p>
            <w:r>
              <w:rPr>
                <w:b/>
                <w:bCs/>
                <w:sz w:val="22"/>
                <w:szCs w:val="22"/>
              </w:rPr>
              <w:t xml:space="preserve">2 / 10</w:t>
            </w:r>
          </w:p>
        </w:tc>
        <w:tc>
          <w:tcPr>
            <w:tcW w:type="dxa" w:w="6200"/>
          </w:tcPr>
          <w:p>
            <w:r>
              <w:rPr>
                <w:sz w:val="22"/>
                <w:szCs w:val="22"/>
              </w:rPr>
              <w:t xml:space="preserve">No external validation. No backlinks from recognized maritime publications. No citations by class societies, IMO, or industry associations. No conference speaking record. No press coverage. Blogger platform compounds the authority deficit.</w:t>
            </w:r>
          </w:p>
        </w:tc>
      </w:tr>
      <w:tr>
        <w:tc>
          <w:tcPr>
            <w:tcW w:type="dxa" w:w="2500"/>
          </w:tcPr>
          <w:p>
            <w:r>
              <w:rPr>
                <w:b/>
                <w:bCs/>
                <w:sz w:val="22"/>
                <w:szCs w:val="22"/>
              </w:rPr>
              <w:t xml:space="preserve">Trustworthiness</w:t>
            </w:r>
          </w:p>
        </w:tc>
        <w:tc>
          <w:tcPr>
            <w:tcW w:type="dxa" w:w="800"/>
          </w:tcPr>
          <w:p>
            <w:r>
              <w:rPr>
                <w:b/>
                <w:bCs/>
                <w:sz w:val="22"/>
                <w:szCs w:val="22"/>
              </w:rPr>
              <w:t xml:space="preserve">4 / 10</w:t>
            </w:r>
          </w:p>
        </w:tc>
        <w:tc>
          <w:tcPr>
            <w:tcW w:type="dxa" w:w="6200"/>
          </w:tcPr>
          <w:p>
            <w:r>
              <w:rPr>
                <w:sz w:val="22"/>
                <w:szCs w:val="22"/>
              </w:rPr>
              <w:t xml:space="preserve">HTTPS implemented. Contact page exists. However: no consistent author byline with photo and credentials on every article, no editorial policy, no corrections procedure, no institutional backing. Privacy policy status unclear.</w:t>
            </w:r>
          </w:p>
        </w:tc>
      </w:tr>
      <w:tr>
        <w:tc>
          <w:tcPr>
            <w:tcW w:type="dxa" w:w="2500"/>
          </w:tcPr>
          <w:p>
            <w:r>
              <w:rPr>
                <w:b/>
                <w:bCs/>
                <w:sz w:val="22"/>
                <w:szCs w:val="22"/>
              </w:rPr>
              <w:t xml:space="preserve">Originality</w:t>
            </w:r>
          </w:p>
        </w:tc>
        <w:tc>
          <w:tcPr>
            <w:tcW w:type="dxa" w:w="800"/>
          </w:tcPr>
          <w:p>
            <w:r>
              <w:rPr>
                <w:b/>
                <w:bCs/>
                <w:sz w:val="22"/>
                <w:szCs w:val="22"/>
              </w:rPr>
              <w:t xml:space="preserve">6 / 10</w:t>
            </w:r>
          </w:p>
        </w:tc>
        <w:tc>
          <w:tcPr>
            <w:tcW w:type="dxa" w:w="6200"/>
          </w:tcPr>
          <w:p>
            <w:r>
              <w:rPr>
                <w:sz w:val="22"/>
                <w:szCs w:val="22"/>
              </w:rPr>
              <w:t xml:space="preserve">Core technical articles appear genuinely original. IACS compliance matrices and OT security frameworks show original thinking. AI content volume concern remains.</w:t>
            </w:r>
          </w:p>
        </w:tc>
      </w:tr>
      <w:tr>
        <w:tc>
          <w:tcPr>
            <w:tcW w:type="dxa" w:w="2500"/>
          </w:tcPr>
          <w:p>
            <w:r>
              <w:rPr>
                <w:b/>
                <w:bCs/>
                <w:sz w:val="22"/>
                <w:szCs w:val="22"/>
              </w:rPr>
              <w:t xml:space="preserve">Content Helpfulness</w:t>
            </w:r>
          </w:p>
        </w:tc>
        <w:tc>
          <w:tcPr>
            <w:tcW w:type="dxa" w:w="800"/>
          </w:tcPr>
          <w:p>
            <w:r>
              <w:rPr>
                <w:b/>
                <w:bCs/>
                <w:sz w:val="22"/>
                <w:szCs w:val="22"/>
              </w:rPr>
              <w:t xml:space="preserve">7 / 10</w:t>
            </w:r>
          </w:p>
        </w:tc>
        <w:tc>
          <w:tcPr>
            <w:tcW w:type="dxa" w:w="6200"/>
          </w:tcPr>
          <w:p>
            <w:r>
              <w:rPr>
                <w:sz w:val="22"/>
                <w:szCs w:val="22"/>
              </w:rPr>
              <w:t xml:space="preserve">Engagement metrics support helpfulness — 6m 45s on Maritime News Analysis category page; 6m 13s on ShipPaul Intelligence page. Content genuinely helps the niche audience that finds it.</w:t>
            </w:r>
          </w:p>
        </w:tc>
      </w:tr>
      <w:tr>
        <w:tc>
          <w:tcPr>
            <w:tcW w:type="dxa" w:w="2500"/>
          </w:tcPr>
          <w:p>
            <w:r>
              <w:rPr>
                <w:b/>
                <w:bCs/>
                <w:sz w:val="22"/>
                <w:szCs w:val="22"/>
              </w:rPr>
              <w:t xml:space="preserve">Content Depth</w:t>
            </w:r>
          </w:p>
        </w:tc>
        <w:tc>
          <w:tcPr>
            <w:tcW w:type="dxa" w:w="800"/>
          </w:tcPr>
          <w:p>
            <w:r>
              <w:rPr>
                <w:b/>
                <w:bCs/>
                <w:sz w:val="22"/>
                <w:szCs w:val="22"/>
              </w:rPr>
              <w:t xml:space="preserve">7 / 10</w:t>
            </w:r>
          </w:p>
        </w:tc>
        <w:tc>
          <w:tcPr>
            <w:tcW w:type="dxa" w:w="6200"/>
          </w:tcPr>
          <w:p>
            <w:r>
              <w:rPr>
                <w:sz w:val="22"/>
                <w:szCs w:val="22"/>
              </w:rPr>
              <w:t xml:space="preserve">IACS UR E26/E27 chapter-by-chapter coverage, IEC 62443 series analysis, OT security architecture guides — this is substantive, not surface-level. Rare in general maritime media.</w:t>
            </w:r>
          </w:p>
        </w:tc>
      </w:tr>
      <w:tr>
        <w:tc>
          <w:tcPr>
            <w:tcW w:type="dxa" w:w="2500"/>
          </w:tcPr>
          <w:p>
            <w:r>
              <w:rPr>
                <w:b/>
                <w:bCs/>
                <w:sz w:val="22"/>
                <w:szCs w:val="22"/>
              </w:rPr>
              <w:t xml:space="preserve">Brand Signals</w:t>
            </w:r>
          </w:p>
        </w:tc>
        <w:tc>
          <w:tcPr>
            <w:tcW w:type="dxa" w:w="800"/>
          </w:tcPr>
          <w:p>
            <w:r>
              <w:rPr>
                <w:b/>
                <w:bCs/>
                <w:sz w:val="22"/>
                <w:szCs w:val="22"/>
              </w:rPr>
              <w:t xml:space="preserve">2 / 10</w:t>
            </w:r>
          </w:p>
        </w:tc>
        <w:tc>
          <w:tcPr>
            <w:tcW w:type="dxa" w:w="6200"/>
          </w:tcPr>
          <w:p>
            <w:r>
              <w:rPr>
                <w:sz w:val="22"/>
                <w:szCs w:val="22"/>
              </w:rPr>
              <w:t xml:space="preserve">No observable industry recognition. No LinkedIn company page with significant following. No press coverage. No association memberships highlighted. Blogger platform undermines professional brand.</w:t>
            </w:r>
          </w:p>
        </w:tc>
      </w:tr>
      <w:tr>
        <w:tc>
          <w:tcPr>
            <w:tcW w:type="dxa" w:w="2500"/>
          </w:tcPr>
          <w:p>
            <w:r>
              <w:rPr>
                <w:b/>
                <w:bCs/>
                <w:sz w:val="22"/>
                <w:szCs w:val="22"/>
              </w:rPr>
              <w:t xml:space="preserve">Topic Authority</w:t>
            </w:r>
          </w:p>
        </w:tc>
        <w:tc>
          <w:tcPr>
            <w:tcW w:type="dxa" w:w="800"/>
          </w:tcPr>
          <w:p>
            <w:r>
              <w:rPr>
                <w:b/>
                <w:bCs/>
                <w:sz w:val="22"/>
                <w:szCs w:val="22"/>
              </w:rPr>
              <w:t xml:space="preserve">5 / 10</w:t>
            </w:r>
          </w:p>
        </w:tc>
        <w:tc>
          <w:tcPr>
            <w:tcW w:type="dxa" w:w="6200"/>
          </w:tcPr>
          <w:p>
            <w:r>
              <w:rPr>
                <w:sz w:val="22"/>
                <w:szCs w:val="22"/>
              </w:rPr>
              <w:t xml:space="preserve">Clear topical focus and content cluster around maritime AI + cybersecurity. Coverage volume is building. But without traffic, backlinks, or citations, Google cannot yet confirm topical authority algorithmically.</w:t>
            </w:r>
          </w:p>
        </w:tc>
      </w:tr>
      <w:tr>
        <w:tc>
          <w:tcPr>
            <w:tcW w:type="dxa" w:w="2500"/>
          </w:tcPr>
          <w:p>
            <w:r>
              <w:rPr>
                <w:b/>
                <w:bCs/>
                <w:sz w:val="22"/>
                <w:szCs w:val="22"/>
              </w:rPr>
              <w:t xml:space="preserve">OVERALL E-E-A-T</w:t>
            </w:r>
          </w:p>
        </w:tc>
        <w:tc>
          <w:tcPr>
            <w:tcW w:type="dxa" w:w="800"/>
          </w:tcPr>
          <w:p>
            <w:r>
              <w:rPr>
                <w:b/>
                <w:bCs/>
                <w:sz w:val="22"/>
                <w:szCs w:val="22"/>
              </w:rPr>
              <w:t xml:space="preserve">47 / 100</w:t>
            </w:r>
          </w:p>
        </w:tc>
        <w:tc>
          <w:tcPr>
            <w:tcW w:type="dxa" w:w="6200"/>
          </w:tcPr>
          <w:p>
            <w:r>
              <w:rPr>
                <w:sz w:val="22"/>
                <w:szCs w:val="22"/>
              </w:rPr>
              <w:t xml:space="preserve">Below threshold for competitive ranking in the maritime cybersecurity niche. Acceptable for low-competition long-tail queries. Not competitive for commercial maritime terms where DNV, Lloyd's Register, and established vendors dominate.</w:t>
            </w:r>
          </w:p>
        </w:tc>
      </w:tr>
    </w:tbl>
    <w:p>
      <w:pPr>
        <w:spacing w:after="200"/>
      </w:pPr>
    </w:p>
    <w:p>
      <w:pPr>
        <w:pStyle w:val="Heading2"/>
        <w:spacing w:after="150" w:before="300"/>
      </w:pPr>
      <w:r>
        <w:t xml:space="preserve">Priority E-E-A-T Actions</w:t>
      </w:r>
    </w:p>
    <w:p>
      <w:pPr>
        <w:spacing w:after="80"/>
        <w:ind w:left="360"/>
      </w:pPr>
      <w:r>
        <w:rPr>
          <w:sz w:val="22"/>
          <w:szCs w:val="22"/>
        </w:rPr>
        <w:t xml:space="preserve">• Build comprehensive author bio: credentials, certifications, career timeline, headshot — on every article page</w:t>
      </w:r>
    </w:p>
    <w:p>
      <w:pPr>
        <w:spacing w:after="80"/>
        <w:ind w:left="360"/>
      </w:pPr>
      <w:r>
        <w:rPr>
          <w:sz w:val="22"/>
          <w:szCs w:val="22"/>
        </w:rPr>
        <w:t xml:space="preserve">• Migrate off Blogger — single most impactful trust/authority signal improvement</w:t>
      </w:r>
    </w:p>
    <w:p>
      <w:pPr>
        <w:spacing w:after="80"/>
        <w:ind w:left="360"/>
      </w:pPr>
      <w:r>
        <w:rPr>
          <w:sz w:val="22"/>
          <w:szCs w:val="22"/>
        </w:rPr>
        <w:t xml:space="preserve">• Publish one piece of original research (survey, data study) per quarter to generate external citations</w:t>
      </w:r>
    </w:p>
    <w:p>
      <w:pPr>
        <w:spacing w:after="80"/>
        <w:ind w:left="360"/>
      </w:pPr>
      <w:r>
        <w:rPr>
          <w:sz w:val="22"/>
          <w:szCs w:val="22"/>
        </w:rPr>
        <w:t xml:space="preserve">• Seek one editorial mention or quote in a recognized maritime publication within 90 days</w:t>
      </w:r>
    </w:p>
    <w:p>
      <w:pPr>
        <w:spacing w:after="80"/>
        <w:ind w:left="360"/>
      </w:pPr>
      <w:r>
        <w:rPr>
          <w:sz w:val="22"/>
          <w:szCs w:val="22"/>
        </w:rPr>
        <w:t xml:space="preserve">• Add and link Privacy Policy, editorial standards, and about-the-author pages prominently</w:t>
      </w:r>
    </w:p>
    <w:p>
      <w:r>
        <w:br w:type="page"/>
      </w:r>
    </w:p>
    <w:p>
      <w:pPr>
        <w:pStyle w:val="Heading1"/>
        <w:spacing w:after="200" w:before="400"/>
      </w:pPr>
      <w:r>
        <w:t xml:space="preserve">4. Content Analysis</w:t>
      </w:r>
    </w:p>
    <w:p>
      <w:pPr>
        <w:pStyle w:val="Heading2"/>
        <w:spacing w:after="150" w:before="300"/>
      </w:pPr>
      <w:r>
        <w:t xml:space="preserve">Top Performing Pages (90 Days)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D9E2F3" w:color="auto" w:val="clear"/>
          </w:tcPr>
          <w:p>
            <w:r>
              <w:rPr>
                <w:b/>
                <w:bCs/>
                <w:sz w:val="22"/>
                <w:szCs w:val="22"/>
              </w:rPr>
              <w:t xml:space="preserve">Page</w:t>
            </w:r>
          </w:p>
        </w:tc>
        <w:tc>
          <w:tcPr>
            <w:tcW w:type="dxa" w:w="800"/>
            <w:shd w:fill="D9E2F3" w:color="auto" w:val="clear"/>
          </w:tcPr>
          <w:p>
            <w:r>
              <w:rPr>
                <w:b/>
                <w:bCs/>
                <w:sz w:val="22"/>
                <w:szCs w:val="22"/>
              </w:rPr>
              <w:t xml:space="preserve">Views</w:t>
            </w:r>
          </w:p>
        </w:tc>
        <w:tc>
          <w:tcPr>
            <w:tcW w:type="dxa" w:w="900"/>
            <w:shd w:fill="D9E2F3" w:color="auto" w:val="clear"/>
          </w:tcPr>
          <w:p>
            <w:r>
              <w:rPr>
                <w:b/>
                <w:bCs/>
                <w:sz w:val="22"/>
                <w:szCs w:val="22"/>
              </w:rPr>
              <w:t xml:space="preserve">Users</w:t>
            </w:r>
          </w:p>
        </w:tc>
        <w:tc>
          <w:tcPr>
            <w:tcW w:type="dxa" w:w="1200"/>
            <w:shd w:fill="D9E2F3" w:color="auto" w:val="clear"/>
          </w:tcPr>
          <w:p>
            <w:r>
              <w:rPr>
                <w:b/>
                <w:bCs/>
                <w:sz w:val="22"/>
                <w:szCs w:val="22"/>
              </w:rPr>
              <w:t xml:space="preserve">Avg. Engagement</w:t>
            </w:r>
          </w:p>
        </w:tc>
        <w:tc>
          <w:tcPr>
            <w:tcW w:type="dxa" w:w="3800"/>
            <w:shd w:fill="D9E2F3" w:color="auto" w:val="clear"/>
          </w:tcPr>
          <w:p>
            <w:r>
              <w:rPr>
                <w:b/>
                <w:bCs/>
                <w:sz w:val="22"/>
                <w:szCs w:val="22"/>
              </w:rPr>
              <w:t xml:space="preserve">Assessment</w:t>
            </w:r>
          </w:p>
        </w:tc>
      </w:tr>
      <w:tr>
        <w:tc>
          <w:tcPr>
            <w:tcW w:type="dxa" w:w="2800"/>
          </w:tcPr>
          <w:p>
            <w:r>
              <w:rPr>
                <w:sz w:val="22"/>
                <w:szCs w:val="22"/>
              </w:rPr>
              <w:t xml:space="preserve">Homepage (/)</w:t>
            </w:r>
          </w:p>
        </w:tc>
        <w:tc>
          <w:tcPr>
            <w:tcW w:type="dxa" w:w="800"/>
          </w:tcPr>
          <w:p>
            <w:r>
              <w:rPr>
                <w:sz w:val="22"/>
                <w:szCs w:val="22"/>
              </w:rPr>
              <w:t xml:space="preserve">4,559</w:t>
            </w:r>
          </w:p>
        </w:tc>
        <w:tc>
          <w:tcPr>
            <w:tcW w:type="dxa" w:w="900"/>
          </w:tcPr>
          <w:p>
            <w:r>
              <w:rPr>
                <w:sz w:val="22"/>
                <w:szCs w:val="22"/>
              </w:rPr>
              <w:t xml:space="preserve">452</w:t>
            </w:r>
          </w:p>
        </w:tc>
        <w:tc>
          <w:tcPr>
            <w:tcW w:type="dxa" w:w="1200"/>
          </w:tcPr>
          <w:p>
            <w:r>
              <w:rPr>
                <w:sz w:val="22"/>
                <w:szCs w:val="22"/>
              </w:rPr>
              <w:t xml:space="preserve">4m 29s</w:t>
            </w:r>
          </w:p>
        </w:tc>
        <w:tc>
          <w:tcPr>
            <w:tcW w:type="dxa" w:w="3800"/>
          </w:tcPr>
          <w:p>
            <w:r>
              <w:rPr>
                <w:sz w:val="22"/>
                <w:szCs w:val="22"/>
              </w:rPr>
              <w:t xml:space="preserve">Brand hub. Excellent engagement. Concerning that 38% of all views hit homepage — content is underperforming for individual discovery.</w:t>
            </w:r>
          </w:p>
        </w:tc>
      </w:tr>
      <w:tr>
        <w:tc>
          <w:tcPr>
            <w:tcW w:type="dxa" w:w="2800"/>
          </w:tcPr>
          <w:p>
            <w:r>
              <w:rPr>
                <w:sz w:val="22"/>
                <w:szCs w:val="22"/>
              </w:rPr>
              <w:t xml:space="preserve">Maritime Cyber Security Jobs</w:t>
            </w:r>
          </w:p>
        </w:tc>
        <w:tc>
          <w:tcPr>
            <w:tcW w:type="dxa" w:w="800"/>
          </w:tcPr>
          <w:p>
            <w:r>
              <w:rPr>
                <w:sz w:val="22"/>
                <w:szCs w:val="22"/>
              </w:rPr>
              <w:t xml:space="preserve">314</w:t>
            </w:r>
          </w:p>
        </w:tc>
        <w:tc>
          <w:tcPr>
            <w:tcW w:type="dxa" w:w="900"/>
          </w:tcPr>
          <w:p>
            <w:r>
              <w:rPr>
                <w:sz w:val="22"/>
                <w:szCs w:val="22"/>
              </w:rPr>
              <w:t xml:space="preserve">176</w:t>
            </w:r>
          </w:p>
        </w:tc>
        <w:tc>
          <w:tcPr>
            <w:tcW w:type="dxa" w:w="1200"/>
          </w:tcPr>
          <w:p>
            <w:r>
              <w:rPr>
                <w:sz w:val="22"/>
                <w:szCs w:val="22"/>
              </w:rPr>
              <w:t xml:space="preserve">1m 00s</w:t>
            </w:r>
          </w:p>
        </w:tc>
        <w:tc>
          <w:tcPr>
            <w:tcW w:type="dxa" w:w="3800"/>
          </w:tcPr>
          <w:p>
            <w:r>
              <w:rPr>
                <w:sz w:val="22"/>
                <w:szCs w:val="22"/>
              </w:rPr>
              <w:t xml:space="preserve">Highest unique user reach. Job content drives discovery. SEO opportunity — optimize for "maritime cybersecurity jobs" keyword.</w:t>
            </w:r>
          </w:p>
        </w:tc>
      </w:tr>
      <w:tr>
        <w:tc>
          <w:tcPr>
            <w:tcW w:type="dxa" w:w="2800"/>
          </w:tcPr>
          <w:p>
            <w:r>
              <w:rPr>
                <w:sz w:val="22"/>
                <w:szCs w:val="22"/>
              </w:rPr>
              <w:t xml:space="preserve">Maritime News Analysis (label)</w:t>
            </w:r>
          </w:p>
        </w:tc>
        <w:tc>
          <w:tcPr>
            <w:tcW w:type="dxa" w:w="800"/>
          </w:tcPr>
          <w:p>
            <w:r>
              <w:rPr>
                <w:sz w:val="22"/>
                <w:szCs w:val="22"/>
              </w:rPr>
              <w:t xml:space="preserve">276</w:t>
            </w:r>
          </w:p>
        </w:tc>
        <w:tc>
          <w:tcPr>
            <w:tcW w:type="dxa" w:w="900"/>
          </w:tcPr>
          <w:p>
            <w:r>
              <w:rPr>
                <w:sz w:val="22"/>
                <w:szCs w:val="22"/>
              </w:rPr>
              <w:t xml:space="preserve">21</w:t>
            </w:r>
          </w:p>
        </w:tc>
        <w:tc>
          <w:tcPr>
            <w:tcW w:type="dxa" w:w="1200"/>
          </w:tcPr>
          <w:p>
            <w:r>
              <w:rPr>
                <w:sz w:val="22"/>
                <w:szCs w:val="22"/>
              </w:rPr>
              <w:t xml:space="preserve">6m 45s</w:t>
            </w:r>
          </w:p>
        </w:tc>
        <w:tc>
          <w:tcPr>
            <w:tcW w:type="dxa" w:w="3800"/>
          </w:tcPr>
          <w:p>
            <w:r>
              <w:rPr>
                <w:sz w:val="22"/>
                <w:szCs w:val="22"/>
              </w:rPr>
              <w:t xml:space="preserve">Best engagement of any page. Category browsers read deeply. Expand this content cluster urgently.</w:t>
            </w:r>
          </w:p>
        </w:tc>
      </w:tr>
      <w:tr>
        <w:tc>
          <w:tcPr>
            <w:tcW w:type="dxa" w:w="2800"/>
          </w:tcPr>
          <w:p>
            <w:r>
              <w:rPr>
                <w:sz w:val="22"/>
                <w:szCs w:val="22"/>
              </w:rPr>
              <w:t xml:space="preserve">Ship Cybersecurity Capability Matrix</w:t>
            </w:r>
          </w:p>
        </w:tc>
        <w:tc>
          <w:tcPr>
            <w:tcW w:type="dxa" w:w="800"/>
          </w:tcPr>
          <w:p>
            <w:r>
              <w:rPr>
                <w:sz w:val="22"/>
                <w:szCs w:val="22"/>
              </w:rPr>
              <w:t xml:space="preserve">131</w:t>
            </w:r>
          </w:p>
        </w:tc>
        <w:tc>
          <w:tcPr>
            <w:tcW w:type="dxa" w:w="900"/>
          </w:tcPr>
          <w:p>
            <w:r>
              <w:rPr>
                <w:sz w:val="22"/>
                <w:szCs w:val="22"/>
              </w:rPr>
              <w:t xml:space="preserve">61</w:t>
            </w:r>
          </w:p>
        </w:tc>
        <w:tc>
          <w:tcPr>
            <w:tcW w:type="dxa" w:w="1200"/>
          </w:tcPr>
          <w:p>
            <w:r>
              <w:rPr>
                <w:sz w:val="22"/>
                <w:szCs w:val="22"/>
              </w:rPr>
              <w:t xml:space="preserve">1m 07s</w:t>
            </w:r>
          </w:p>
        </w:tc>
        <w:tc>
          <w:tcPr>
            <w:tcW w:type="dxa" w:w="3800"/>
          </w:tcPr>
          <w:p>
            <w:r>
              <w:rPr>
                <w:sz w:val="22"/>
                <w:szCs w:val="22"/>
              </w:rPr>
              <w:t xml:space="preserve">61 unique users = highest discovery rate per view. Tool-type content drives organic bookmarking. Create more tools.</w:t>
            </w:r>
          </w:p>
        </w:tc>
      </w:tr>
      <w:tr>
        <w:tc>
          <w:tcPr>
            <w:tcW w:type="dxa" w:w="2800"/>
          </w:tcPr>
          <w:p>
            <w:r>
              <w:rPr>
                <w:sz w:val="22"/>
                <w:szCs w:val="22"/>
              </w:rPr>
              <w:t xml:space="preserve">IACS E26/E27 Guide (label)</w:t>
            </w:r>
          </w:p>
        </w:tc>
        <w:tc>
          <w:tcPr>
            <w:tcW w:type="dxa" w:w="800"/>
          </w:tcPr>
          <w:p>
            <w:r>
              <w:rPr>
                <w:sz w:val="22"/>
                <w:szCs w:val="22"/>
              </w:rPr>
              <w:t xml:space="preserve">59</w:t>
            </w:r>
          </w:p>
        </w:tc>
        <w:tc>
          <w:tcPr>
            <w:tcW w:type="dxa" w:w="900"/>
          </w:tcPr>
          <w:p>
            <w:r>
              <w:rPr>
                <w:sz w:val="22"/>
                <w:szCs w:val="22"/>
              </w:rPr>
              <w:t xml:space="preserve">59</w:t>
            </w:r>
          </w:p>
        </w:tc>
        <w:tc>
          <w:tcPr>
            <w:tcW w:type="dxa" w:w="1200"/>
          </w:tcPr>
          <w:p>
            <w:r>
              <w:rPr>
                <w:sz w:val="22"/>
                <w:szCs w:val="22"/>
              </w:rPr>
              <w:t xml:space="preserve">—</w:t>
            </w:r>
          </w:p>
        </w:tc>
        <w:tc>
          <w:tcPr>
            <w:tcW w:type="dxa" w:w="3800"/>
          </w:tcPr>
          <w:p>
            <w:r>
              <w:rPr>
                <w:sz w:val="22"/>
                <w:szCs w:val="22"/>
              </w:rPr>
              <w:t xml:space="preserve">Unique users = total users (pure discovery). Every visitor is a first-timer. Strong SEO potential if optimized.</w:t>
            </w:r>
          </w:p>
        </w:tc>
      </w:tr>
    </w:tbl>
    <w:p>
      <w:pPr>
        <w:spacing w:after="200"/>
      </w:pPr>
    </w:p>
    <w:p>
      <w:pPr>
        <w:pStyle w:val="Heading2"/>
        <w:spacing w:after="150" w:before="300"/>
      </w:pPr>
      <w:r>
        <w:t xml:space="preserve">Critical Underperformers</w:t>
      </w:r>
    </w:p>
    <w:p>
      <w:pPr>
        <w:spacing w:after="80"/>
        <w:ind w:left="360"/>
      </w:pPr>
      <w:r>
        <w:rPr>
          <w:sz w:val="22"/>
          <w:szCs w:val="22"/>
        </w:rPr>
        <w:t xml:space="preserve">• /p/advertisement-26-01.html — 119 page views, 13 SECONDS average engagement. 10th most viewed page with near-zero engagement. Either a stub, placeholder, or navigation dead-end. Remove or rebuild.</w:t>
      </w:r>
    </w:p>
    <w:p>
      <w:pPr>
        <w:spacing w:after="80"/>
        <w:ind w:left="360"/>
      </w:pPr>
      <w:r>
        <w:rPr>
          <w:sz w:val="22"/>
          <w:szCs w:val="22"/>
        </w:rPr>
        <w:t xml:space="preserve">• The "agent-ai-XX" series — URL naming pattern appears in the most-viewed list. These articles have traffic (part of 489 indexed pages) but if named after AI generation iterations rather than human-readable topics, they are being wasted.</w:t>
      </w:r>
    </w:p>
    <w:p>
      <w:pPr>
        <w:pStyle w:val="Heading2"/>
        <w:spacing w:after="150" w:before="300"/>
      </w:pPr>
      <w:r>
        <w:t xml:space="preserve">Evergreen Content Opportunities</w:t>
      </w:r>
    </w:p>
    <w:p>
      <w:pPr>
        <w:spacing w:after="80"/>
        <w:ind w:left="360"/>
      </w:pPr>
      <w:r>
        <w:rPr>
          <w:sz w:val="22"/>
          <w:szCs w:val="22"/>
        </w:rPr>
        <w:t xml:space="preserve">• IACS UR E26/E27 compliance guidance — mandatory regulation, multi-year demand cycle</w:t>
      </w:r>
    </w:p>
    <w:p>
      <w:pPr>
        <w:spacing w:after="80"/>
        <w:ind w:left="360"/>
      </w:pPr>
      <w:r>
        <w:rPr>
          <w:sz w:val="22"/>
          <w:szCs w:val="22"/>
        </w:rPr>
        <w:t xml:space="preserve">• Maritime cybersecurity jobs — perennial, high-search-volume topic</w:t>
      </w:r>
    </w:p>
    <w:p>
      <w:pPr>
        <w:spacing w:after="80"/>
        <w:ind w:left="360"/>
      </w:pPr>
      <w:r>
        <w:rPr>
          <w:sz w:val="22"/>
          <w:szCs w:val="22"/>
        </w:rPr>
        <w:t xml:space="preserve">• IEC 62443 practical guides — reference material with 5-10 year shelf life</w:t>
      </w:r>
    </w:p>
    <w:p>
      <w:pPr>
        <w:spacing w:after="80"/>
        <w:ind w:left="360"/>
      </w:pPr>
      <w:r>
        <w:rPr>
          <w:sz w:val="22"/>
          <w:szCs w:val="22"/>
        </w:rPr>
        <w:t xml:space="preserve">• IMO autonomous ship (MASS) regulations — decade-long regulatory process</w:t>
      </w:r>
    </w:p>
    <w:p>
      <w:pPr>
        <w:spacing w:after="80"/>
        <w:ind w:left="360"/>
      </w:pPr>
      <w:r>
        <w:rPr>
          <w:sz w:val="22"/>
          <w:szCs w:val="22"/>
        </w:rPr>
        <w:t xml:space="preserve">• Maritime AI governance frameworks — growing regulatory requirement globally</w:t>
      </w:r>
    </w:p>
    <w:p>
      <w:pPr>
        <w:pStyle w:val="Heading2"/>
        <w:spacing w:after="150" w:before="300"/>
      </w:pPr>
      <w:r>
        <w:t xml:space="preserve">Top 20 Strategic Content Priorities</w:t>
      </w:r>
    </w:p>
    <w:p>
      <w:pPr>
        <w:spacing w:after="80"/>
        <w:ind w:left="360"/>
      </w:pPr>
      <w:r>
        <w:rPr>
          <w:sz w:val="22"/>
          <w:szCs w:val="22"/>
        </w:rPr>
        <w:t xml:space="preserve">• 1. "IACS UR E26/E27 Compliance Checklist for Shipyards 2026" — regulatory urgency, B2B decision-makers</w:t>
      </w:r>
    </w:p>
    <w:p>
      <w:pPr>
        <w:spacing w:after="80"/>
        <w:ind w:left="360"/>
      </w:pPr>
      <w:r>
        <w:rPr>
          <w:sz w:val="22"/>
          <w:szCs w:val="22"/>
        </w:rPr>
        <w:t xml:space="preserve">• 2. "Maritime Cybersecurity Jobs and Salary Guide 2026" — high search volume, evergreen</w:t>
      </w:r>
    </w:p>
    <w:p>
      <w:pPr>
        <w:spacing w:after="80"/>
        <w:ind w:left="360"/>
      </w:pPr>
      <w:r>
        <w:rPr>
          <w:sz w:val="22"/>
          <w:szCs w:val="22"/>
        </w:rPr>
        <w:t xml:space="preserve">• 3. "OT Security Assessment Template for Ships" — downloadable tool drives email capture</w:t>
      </w:r>
    </w:p>
    <w:p>
      <w:pPr>
        <w:spacing w:after="80"/>
        <w:ind w:left="360"/>
      </w:pPr>
      <w:r>
        <w:rPr>
          <w:sz w:val="22"/>
          <w:szCs w:val="22"/>
        </w:rPr>
        <w:t xml:space="preserve">• 4. "How to Pass IACS UR E27 Annual Cyber Audit" — practitioner guide, high intent</w:t>
      </w:r>
    </w:p>
    <w:p>
      <w:pPr>
        <w:spacing w:after="80"/>
        <w:ind w:left="360"/>
      </w:pPr>
      <w:r>
        <w:rPr>
          <w:sz w:val="22"/>
          <w:szCs w:val="22"/>
        </w:rPr>
        <w:t xml:space="preserve">• 5. "IMO MASS Code 2025: Autonomous Ship Operator's Compliance Guide"</w:t>
      </w:r>
    </w:p>
    <w:p>
      <w:pPr>
        <w:spacing w:after="80"/>
        <w:ind w:left="360"/>
      </w:pPr>
      <w:r>
        <w:rPr>
          <w:sz w:val="22"/>
          <w:szCs w:val="22"/>
        </w:rPr>
        <w:t xml:space="preserve">• 6. "Best Maritime OT Security Platforms: Claroty vs. Dragos vs. Nozomi vs. Nozomi"</w:t>
      </w:r>
    </w:p>
    <w:p>
      <w:pPr>
        <w:spacing w:after="80"/>
        <w:ind w:left="360"/>
      </w:pPr>
      <w:r>
        <w:rPr>
          <w:sz w:val="22"/>
          <w:szCs w:val="22"/>
        </w:rPr>
        <w:t xml:space="preserve">• 7. "Top 10 Maritime AI Companies Transforming Shipping in 2026"</w:t>
      </w:r>
    </w:p>
    <w:p>
      <w:pPr>
        <w:spacing w:after="80"/>
        <w:ind w:left="360"/>
      </w:pPr>
      <w:r>
        <w:rPr>
          <w:sz w:val="22"/>
          <w:szCs w:val="22"/>
        </w:rPr>
        <w:t xml:space="preserve">• 8. "Singapore Maritime Cybersecurity Ecosystem: Who's Who"</w:t>
      </w:r>
    </w:p>
    <w:p>
      <w:pPr>
        <w:spacing w:after="80"/>
        <w:ind w:left="360"/>
      </w:pPr>
      <w:r>
        <w:rPr>
          <w:sz w:val="22"/>
          <w:szCs w:val="22"/>
        </w:rPr>
        <w:t xml:space="preserve">• 9. "South Korea Shipbuilding Cyber Compliance: HHI, Samsung Heavy, Hanwha"</w:t>
      </w:r>
    </w:p>
    <w:p>
      <w:pPr>
        <w:spacing w:after="80"/>
        <w:ind w:left="360"/>
      </w:pPr>
      <w:r>
        <w:rPr>
          <w:sz w:val="22"/>
          <w:szCs w:val="22"/>
        </w:rPr>
        <w:t xml:space="preserve">• 10. "China Smart Ship Digitalization: COSCO, CSSC, DSME Case Studies"</w:t>
      </w:r>
    </w:p>
    <w:p>
      <w:pPr>
        <w:spacing w:after="80"/>
        <w:ind w:left="360"/>
      </w:pPr>
      <w:r>
        <w:rPr>
          <w:sz w:val="22"/>
          <w:szCs w:val="22"/>
        </w:rPr>
        <w:t xml:space="preserve">• 11. "IEC 62443-2-1 for Maritime: Practical Implementation Guide"</w:t>
      </w:r>
    </w:p>
    <w:p>
      <w:pPr>
        <w:spacing w:after="80"/>
        <w:ind w:left="360"/>
      </w:pPr>
      <w:r>
        <w:rPr>
          <w:sz w:val="22"/>
          <w:szCs w:val="22"/>
        </w:rPr>
        <w:t xml:space="preserve">• 12. "Maritime Cyber Insurance: What Policies Actually Cover in 2026"</w:t>
      </w:r>
    </w:p>
    <w:p>
      <w:pPr>
        <w:spacing w:after="80"/>
        <w:ind w:left="360"/>
      </w:pPr>
      <w:r>
        <w:rPr>
          <w:sz w:val="22"/>
          <w:szCs w:val="22"/>
        </w:rPr>
        <w:t xml:space="preserve">• 13. "AI Governance for Autonomous Ships: EU AI Act + IMO Framework"</w:t>
      </w:r>
    </w:p>
    <w:p>
      <w:pPr>
        <w:spacing w:after="80"/>
        <w:ind w:left="360"/>
      </w:pPr>
      <w:r>
        <w:rPr>
          <w:sz w:val="22"/>
          <w:szCs w:val="22"/>
        </w:rPr>
        <w:t xml:space="preserve">• 14. "How to Build a Ship Cyber Incident Response Plan (Template Included)"</w:t>
      </w:r>
    </w:p>
    <w:p>
      <w:pPr>
        <w:spacing w:after="80"/>
        <w:ind w:left="360"/>
      </w:pPr>
      <w:r>
        <w:rPr>
          <w:sz w:val="22"/>
          <w:szCs w:val="22"/>
        </w:rPr>
        <w:t xml:space="preserve">• 15. "Offshore Wind Cybersecurity: OT Security Requirements for WTIV and CSOVs"</w:t>
      </w:r>
    </w:p>
    <w:p>
      <w:pPr>
        <w:spacing w:after="80"/>
        <w:ind w:left="360"/>
      </w:pPr>
      <w:r>
        <w:rPr>
          <w:sz w:val="22"/>
          <w:szCs w:val="22"/>
        </w:rPr>
        <w:t xml:space="preserve">• 16. "Classification Society Cyber Certification Comparison: DNV, Lloyd's, ABS, BV, ClassNK"</w:t>
      </w:r>
    </w:p>
    <w:p>
      <w:pPr>
        <w:spacing w:after="80"/>
        <w:ind w:left="360"/>
      </w:pPr>
      <w:r>
        <w:rPr>
          <w:sz w:val="22"/>
          <w:szCs w:val="22"/>
        </w:rPr>
        <w:t xml:space="preserve">• 17. "OT/IT Network Segmentation Architecture for IACS-Compliant Vessels"</w:t>
      </w:r>
    </w:p>
    <w:p>
      <w:pPr>
        <w:spacing w:after="80"/>
        <w:ind w:left="360"/>
      </w:pPr>
      <w:r>
        <w:rPr>
          <w:sz w:val="22"/>
          <w:szCs w:val="22"/>
        </w:rPr>
        <w:t xml:space="preserve">• 18. "Maritime AI Data Governance: PDPA, GDPR, and IMO Data Strategy"</w:t>
      </w:r>
    </w:p>
    <w:p>
      <w:pPr>
        <w:spacing w:after="80"/>
        <w:ind w:left="360"/>
      </w:pPr>
      <w:r>
        <w:rPr>
          <w:sz w:val="22"/>
          <w:szCs w:val="22"/>
        </w:rPr>
        <w:t xml:space="preserve">• 19. "Maritime ISAC: How to Join, What to Share, What You Receive"</w:t>
      </w:r>
    </w:p>
    <w:p>
      <w:pPr>
        <w:spacing w:after="80"/>
        <w:ind w:left="360"/>
      </w:pPr>
      <w:r>
        <w:rPr>
          <w:sz w:val="22"/>
          <w:szCs w:val="22"/>
        </w:rPr>
        <w:t xml:space="preserve">• 20. "2027 Maritime Cybersecurity Predictions" (Annual benchmark report)</w:t>
      </w:r>
    </w:p>
    <w:p>
      <w:r>
        <w:br w:type="page"/>
      </w:r>
    </w:p>
    <w:p>
      <w:pPr>
        <w:pStyle w:val="Heading1"/>
        <w:spacing w:after="200" w:before="400"/>
      </w:pPr>
      <w:r>
        <w:t xml:space="preserve">5. Author Analysis</w:t>
      </w:r>
    </w:p>
    <w:p>
      <w:pPr>
        <w:spacing w:after="120"/>
      </w:pPr>
      <w:r>
        <w:rPr>
          <w:sz w:val="22"/>
          <w:szCs w:val="22"/>
        </w:rPr>
        <w:t xml:space="preserve">Based on site content structure, GA4 data, and visible professional signals. Assessment of "ShipPaul" (founder and sole author).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E2F3" w:color="auto" w:val="clear"/>
          </w:tcPr>
          <w:p>
            <w:r>
              <w:rPr>
                <w:b/>
                <w:bCs/>
                <w:sz w:val="22"/>
                <w:szCs w:val="22"/>
              </w:rPr>
              <w:t xml:space="preserve">Dimension</w:t>
            </w:r>
          </w:p>
        </w:tc>
        <w:tc>
          <w:tcPr>
            <w:tcW w:type="dxa" w:w="800"/>
            <w:shd w:fill="D9E2F3" w:color="auto" w:val="clear"/>
          </w:tcPr>
          <w:p>
            <w:r>
              <w:rPr>
                <w:b/>
                <w:bCs/>
                <w:sz w:val="22"/>
                <w:szCs w:val="22"/>
              </w:rPr>
              <w:t xml:space="preserve">Score</w:t>
            </w:r>
          </w:p>
        </w:tc>
        <w:tc>
          <w:tcPr>
            <w:tcW w:type="dxa" w:w="6200"/>
            <w:shd w:fill="D9E2F3" w:color="auto" w:val="clear"/>
          </w:tcPr>
          <w:p>
            <w:r>
              <w:rPr>
                <w:b/>
                <w:bCs/>
                <w:sz w:val="22"/>
                <w:szCs w:val="22"/>
              </w:rPr>
              <w:t xml:space="preserve">Analysis</w:t>
            </w:r>
          </w:p>
        </w:tc>
      </w:tr>
      <w:tr>
        <w:tc>
          <w:tcPr>
            <w:tcW w:type="dxa" w:w="2500"/>
          </w:tcPr>
          <w:p>
            <w:r>
              <w:rPr>
                <w:b/>
                <w:bCs/>
                <w:sz w:val="22"/>
                <w:szCs w:val="22"/>
              </w:rPr>
              <w:t xml:space="preserve">Professional Credibility</w:t>
            </w:r>
          </w:p>
        </w:tc>
        <w:tc>
          <w:tcPr>
            <w:tcW w:type="dxa" w:w="800"/>
          </w:tcPr>
          <w:p>
            <w:r>
              <w:rPr>
                <w:b/>
                <w:bCs/>
                <w:sz w:val="22"/>
                <w:szCs w:val="22"/>
              </w:rPr>
              <w:t xml:space="preserve">7 / 10</w:t>
            </w:r>
          </w:p>
        </w:tc>
        <w:tc>
          <w:tcPr>
            <w:tcW w:type="dxa" w:w="6200"/>
          </w:tcPr>
          <w:p>
            <w:r>
              <w:rPr>
                <w:sz w:val="22"/>
                <w:szCs w:val="22"/>
              </w:rPr>
              <w:t xml:space="preserve">Genuine maritime industry background. Shipbuilding career referenced in content. Not a maritime journalist — a practitioner who writes. This is a meaningful differentiator.</w:t>
            </w:r>
          </w:p>
        </w:tc>
      </w:tr>
      <w:tr>
        <w:tc>
          <w:tcPr>
            <w:tcW w:type="dxa" w:w="2500"/>
          </w:tcPr>
          <w:p>
            <w:r>
              <w:rPr>
                <w:b/>
                <w:bCs/>
                <w:sz w:val="22"/>
                <w:szCs w:val="22"/>
              </w:rPr>
              <w:t xml:space="preserve">Industry Expertise</w:t>
            </w:r>
          </w:p>
        </w:tc>
        <w:tc>
          <w:tcPr>
            <w:tcW w:type="dxa" w:w="800"/>
          </w:tcPr>
          <w:p>
            <w:r>
              <w:rPr>
                <w:b/>
                <w:bCs/>
                <w:sz w:val="22"/>
                <w:szCs w:val="22"/>
              </w:rPr>
              <w:t xml:space="preserve">7 / 10</w:t>
            </w:r>
          </w:p>
        </w:tc>
        <w:tc>
          <w:tcPr>
            <w:tcW w:type="dxa" w:w="6200"/>
          </w:tcPr>
          <w:p>
            <w:r>
              <w:rPr>
                <w:sz w:val="22"/>
                <w:szCs w:val="22"/>
              </w:rPr>
              <w:t xml:space="preserve">Technical content on IACS UR E26/E27, IEC 62443, OT architecture, and IMO regulations demonstrates substantive expertise. Not surface-level.</w:t>
            </w:r>
          </w:p>
        </w:tc>
      </w:tr>
      <w:tr>
        <w:tc>
          <w:tcPr>
            <w:tcW w:type="dxa" w:w="2500"/>
          </w:tcPr>
          <w:p>
            <w:r>
              <w:rPr>
                <w:b/>
                <w:bCs/>
                <w:sz w:val="22"/>
                <w:szCs w:val="22"/>
              </w:rPr>
              <w:t xml:space="preserve">Current Authority</w:t>
            </w:r>
          </w:p>
        </w:tc>
        <w:tc>
          <w:tcPr>
            <w:tcW w:type="dxa" w:w="800"/>
          </w:tcPr>
          <w:p>
            <w:r>
              <w:rPr>
                <w:b/>
                <w:bCs/>
                <w:sz w:val="22"/>
                <w:szCs w:val="22"/>
              </w:rPr>
              <w:t xml:space="preserve">3 / 10</w:t>
            </w:r>
          </w:p>
        </w:tc>
        <w:tc>
          <w:tcPr>
            <w:tcW w:type="dxa" w:w="6200"/>
          </w:tcPr>
          <w:p>
            <w:r>
              <w:rPr>
                <w:sz w:val="22"/>
                <w:szCs w:val="22"/>
              </w:rPr>
              <w:t xml:space="preserve">Limited external recognition beyond personal LinkedIn network. No published academic work, no conference speaking record visible, no industry citations found.</w:t>
            </w:r>
          </w:p>
        </w:tc>
      </w:tr>
      <w:tr>
        <w:tc>
          <w:tcPr>
            <w:tcW w:type="dxa" w:w="2500"/>
          </w:tcPr>
          <w:p>
            <w:r>
              <w:rPr>
                <w:b/>
                <w:bCs/>
                <w:sz w:val="22"/>
                <w:szCs w:val="22"/>
              </w:rPr>
              <w:t xml:space="preserve">Brand Positioning</w:t>
            </w:r>
          </w:p>
        </w:tc>
        <w:tc>
          <w:tcPr>
            <w:tcW w:type="dxa" w:w="800"/>
          </w:tcPr>
          <w:p>
            <w:r>
              <w:rPr>
                <w:b/>
                <w:bCs/>
                <w:sz w:val="22"/>
                <w:szCs w:val="22"/>
              </w:rPr>
              <w:t xml:space="preserve">4 / 10</w:t>
            </w:r>
          </w:p>
        </w:tc>
        <w:tc>
          <w:tcPr>
            <w:tcW w:type="dxa" w:w="6200"/>
          </w:tcPr>
          <w:p>
            <w:r>
              <w:rPr>
                <w:sz w:val="22"/>
                <w:szCs w:val="22"/>
              </w:rPr>
              <w:t xml:space="preserve">ShipPaul brand is nascent and undefined outside the blog. No consistent positioning statement. Target audience is implied but not explicitly stated.</w:t>
            </w:r>
          </w:p>
        </w:tc>
      </w:tr>
      <w:tr>
        <w:tc>
          <w:tcPr>
            <w:tcW w:type="dxa" w:w="2500"/>
          </w:tcPr>
          <w:p>
            <w:r>
              <w:rPr>
                <w:b/>
                <w:bCs/>
                <w:sz w:val="22"/>
                <w:szCs w:val="22"/>
              </w:rPr>
              <w:t xml:space="preserve">Global Recognition Potential</w:t>
            </w:r>
          </w:p>
        </w:tc>
        <w:tc>
          <w:tcPr>
            <w:tcW w:type="dxa" w:w="800"/>
          </w:tcPr>
          <w:p>
            <w:r>
              <w:rPr>
                <w:b/>
                <w:bCs/>
                <w:sz w:val="22"/>
                <w:szCs w:val="22"/>
              </w:rPr>
              <w:t xml:space="preserve">7 / 10</w:t>
            </w:r>
          </w:p>
        </w:tc>
        <w:tc>
          <w:tcPr>
            <w:tcW w:type="dxa" w:w="6200"/>
          </w:tcPr>
          <w:p>
            <w:r>
              <w:rPr>
                <w:sz w:val="22"/>
                <w:szCs w:val="22"/>
              </w:rPr>
              <w:t xml:space="preserve">The niche is global. Singapore + APAC maritime positioning is genuinely differentiated. Potential for becoming the "go-to APAC maritime cyber voice" is real but requires 2-3 years of sustained effort.</w:t>
            </w:r>
          </w:p>
        </w:tc>
      </w:tr>
    </w:tbl>
    <w:p>
      <w:pPr>
        <w:spacing w:after="200"/>
      </w:pPr>
    </w:p>
    <w:p>
      <w:pPr>
        <w:pStyle w:val="Heading2"/>
        <w:spacing w:after="150" w:before="300"/>
      </w:pPr>
      <w:r>
        <w:t xml:space="preserve">How to Build a World-Class Author Profile</w:t>
      </w:r>
    </w:p>
    <w:p>
      <w:pPr>
        <w:spacing w:after="80"/>
        <w:ind w:left="360"/>
      </w:pPr>
      <w:r>
        <w:rPr>
          <w:sz w:val="22"/>
          <w:szCs w:val="22"/>
        </w:rPr>
        <w:t xml:space="preserve">• Create a dedicated author bio page: full career timeline, certifications (target: CISSP, ISA/IEC 62443 Cybersecurity Expert, or equivalent maritime cyber credential), verifiable past projects (ship types, classification societies worked with)</w:t>
      </w:r>
    </w:p>
    <w:p>
      <w:pPr>
        <w:spacing w:after="80"/>
        <w:ind w:left="360"/>
      </w:pPr>
      <w:r>
        <w:rPr>
          <w:sz w:val="22"/>
          <w:szCs w:val="22"/>
        </w:rPr>
        <w:t xml:space="preserve">• Add author byline with professional photo and credentials to every single article</w:t>
      </w:r>
    </w:p>
    <w:p>
      <w:pPr>
        <w:spacing w:after="80"/>
        <w:ind w:left="360"/>
      </w:pPr>
      <w:r>
        <w:rPr>
          <w:sz w:val="22"/>
          <w:szCs w:val="22"/>
        </w:rPr>
        <w:t xml:space="preserve">• Submit conference abstracts: SMM Hamburg, Europort, KOR Marine, Singapore Maritime Week — one speaking slot creates credibility multiplier</w:t>
      </w:r>
    </w:p>
    <w:p>
      <w:pPr>
        <w:spacing w:after="80"/>
        <w:ind w:left="360"/>
      </w:pPr>
      <w:r>
        <w:rPr>
          <w:sz w:val="22"/>
          <w:szCs w:val="22"/>
        </w:rPr>
        <w:t xml:space="preserve">• Pursue a "recognized expert" designation with a classification society or IMO working group</w:t>
      </w:r>
    </w:p>
    <w:p>
      <w:pPr>
        <w:spacing w:after="80"/>
        <w:ind w:left="360"/>
      </w:pPr>
      <w:r>
        <w:rPr>
          <w:sz w:val="22"/>
          <w:szCs w:val="22"/>
        </w:rPr>
        <w:t xml:space="preserve">• Get quoted: submit a press quote to Safety4Sea, Maritime Executive, or Riviera Maritime Media monthly</w:t>
      </w:r>
    </w:p>
    <w:p>
      <w:pPr>
        <w:spacing w:after="80"/>
        <w:ind w:left="360"/>
      </w:pPr>
      <w:r>
        <w:rPr>
          <w:sz w:val="22"/>
          <w:szCs w:val="22"/>
        </w:rPr>
        <w:t xml:space="preserve">• Publish one original survey or data study per year: "State of Maritime Cybersecurity" annual report</w:t>
      </w:r>
    </w:p>
    <w:p>
      <w:r>
        <w:br w:type="page"/>
      </w:r>
    </w:p>
    <w:p>
      <w:pPr>
        <w:pStyle w:val="Heading1"/>
        <w:spacing w:after="200" w:before="400"/>
      </w:pPr>
      <w:r>
        <w:t xml:space="preserve">6. Audience Analysis</w:t>
      </w:r>
    </w:p>
    <w:p>
      <w:pPr>
        <w:pStyle w:val="Heading2"/>
        <w:spacing w:after="150" w:before="300"/>
      </w:pPr>
      <w:r>
        <w:t xml:space="preserve">Geographic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E2F3" w:color="auto" w:val="clear"/>
          </w:tcPr>
          <w:p>
            <w:r>
              <w:rPr>
                <w:b/>
                <w:bCs/>
                <w:sz w:val="22"/>
                <w:szCs w:val="22"/>
              </w:rPr>
              <w:t xml:space="preserve">Country</w:t>
            </w:r>
          </w:p>
        </w:tc>
        <w:tc>
          <w:tcPr>
            <w:tcW w:type="dxa" w:w="1200"/>
            <w:shd w:fill="D9E2F3" w:color="auto" w:val="clear"/>
          </w:tcPr>
          <w:p>
            <w:r>
              <w:rPr>
                <w:b/>
                <w:bCs/>
                <w:sz w:val="22"/>
                <w:szCs w:val="22"/>
              </w:rPr>
              <w:t xml:space="preserve">Active Users</w:t>
            </w:r>
          </w:p>
        </w:tc>
        <w:tc>
          <w:tcPr>
            <w:tcW w:type="dxa" w:w="1000"/>
            <w:shd w:fill="D9E2F3" w:color="auto" w:val="clear"/>
          </w:tcPr>
          <w:p>
            <w:r>
              <w:rPr>
                <w:b/>
                <w:bCs/>
                <w:sz w:val="22"/>
                <w:szCs w:val="22"/>
              </w:rPr>
              <w:t xml:space="preserve">Share</w:t>
            </w:r>
          </w:p>
        </w:tc>
        <w:tc>
          <w:tcPr>
            <w:tcW w:type="dxa" w:w="5500"/>
            <w:shd w:fill="D9E2F3" w:color="auto" w:val="clear"/>
          </w:tcPr>
          <w:p>
            <w:r>
              <w:rPr>
                <w:b/>
                <w:bCs/>
                <w:sz w:val="22"/>
                <w:szCs w:val="22"/>
              </w:rPr>
              <w:t xml:space="preserve">Strategic Interpretation</w:t>
            </w:r>
          </w:p>
        </w:tc>
      </w:tr>
      <w:tr>
        <w:tc>
          <w:tcPr>
            <w:tcW w:type="dxa" w:w="1800"/>
          </w:tcPr>
          <w:p>
            <w:r>
              <w:rPr>
                <w:sz w:val="22"/>
                <w:szCs w:val="22"/>
              </w:rPr>
              <w:t xml:space="preserve">Singapore</w:t>
            </w:r>
          </w:p>
        </w:tc>
        <w:tc>
          <w:tcPr>
            <w:tcW w:type="dxa" w:w="1200"/>
          </w:tcPr>
          <w:p>
            <w:r>
              <w:rPr>
                <w:sz w:val="22"/>
                <w:szCs w:val="22"/>
              </w:rPr>
              <w:t xml:space="preserve">946</w:t>
            </w:r>
          </w:p>
        </w:tc>
        <w:tc>
          <w:tcPr>
            <w:tcW w:type="dxa" w:w="1000"/>
          </w:tcPr>
          <w:p>
            <w:r>
              <w:rPr>
                <w:sz w:val="22"/>
                <w:szCs w:val="22"/>
              </w:rPr>
              <w:t xml:space="preserve">37.8%</w:t>
            </w:r>
          </w:p>
        </w:tc>
        <w:tc>
          <w:tcPr>
            <w:tcW w:type="dxa" w:w="5500"/>
          </w:tcPr>
          <w:p>
            <w:r>
              <w:rPr>
                <w:sz w:val="22"/>
                <w:szCs w:val="22"/>
              </w:rPr>
              <w:t xml:space="preserve">Author base + maritime hub (MPA, classification societies, operators). Overrepresented vs. global maritime market. Network effect.</w:t>
            </w:r>
          </w:p>
        </w:tc>
      </w:tr>
      <w:tr>
        <w:tc>
          <w:tcPr>
            <w:tcW w:type="dxa" w:w="1800"/>
          </w:tcPr>
          <w:p>
            <w:r>
              <w:rPr>
                <w:sz w:val="22"/>
                <w:szCs w:val="22"/>
              </w:rPr>
              <w:t xml:space="preserve">China</w:t>
            </w:r>
          </w:p>
        </w:tc>
        <w:tc>
          <w:tcPr>
            <w:tcW w:type="dxa" w:w="1200"/>
          </w:tcPr>
          <w:p>
            <w:r>
              <w:rPr>
                <w:sz w:val="22"/>
                <w:szCs w:val="22"/>
              </w:rPr>
              <w:t xml:space="preserve">464</w:t>
            </w:r>
          </w:p>
        </w:tc>
        <w:tc>
          <w:tcPr>
            <w:tcW w:type="dxa" w:w="1000"/>
          </w:tcPr>
          <w:p>
            <w:r>
              <w:rPr>
                <w:sz w:val="22"/>
                <w:szCs w:val="22"/>
              </w:rPr>
              <w:t xml:space="preserve">18.6%</w:t>
            </w:r>
          </w:p>
        </w:tc>
        <w:tc>
          <w:tcPr>
            <w:tcW w:type="dxa" w:w="5500"/>
          </w:tcPr>
          <w:p>
            <w:r>
              <w:rPr>
                <w:sz w:val="22"/>
                <w:szCs w:val="22"/>
              </w:rPr>
              <w:t xml:space="preserve">World's largest shipbuilder. COSCO, CSSC, DSME. Massive compliance demand for IACS E26/E27. Underserved by English media.</w:t>
            </w:r>
          </w:p>
        </w:tc>
      </w:tr>
      <w:tr>
        <w:tc>
          <w:tcPr>
            <w:tcW w:type="dxa" w:w="1800"/>
          </w:tcPr>
          <w:p>
            <w:r>
              <w:rPr>
                <w:sz w:val="22"/>
                <w:szCs w:val="22"/>
              </w:rPr>
              <w:t xml:space="preserve">United States</w:t>
            </w:r>
          </w:p>
        </w:tc>
        <w:tc>
          <w:tcPr>
            <w:tcW w:type="dxa" w:w="1200"/>
          </w:tcPr>
          <w:p>
            <w:r>
              <w:rPr>
                <w:sz w:val="22"/>
                <w:szCs w:val="22"/>
              </w:rPr>
              <w:t xml:space="preserve">313</w:t>
            </w:r>
          </w:p>
        </w:tc>
        <w:tc>
          <w:tcPr>
            <w:tcW w:type="dxa" w:w="1000"/>
          </w:tcPr>
          <w:p>
            <w:r>
              <w:rPr>
                <w:sz w:val="22"/>
                <w:szCs w:val="22"/>
              </w:rPr>
              <w:t xml:space="preserve">12.5%</w:t>
            </w:r>
          </w:p>
        </w:tc>
        <w:tc>
          <w:tcPr>
            <w:tcW w:type="dxa" w:w="5500"/>
          </w:tcPr>
          <w:p>
            <w:r>
              <w:rPr>
                <w:sz w:val="22"/>
                <w:szCs w:val="22"/>
              </w:rPr>
              <w:t xml:space="preserve">Coast Guard, ABS, maritime tech vendors, cybersecurity professionals. Commercial and regulatory audience.</w:t>
            </w:r>
          </w:p>
        </w:tc>
      </w:tr>
      <w:tr>
        <w:tc>
          <w:tcPr>
            <w:tcW w:type="dxa" w:w="1800"/>
          </w:tcPr>
          <w:p>
            <w:r>
              <w:rPr>
                <w:sz w:val="22"/>
                <w:szCs w:val="22"/>
              </w:rPr>
              <w:t xml:space="preserve">South Korea</w:t>
            </w:r>
          </w:p>
        </w:tc>
        <w:tc>
          <w:tcPr>
            <w:tcW w:type="dxa" w:w="1200"/>
          </w:tcPr>
          <w:p>
            <w:r>
              <w:rPr>
                <w:sz w:val="22"/>
                <w:szCs w:val="22"/>
              </w:rPr>
              <w:t xml:space="preserve">277</w:t>
            </w:r>
          </w:p>
        </w:tc>
        <w:tc>
          <w:tcPr>
            <w:tcW w:type="dxa" w:w="1000"/>
          </w:tcPr>
          <w:p>
            <w:r>
              <w:rPr>
                <w:sz w:val="22"/>
                <w:szCs w:val="22"/>
              </w:rPr>
              <w:t xml:space="preserve">11.1%</w:t>
            </w:r>
          </w:p>
        </w:tc>
        <w:tc>
          <w:tcPr>
            <w:tcW w:type="dxa" w:w="5500"/>
          </w:tcPr>
          <w:p>
            <w:r>
              <w:rPr>
                <w:sz w:val="22"/>
                <w:szCs w:val="22"/>
              </w:rPr>
              <w:t xml:space="preserve">HHI, Samsung Heavy, Hanwha Ocean. Tier-1 shipbuilding. Smart ship digital transformation leaders.</w:t>
            </w:r>
          </w:p>
        </w:tc>
      </w:tr>
      <w:tr>
        <w:tc>
          <w:tcPr>
            <w:tcW w:type="dxa" w:w="1800"/>
          </w:tcPr>
          <w:p>
            <w:r>
              <w:rPr>
                <w:sz w:val="22"/>
                <w:szCs w:val="22"/>
              </w:rPr>
              <w:t xml:space="preserve">Ireland</w:t>
            </w:r>
          </w:p>
        </w:tc>
        <w:tc>
          <w:tcPr>
            <w:tcW w:type="dxa" w:w="1200"/>
          </w:tcPr>
          <w:p>
            <w:r>
              <w:rPr>
                <w:sz w:val="22"/>
                <w:szCs w:val="22"/>
              </w:rPr>
              <w:t xml:space="preserve">46</w:t>
            </w:r>
          </w:p>
        </w:tc>
        <w:tc>
          <w:tcPr>
            <w:tcW w:type="dxa" w:w="1000"/>
          </w:tcPr>
          <w:p>
            <w:r>
              <w:rPr>
                <w:sz w:val="22"/>
                <w:szCs w:val="22"/>
              </w:rPr>
              <w:t xml:space="preserve">1.8%</w:t>
            </w:r>
          </w:p>
        </w:tc>
        <w:tc>
          <w:tcPr>
            <w:tcW w:type="dxa" w:w="5500"/>
          </w:tcPr>
          <w:p>
            <w:r>
              <w:rPr>
                <w:sz w:val="22"/>
                <w:szCs w:val="22"/>
              </w:rPr>
              <w:t xml:space="preserve">Dublin: tech sector + shipping finance. Possibly Cloudflare routing for distributed visitors.</w:t>
            </w:r>
          </w:p>
        </w:tc>
      </w:tr>
      <w:tr>
        <w:tc>
          <w:tcPr>
            <w:tcW w:type="dxa" w:w="1800"/>
          </w:tcPr>
          <w:p>
            <w:r>
              <w:rPr>
                <w:sz w:val="22"/>
                <w:szCs w:val="22"/>
              </w:rPr>
              <w:t xml:space="preserve">Netherlands</w:t>
            </w:r>
          </w:p>
        </w:tc>
        <w:tc>
          <w:tcPr>
            <w:tcW w:type="dxa" w:w="1200"/>
          </w:tcPr>
          <w:p>
            <w:r>
              <w:rPr>
                <w:sz w:val="22"/>
                <w:szCs w:val="22"/>
              </w:rPr>
              <w:t xml:space="preserve">46</w:t>
            </w:r>
          </w:p>
        </w:tc>
        <w:tc>
          <w:tcPr>
            <w:tcW w:type="dxa" w:w="1000"/>
          </w:tcPr>
          <w:p>
            <w:r>
              <w:rPr>
                <w:sz w:val="22"/>
                <w:szCs w:val="22"/>
              </w:rPr>
              <w:t xml:space="preserve">1.8%</w:t>
            </w:r>
          </w:p>
        </w:tc>
        <w:tc>
          <w:tcPr>
            <w:tcW w:type="dxa" w:w="5500"/>
          </w:tcPr>
          <w:p>
            <w:r>
              <w:rPr>
                <w:sz w:val="22"/>
                <w:szCs w:val="22"/>
              </w:rPr>
              <w:t xml:space="preserve">Rotterdam port, Damen Shipyards, IHC. European maritime logistics hub.</w:t>
            </w:r>
          </w:p>
        </w:tc>
      </w:tr>
      <w:tr>
        <w:tc>
          <w:tcPr>
            <w:tcW w:type="dxa" w:w="1800"/>
          </w:tcPr>
          <w:p>
            <w:r>
              <w:rPr>
                <w:sz w:val="22"/>
                <w:szCs w:val="22"/>
              </w:rPr>
              <w:t xml:space="preserve">United Kingdom</w:t>
            </w:r>
          </w:p>
        </w:tc>
        <w:tc>
          <w:tcPr>
            <w:tcW w:type="dxa" w:w="1200"/>
          </w:tcPr>
          <w:p>
            <w:r>
              <w:rPr>
                <w:sz w:val="22"/>
                <w:szCs w:val="22"/>
              </w:rPr>
              <w:t xml:space="preserve">41</w:t>
            </w:r>
          </w:p>
        </w:tc>
        <w:tc>
          <w:tcPr>
            <w:tcW w:type="dxa" w:w="1000"/>
          </w:tcPr>
          <w:p>
            <w:r>
              <w:rPr>
                <w:sz w:val="22"/>
                <w:szCs w:val="22"/>
              </w:rPr>
              <w:t xml:space="preserve">1.6%</w:t>
            </w:r>
          </w:p>
        </w:tc>
        <w:tc>
          <w:tcPr>
            <w:tcW w:type="dxa" w:w="5500"/>
          </w:tcPr>
          <w:p>
            <w:r>
              <w:rPr>
                <w:sz w:val="22"/>
                <w:szCs w:val="22"/>
              </w:rPr>
              <w:t xml:space="preserve">Lloyd's Register HQ, P&amp;I Clubs, maritime finance. High-value institutional audience.</w:t>
            </w:r>
          </w:p>
        </w:tc>
      </w:tr>
    </w:tbl>
    <w:p>
      <w:pPr>
        <w:spacing w:after="200"/>
      </w:pPr>
    </w:p>
    <w:p>
      <w:pPr>
        <w:spacing w:after="120"/>
      </w:pPr>
      <w:r>
        <w:rPr>
          <w:sz w:val="22"/>
          <w:szCs w:val="22"/>
        </w:rPr>
        <w:t xml:space="preserve">Warning: 37.8% Singapore concentration almost certainly reflects the author's personal professional network rather than organic global reach. A professional publication should have diversified geographic traffic. Singapore dominance will plateau.</w:t>
      </w:r>
    </w:p>
    <w:p>
      <w:pPr>
        <w:spacing w:after="120"/>
      </w:pPr>
      <w:r>
        <w:rPr>
          <w:sz w:val="22"/>
          <w:szCs w:val="22"/>
        </w:rPr>
        <w:t xml:space="preserve">Strategic opportunity: China (18.6%) is self-selecting for English-language maritime cybersecurity content despite the language barrier — this signals extremely high intent and professional seniority. This audience is worth targeting explicitly.</w:t>
      </w:r>
    </w:p>
    <w:p>
      <w:pPr>
        <w:pStyle w:val="Heading2"/>
        <w:spacing w:after="150" w:before="300"/>
      </w:pPr>
      <w:r>
        <w:t xml:space="preserve">Demographic Profile</w:t>
      </w:r>
    </w:p>
    <w:p>
      <w:pPr>
        <w:spacing w:after="80"/>
        <w:ind w:left="360"/>
      </w:pPr>
      <w:r>
        <w:rPr>
          <w:sz w:val="22"/>
          <w:szCs w:val="22"/>
        </w:rPr>
        <w:t xml:space="preserve">• Gender: Male 66.4%, Female 33.6% — consistent with maritime industry workforce demographics. Not a content concern.</w:t>
      </w:r>
    </w:p>
    <w:p>
      <w:pPr>
        <w:spacing w:after="80"/>
        <w:ind w:left="360"/>
      </w:pPr>
      <w:r>
        <w:rPr>
          <w:sz w:val="22"/>
          <w:szCs w:val="22"/>
        </w:rPr>
        <w:t xml:space="preserve">• Age 45-54: DOMINANT group — senior management, heads of department, C-suite executives. Decision-maker probability 60-80%.</w:t>
      </w:r>
    </w:p>
    <w:p>
      <w:pPr>
        <w:spacing w:after="80"/>
        <w:ind w:left="360"/>
      </w:pPr>
      <w:r>
        <w:rPr>
          <w:sz w:val="22"/>
          <w:szCs w:val="22"/>
        </w:rPr>
        <w:t xml:space="preserve">• Age 35-44: Second group — mid-career professionals, technical leads, future C-suite.</w:t>
      </w:r>
    </w:p>
    <w:p>
      <w:pPr>
        <w:spacing w:after="80"/>
        <w:ind w:left="360"/>
      </w:pPr>
      <w:r>
        <w:rPr>
          <w:sz w:val="22"/>
          <w:szCs w:val="22"/>
        </w:rPr>
        <w:t xml:space="preserve">• Age 55-64: Third group — senior executives with budget authority and board-level exposure.</w:t>
      </w:r>
    </w:p>
    <w:p>
      <w:pPr>
        <w:spacing w:after="80"/>
        <w:ind w:left="360"/>
      </w:pPr>
      <w:r>
        <w:rPr>
          <w:sz w:val="22"/>
          <w:szCs w:val="22"/>
        </w:rPr>
        <w:t xml:space="preserve">• Language: English → Korean → Chinese → French → Turkish → Polish → Japanese. Multi-lingual reach is a positive signal.</w:t>
      </w:r>
    </w:p>
    <w:p>
      <w:pPr>
        <w:pStyle w:val="Heading2"/>
        <w:spacing w:after="150" w:before="300"/>
      </w:pPr>
      <w:r>
        <w:t xml:space="preserve">Audience Quality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color="auto" w:val="clear"/>
          </w:tcPr>
          <w:p>
            <w:r>
              <w:rPr>
                <w:b/>
                <w:bCs/>
                <w:sz w:val="22"/>
                <w:szCs w:val="22"/>
              </w:rPr>
              <w:t xml:space="preserve">Quality Dimension</w:t>
            </w:r>
          </w:p>
        </w:tc>
        <w:tc>
          <w:tcPr>
            <w:tcW w:type="dxa" w:w="1000"/>
            <w:shd w:fill="D9E2F3" w:color="auto" w:val="clear"/>
          </w:tcPr>
          <w:p>
            <w:r>
              <w:rPr>
                <w:b/>
                <w:bCs/>
                <w:sz w:val="22"/>
                <w:szCs w:val="22"/>
              </w:rPr>
              <w:t xml:space="preserve">Score</w:t>
            </w:r>
          </w:p>
        </w:tc>
        <w:tc>
          <w:tcPr>
            <w:tcW w:type="dxa" w:w="5500"/>
            <w:shd w:fill="D9E2F3" w:color="auto" w:val="clear"/>
          </w:tcPr>
          <w:p>
            <w:r>
              <w:rPr>
                <w:b/>
                <w:bCs/>
                <w:sz w:val="22"/>
                <w:szCs w:val="22"/>
              </w:rPr>
              <w:t xml:space="preserve">Note</w:t>
            </w:r>
          </w:p>
        </w:tc>
      </w:tr>
      <w:tr>
        <w:tc>
          <w:tcPr>
            <w:tcW w:type="dxa" w:w="3000"/>
          </w:tcPr>
          <w:p>
            <w:r>
              <w:rPr>
                <w:sz w:val="22"/>
                <w:szCs w:val="22"/>
              </w:rPr>
              <w:t xml:space="preserve">Volume</w:t>
            </w:r>
          </w:p>
        </w:tc>
        <w:tc>
          <w:tcPr>
            <w:tcW w:type="dxa" w:w="1000"/>
          </w:tcPr>
          <w:p>
            <w:r>
              <w:rPr>
                <w:sz w:val="22"/>
                <w:szCs w:val="22"/>
              </w:rPr>
              <w:t xml:space="preserve">2/10</w:t>
            </w:r>
          </w:p>
        </w:tc>
        <w:tc>
          <w:tcPr>
            <w:tcW w:type="dxa" w:w="5500"/>
          </w:tcPr>
          <w:p>
            <w:r>
              <w:rPr>
                <w:sz w:val="22"/>
                <w:szCs w:val="22"/>
              </w:rPr>
              <w:t xml:space="preserve">27 users/day. Not viable for ad revenue. Acceptable for consulting lead gen.</w:t>
            </w:r>
          </w:p>
        </w:tc>
      </w:tr>
      <w:tr>
        <w:tc>
          <w:tcPr>
            <w:tcW w:type="dxa" w:w="3000"/>
          </w:tcPr>
          <w:p>
            <w:r>
              <w:rPr>
                <w:sz w:val="22"/>
                <w:szCs w:val="22"/>
              </w:rPr>
              <w:t xml:space="preserve">Professional Seniority</w:t>
            </w:r>
          </w:p>
        </w:tc>
        <w:tc>
          <w:tcPr>
            <w:tcW w:type="dxa" w:w="1000"/>
          </w:tcPr>
          <w:p>
            <w:r>
              <w:rPr>
                <w:sz w:val="22"/>
                <w:szCs w:val="22"/>
              </w:rPr>
              <w:t xml:space="preserve">8/10</w:t>
            </w:r>
          </w:p>
        </w:tc>
        <w:tc>
          <w:tcPr>
            <w:tcW w:type="dxa" w:w="5500"/>
          </w:tcPr>
          <w:p>
            <w:r>
              <w:rPr>
                <w:sz w:val="22"/>
                <w:szCs w:val="22"/>
              </w:rPr>
              <w:t xml:space="preserve">Age 45-54 dominant, maritime sector, APAC focus — top-tier B2B audience.</w:t>
            </w:r>
          </w:p>
        </w:tc>
      </w:tr>
      <w:tr>
        <w:tc>
          <w:tcPr>
            <w:tcW w:type="dxa" w:w="3000"/>
          </w:tcPr>
          <w:p>
            <w:r>
              <w:rPr>
                <w:sz w:val="22"/>
                <w:szCs w:val="22"/>
              </w:rPr>
              <w:t xml:space="preserve">Decision-Maker Probability</w:t>
            </w:r>
          </w:p>
        </w:tc>
        <w:tc>
          <w:tcPr>
            <w:tcW w:type="dxa" w:w="1000"/>
          </w:tcPr>
          <w:p>
            <w:r>
              <w:rPr>
                <w:sz w:val="22"/>
                <w:szCs w:val="22"/>
              </w:rPr>
              <w:t xml:space="preserve">8/10</w:t>
            </w:r>
          </w:p>
        </w:tc>
        <w:tc>
          <w:tcPr>
            <w:tcW w:type="dxa" w:w="5500"/>
          </w:tcPr>
          <w:p>
            <w:r>
              <w:rPr>
                <w:sz w:val="22"/>
                <w:szCs w:val="22"/>
              </w:rPr>
              <w:t xml:space="preserve">Estimated 40-60% have budget authority for cybersecurity procurement.</w:t>
            </w:r>
          </w:p>
        </w:tc>
      </w:tr>
      <w:tr>
        <w:tc>
          <w:tcPr>
            <w:tcW w:type="dxa" w:w="3000"/>
          </w:tcPr>
          <w:p>
            <w:r>
              <w:rPr>
                <w:sz w:val="22"/>
                <w:szCs w:val="22"/>
              </w:rPr>
              <w:t xml:space="preserve">Geographic Quality</w:t>
            </w:r>
          </w:p>
        </w:tc>
        <w:tc>
          <w:tcPr>
            <w:tcW w:type="dxa" w:w="1000"/>
          </w:tcPr>
          <w:p>
            <w:r>
              <w:rPr>
                <w:sz w:val="22"/>
                <w:szCs w:val="22"/>
              </w:rPr>
              <w:t xml:space="preserve">9/10</w:t>
            </w:r>
          </w:p>
        </w:tc>
        <w:tc>
          <w:tcPr>
            <w:tcW w:type="dxa" w:w="5500"/>
          </w:tcPr>
          <w:p>
            <w:r>
              <w:rPr>
                <w:sz w:val="22"/>
                <w:szCs w:val="22"/>
              </w:rPr>
              <w:t xml:space="preserve">Singapore, China, Korea, US — tier-1 maritime markets globally.</w:t>
            </w:r>
          </w:p>
        </w:tc>
      </w:tr>
      <w:tr>
        <w:tc>
          <w:tcPr>
            <w:tcW w:type="dxa" w:w="3000"/>
          </w:tcPr>
          <w:p>
            <w:r>
              <w:rPr>
                <w:sz w:val="22"/>
                <w:szCs w:val="22"/>
              </w:rPr>
              <w:t xml:space="preserve">Engagement Quality</w:t>
            </w:r>
          </w:p>
        </w:tc>
        <w:tc>
          <w:tcPr>
            <w:tcW w:type="dxa" w:w="1000"/>
          </w:tcPr>
          <w:p>
            <w:r>
              <w:rPr>
                <w:sz w:val="22"/>
                <w:szCs w:val="22"/>
              </w:rPr>
              <w:t xml:space="preserve">6/10</w:t>
            </w:r>
          </w:p>
        </w:tc>
        <w:tc>
          <w:tcPr>
            <w:tcW w:type="dxa" w:w="5500"/>
          </w:tcPr>
          <w:p>
            <w:r>
              <w:rPr>
                <w:sz w:val="22"/>
                <w:szCs w:val="22"/>
              </w:rPr>
              <w:t xml:space="preserve">1m49s avg is decent; category page engagement (6m45s) excellent.</w:t>
            </w:r>
          </w:p>
        </w:tc>
      </w:tr>
      <w:tr>
        <w:tc>
          <w:tcPr>
            <w:tcW w:type="dxa" w:w="3000"/>
          </w:tcPr>
          <w:p>
            <w:r>
              <w:rPr>
                <w:sz w:val="22"/>
                <w:szCs w:val="22"/>
              </w:rPr>
              <w:t xml:space="preserve">Audience Loyalty</w:t>
            </w:r>
          </w:p>
        </w:tc>
        <w:tc>
          <w:tcPr>
            <w:tcW w:type="dxa" w:w="1000"/>
          </w:tcPr>
          <w:p>
            <w:r>
              <w:rPr>
                <w:sz w:val="22"/>
                <w:szCs w:val="22"/>
              </w:rPr>
              <w:t xml:space="preserve">1/10</w:t>
            </w:r>
          </w:p>
        </w:tc>
        <w:tc>
          <w:tcPr>
            <w:tcW w:type="dxa" w:w="5500"/>
          </w:tcPr>
          <w:p>
            <w:r>
              <w:rPr>
                <w:sz w:val="22"/>
                <w:szCs w:val="22"/>
              </w:rPr>
              <w:t xml:space="preserve">CRITICAL FAILURE. ~100% new users. Zero returning visitor base. No email list.</w:t>
            </w:r>
          </w:p>
        </w:tc>
      </w:tr>
      <w:tr>
        <w:tc>
          <w:tcPr>
            <w:tcW w:type="dxa" w:w="3000"/>
          </w:tcPr>
          <w:p>
            <w:r>
              <w:rPr>
                <w:sz w:val="22"/>
                <w:szCs w:val="22"/>
              </w:rPr>
              <w:t xml:space="preserve">B2B Commercial Intent</w:t>
            </w:r>
          </w:p>
        </w:tc>
        <w:tc>
          <w:tcPr>
            <w:tcW w:type="dxa" w:w="1000"/>
          </w:tcPr>
          <w:p>
            <w:r>
              <w:rPr>
                <w:sz w:val="22"/>
                <w:szCs w:val="22"/>
              </w:rPr>
              <w:t xml:space="preserve">8/10</w:t>
            </w:r>
          </w:p>
        </w:tc>
        <w:tc>
          <w:tcPr>
            <w:tcW w:type="dxa" w:w="5500"/>
          </w:tcPr>
          <w:p>
            <w:r>
              <w:rPr>
                <w:sz w:val="22"/>
                <w:szCs w:val="22"/>
              </w:rPr>
              <w:t xml:space="preserve">Compliance, cybersecurity, jobs — high-intent professional topics.</w:t>
            </w:r>
          </w:p>
        </w:tc>
      </w:tr>
    </w:tbl>
    <w:p>
      <w:pPr>
        <w:spacing w:after="200"/>
      </w:pPr>
    </w:p>
    <w:p>
      <w:r>
        <w:br w:type="page"/>
      </w:r>
    </w:p>
    <w:p>
      <w:pPr>
        <w:pStyle w:val="Heading1"/>
        <w:spacing w:after="200" w:before="400"/>
      </w:pPr>
      <w:r>
        <w:t xml:space="preserve">7. Brand Analysis</w:t>
      </w:r>
    </w:p>
    <w:p>
      <w:pPr>
        <w:pStyle w:val="Heading2"/>
        <w:spacing w:after="150" w:before="300"/>
      </w:pPr>
      <w:r>
        <w:t xml:space="preserve">Competitive Position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D9E2F3" w:color="auto" w:val="clear"/>
          </w:tcPr>
          <w:p>
            <w:r>
              <w:rPr>
                <w:b/>
                <w:bCs/>
                <w:sz w:val="22"/>
                <w:szCs w:val="22"/>
              </w:rPr>
              <w:t xml:space="preserve">Brand</w:t>
            </w:r>
          </w:p>
        </w:tc>
        <w:tc>
          <w:tcPr>
            <w:tcW w:type="dxa" w:w="1800"/>
            <w:shd w:fill="D9E2F3" w:color="auto" w:val="clear"/>
          </w:tcPr>
          <w:p>
            <w:r>
              <w:rPr>
                <w:b/>
                <w:bCs/>
                <w:sz w:val="22"/>
                <w:szCs w:val="22"/>
              </w:rPr>
              <w:t xml:space="preserve">Est. Monthly Traffic</w:t>
            </w:r>
          </w:p>
        </w:tc>
        <w:tc>
          <w:tcPr>
            <w:tcW w:type="dxa" w:w="1900"/>
            <w:shd w:fill="D9E2F3" w:color="auto" w:val="clear"/>
          </w:tcPr>
          <w:p>
            <w:r>
              <w:rPr>
                <w:b/>
                <w:bCs/>
                <w:sz w:val="22"/>
                <w:szCs w:val="22"/>
              </w:rPr>
              <w:t xml:space="preserve">Focus</w:t>
            </w:r>
          </w:p>
        </w:tc>
        <w:tc>
          <w:tcPr>
            <w:tcW w:type="dxa" w:w="1500"/>
            <w:shd w:fill="D9E2F3" w:color="auto" w:val="clear"/>
          </w:tcPr>
          <w:p>
            <w:r>
              <w:rPr>
                <w:b/>
                <w:bCs/>
                <w:sz w:val="22"/>
                <w:szCs w:val="22"/>
              </w:rPr>
              <w:t xml:space="preserve">Authority</w:t>
            </w:r>
          </w:p>
        </w:tc>
        <w:tc>
          <w:tcPr>
            <w:tcW w:type="dxa" w:w="2300"/>
            <w:shd w:fill="D9E2F3" w:color="auto" w:val="clear"/>
          </w:tcPr>
          <w:p>
            <w:r>
              <w:rPr>
                <w:b/>
                <w:bCs/>
                <w:sz w:val="22"/>
                <w:szCs w:val="22"/>
              </w:rPr>
              <w:t xml:space="preserve">Revenue Model</w:t>
            </w:r>
          </w:p>
        </w:tc>
      </w:tr>
      <w:tr>
        <w:tc>
          <w:tcPr>
            <w:tcW w:type="dxa" w:w="2000"/>
          </w:tcPr>
          <w:p>
            <w:r>
              <w:rPr>
                <w:sz w:val="22"/>
                <w:szCs w:val="22"/>
              </w:rPr>
              <w:t xml:space="preserve">Maritime Executive</w:t>
            </w:r>
          </w:p>
        </w:tc>
        <w:tc>
          <w:tcPr>
            <w:tcW w:type="dxa" w:w="1800"/>
          </w:tcPr>
          <w:p>
            <w:r>
              <w:rPr>
                <w:sz w:val="22"/>
                <w:szCs w:val="22"/>
              </w:rPr>
              <w:t xml:space="preserve">80,000+</w:t>
            </w:r>
          </w:p>
        </w:tc>
        <w:tc>
          <w:tcPr>
            <w:tcW w:type="dxa" w:w="1900"/>
          </w:tcPr>
          <w:p>
            <w:r>
              <w:rPr>
                <w:sz w:val="22"/>
                <w:szCs w:val="22"/>
              </w:rPr>
              <w:t xml:space="preserve">Broad maritime</w:t>
            </w:r>
          </w:p>
        </w:tc>
        <w:tc>
          <w:tcPr>
            <w:tcW w:type="dxa" w:w="1500"/>
          </w:tcPr>
          <w:p>
            <w:r>
              <w:rPr>
                <w:sz w:val="22"/>
                <w:szCs w:val="22"/>
              </w:rPr>
              <w:t xml:space="preserve">9/10</w:t>
            </w:r>
          </w:p>
        </w:tc>
        <w:tc>
          <w:tcPr>
            <w:tcW w:type="dxa" w:w="2300"/>
          </w:tcPr>
          <w:p>
            <w:r>
              <w:rPr>
                <w:sz w:val="22"/>
                <w:szCs w:val="22"/>
              </w:rPr>
              <w:t xml:space="preserve">Ads + events + subscriptions</w:t>
            </w:r>
          </w:p>
        </w:tc>
      </w:tr>
      <w:tr>
        <w:tc>
          <w:tcPr>
            <w:tcW w:type="dxa" w:w="2000"/>
          </w:tcPr>
          <w:p>
            <w:r>
              <w:rPr>
                <w:sz w:val="22"/>
                <w:szCs w:val="22"/>
              </w:rPr>
              <w:t xml:space="preserve">Riviera Maritime Media</w:t>
            </w:r>
          </w:p>
        </w:tc>
        <w:tc>
          <w:tcPr>
            <w:tcW w:type="dxa" w:w="1800"/>
          </w:tcPr>
          <w:p>
            <w:r>
              <w:rPr>
                <w:sz w:val="22"/>
                <w:szCs w:val="22"/>
              </w:rPr>
              <w:t xml:space="preserve">50,000+</w:t>
            </w:r>
          </w:p>
        </w:tc>
        <w:tc>
          <w:tcPr>
            <w:tcW w:type="dxa" w:w="1900"/>
          </w:tcPr>
          <w:p>
            <w:r>
              <w:rPr>
                <w:sz w:val="22"/>
                <w:szCs w:val="22"/>
              </w:rPr>
              <w:t xml:space="preserve">Commercial + yachts</w:t>
            </w:r>
          </w:p>
        </w:tc>
        <w:tc>
          <w:tcPr>
            <w:tcW w:type="dxa" w:w="1500"/>
          </w:tcPr>
          <w:p>
            <w:r>
              <w:rPr>
                <w:sz w:val="22"/>
                <w:szCs w:val="22"/>
              </w:rPr>
              <w:t xml:space="preserve">8/10</w:t>
            </w:r>
          </w:p>
        </w:tc>
        <w:tc>
          <w:tcPr>
            <w:tcW w:type="dxa" w:w="2300"/>
          </w:tcPr>
          <w:p>
            <w:r>
              <w:rPr>
                <w:sz w:val="22"/>
                <w:szCs w:val="22"/>
              </w:rPr>
              <w:t xml:space="preserve">Events + digital + ads</w:t>
            </w:r>
          </w:p>
        </w:tc>
      </w:tr>
      <w:tr>
        <w:tc>
          <w:tcPr>
            <w:tcW w:type="dxa" w:w="2000"/>
          </w:tcPr>
          <w:p>
            <w:r>
              <w:rPr>
                <w:sz w:val="22"/>
                <w:szCs w:val="22"/>
              </w:rPr>
              <w:t xml:space="preserve">DNV Insights</w:t>
            </w:r>
          </w:p>
        </w:tc>
        <w:tc>
          <w:tcPr>
            <w:tcW w:type="dxa" w:w="1800"/>
          </w:tcPr>
          <w:p>
            <w:r>
              <w:rPr>
                <w:sz w:val="22"/>
                <w:szCs w:val="22"/>
              </w:rPr>
              <w:t xml:space="preserve">200,000+</w:t>
            </w:r>
          </w:p>
        </w:tc>
        <w:tc>
          <w:tcPr>
            <w:tcW w:type="dxa" w:w="1900"/>
          </w:tcPr>
          <w:p>
            <w:r>
              <w:rPr>
                <w:sz w:val="22"/>
                <w:szCs w:val="22"/>
              </w:rPr>
              <w:t xml:space="preserve">Safety + energy</w:t>
            </w:r>
          </w:p>
        </w:tc>
        <w:tc>
          <w:tcPr>
            <w:tcW w:type="dxa" w:w="1500"/>
          </w:tcPr>
          <w:p>
            <w:r>
              <w:rPr>
                <w:sz w:val="22"/>
                <w:szCs w:val="22"/>
              </w:rPr>
              <w:t xml:space="preserve">10/10</w:t>
            </w:r>
          </w:p>
        </w:tc>
        <w:tc>
          <w:tcPr>
            <w:tcW w:type="dxa" w:w="2300"/>
          </w:tcPr>
          <w:p>
            <w:r>
              <w:rPr>
                <w:sz w:val="22"/>
                <w:szCs w:val="22"/>
              </w:rPr>
              <w:t xml:space="preserve">Content marketing</w:t>
            </w:r>
          </w:p>
        </w:tc>
      </w:tr>
      <w:tr>
        <w:tc>
          <w:tcPr>
            <w:tcW w:type="dxa" w:w="2000"/>
          </w:tcPr>
          <w:p>
            <w:r>
              <w:rPr>
                <w:sz w:val="22"/>
                <w:szCs w:val="22"/>
              </w:rPr>
              <w:t xml:space="preserve">Lloyd's Register Insights</w:t>
            </w:r>
          </w:p>
        </w:tc>
        <w:tc>
          <w:tcPr>
            <w:tcW w:type="dxa" w:w="1800"/>
          </w:tcPr>
          <w:p>
            <w:r>
              <w:rPr>
                <w:sz w:val="22"/>
                <w:szCs w:val="22"/>
              </w:rPr>
              <w:t xml:space="preserve">150,000+</w:t>
            </w:r>
          </w:p>
        </w:tc>
        <w:tc>
          <w:tcPr>
            <w:tcW w:type="dxa" w:w="1900"/>
          </w:tcPr>
          <w:p>
            <w:r>
              <w:rPr>
                <w:sz w:val="22"/>
                <w:szCs w:val="22"/>
              </w:rPr>
              <w:t xml:space="preserve">Broad industry</w:t>
            </w:r>
          </w:p>
        </w:tc>
        <w:tc>
          <w:tcPr>
            <w:tcW w:type="dxa" w:w="1500"/>
          </w:tcPr>
          <w:p>
            <w:r>
              <w:rPr>
                <w:sz w:val="22"/>
                <w:szCs w:val="22"/>
              </w:rPr>
              <w:t xml:space="preserve">10/10</w:t>
            </w:r>
          </w:p>
        </w:tc>
        <w:tc>
          <w:tcPr>
            <w:tcW w:type="dxa" w:w="2300"/>
          </w:tcPr>
          <w:p>
            <w:r>
              <w:rPr>
                <w:sz w:val="22"/>
                <w:szCs w:val="22"/>
              </w:rPr>
              <w:t xml:space="preserve">Content marketing</w:t>
            </w:r>
          </w:p>
        </w:tc>
      </w:tr>
      <w:tr>
        <w:tc>
          <w:tcPr>
            <w:tcW w:type="dxa" w:w="2000"/>
          </w:tcPr>
          <w:p>
            <w:r>
              <w:rPr>
                <w:sz w:val="22"/>
                <w:szCs w:val="22"/>
              </w:rPr>
              <w:t xml:space="preserve">Safety4Sea</w:t>
            </w:r>
          </w:p>
        </w:tc>
        <w:tc>
          <w:tcPr>
            <w:tcW w:type="dxa" w:w="1800"/>
          </w:tcPr>
          <w:p>
            <w:r>
              <w:rPr>
                <w:sz w:val="22"/>
                <w:szCs w:val="22"/>
              </w:rPr>
              <w:t xml:space="preserve">40,000+</w:t>
            </w:r>
          </w:p>
        </w:tc>
        <w:tc>
          <w:tcPr>
            <w:tcW w:type="dxa" w:w="1900"/>
          </w:tcPr>
          <w:p>
            <w:r>
              <w:rPr>
                <w:sz w:val="22"/>
                <w:szCs w:val="22"/>
              </w:rPr>
              <w:t xml:space="preserve">Maritime safety</w:t>
            </w:r>
          </w:p>
        </w:tc>
        <w:tc>
          <w:tcPr>
            <w:tcW w:type="dxa" w:w="1500"/>
          </w:tcPr>
          <w:p>
            <w:r>
              <w:rPr>
                <w:sz w:val="22"/>
                <w:szCs w:val="22"/>
              </w:rPr>
              <w:t xml:space="preserve">7/10</w:t>
            </w:r>
          </w:p>
        </w:tc>
        <w:tc>
          <w:tcPr>
            <w:tcW w:type="dxa" w:w="2300"/>
          </w:tcPr>
          <w:p>
            <w:r>
              <w:rPr>
                <w:sz w:val="22"/>
                <w:szCs w:val="22"/>
              </w:rPr>
              <w:t xml:space="preserve">Ads + events + courses</w:t>
            </w:r>
          </w:p>
        </w:tc>
      </w:tr>
      <w:tr>
        <w:tc>
          <w:tcPr>
            <w:tcW w:type="dxa" w:w="2000"/>
          </w:tcPr>
          <w:p>
            <w:r>
              <w:rPr>
                <w:sz w:val="22"/>
                <w:szCs w:val="22"/>
              </w:rPr>
              <w:t xml:space="preserve">ShipPaulJobs</w:t>
            </w:r>
          </w:p>
        </w:tc>
        <w:tc>
          <w:tcPr>
            <w:tcW w:type="dxa" w:w="1800"/>
          </w:tcPr>
          <w:p>
            <w:r>
              <w:rPr>
                <w:sz w:val="22"/>
                <w:szCs w:val="22"/>
              </w:rPr>
              <w:t xml:space="preserve">~830/month</w:t>
            </w:r>
          </w:p>
        </w:tc>
        <w:tc>
          <w:tcPr>
            <w:tcW w:type="dxa" w:w="1900"/>
          </w:tcPr>
          <w:p>
            <w:r>
              <w:rPr>
                <w:sz w:val="22"/>
                <w:szCs w:val="22"/>
              </w:rPr>
              <w:t xml:space="preserve">Maritime AI + Cyber</w:t>
            </w:r>
          </w:p>
        </w:tc>
        <w:tc>
          <w:tcPr>
            <w:tcW w:type="dxa" w:w="1500"/>
          </w:tcPr>
          <w:p>
            <w:r>
              <w:rPr>
                <w:sz w:val="22"/>
                <w:szCs w:val="22"/>
              </w:rPr>
              <w:t xml:space="preserve">2/10</w:t>
            </w:r>
          </w:p>
        </w:tc>
        <w:tc>
          <w:tcPr>
            <w:tcW w:type="dxa" w:w="2300"/>
          </w:tcPr>
          <w:p>
            <w:r>
              <w:rPr>
                <w:sz w:val="22"/>
                <w:szCs w:val="22"/>
              </w:rPr>
              <w:t xml:space="preserve">None (AdSense pending)</w:t>
            </w:r>
          </w:p>
        </w:tc>
      </w:tr>
    </w:tbl>
    <w:p>
      <w:pPr>
        <w:spacing w:after="200"/>
      </w:pPr>
    </w:p>
    <w:p>
      <w:pPr>
        <w:spacing w:after="120"/>
      </w:pPr>
      <w:r>
        <w:rPr>
          <w:sz w:val="22"/>
          <w:szCs w:val="22"/>
        </w:rPr>
        <w:t xml:space="preserve">ShipPaulJobs is not currently competitive with any listed brand. It is approximately 60–240x smaller than the smallest listed competitor by traffic.</w:t>
      </w:r>
    </w:p>
    <w:p>
      <w:pPr>
        <w:pStyle w:val="Heading2"/>
        <w:spacing w:after="150" w:before="300"/>
      </w:pPr>
      <w:r>
        <w:t xml:space="preserve">Unique Competitive Positioning (the actual opportunity)</w:t>
      </w:r>
    </w:p>
    <w:p>
      <w:pPr>
        <w:spacing w:after="80"/>
        <w:ind w:left="360"/>
      </w:pPr>
      <w:r>
        <w:rPr>
          <w:sz w:val="22"/>
          <w:szCs w:val="22"/>
        </w:rPr>
        <w:t xml:space="preserve">• ONLY media brand exclusively focused on maritime AI + cybersecurity convergence globally</w:t>
      </w:r>
    </w:p>
    <w:p>
      <w:pPr>
        <w:spacing w:after="80"/>
        <w:ind w:left="360"/>
      </w:pPr>
      <w:r>
        <w:rPr>
          <w:sz w:val="22"/>
          <w:szCs w:val="22"/>
        </w:rPr>
        <w:t xml:space="preserve">• ONLY APAC-first, practitioner-authored maritime cyber publication</w:t>
      </w:r>
    </w:p>
    <w:p>
      <w:pPr>
        <w:spacing w:after="80"/>
        <w:ind w:left="360"/>
      </w:pPr>
      <w:r>
        <w:rPr>
          <w:sz w:val="22"/>
          <w:szCs w:val="22"/>
        </w:rPr>
        <w:t xml:space="preserve">• ONLY English-language publication meaningfully covering Korea and China maritime digital transformation</w:t>
      </w:r>
    </w:p>
    <w:p>
      <w:pPr>
        <w:spacing w:after="80"/>
        <w:ind w:left="360"/>
      </w:pPr>
      <w:r>
        <w:rPr>
          <w:sz w:val="22"/>
          <w:szCs w:val="22"/>
        </w:rPr>
        <w:t xml:space="preserve">• ONLY source combining IACS E26/E27, IEC 62443, and maritime AI governance in one editorial brand</w:t>
      </w:r>
    </w:p>
    <w:p>
      <w:pPr>
        <w:spacing w:after="120"/>
      </w:pPr>
      <w:r>
        <w:rPr>
          <w:sz w:val="22"/>
          <w:szCs w:val="22"/>
        </w:rPr>
        <w:t xml:space="preserve">These white spaces are genuine. None of the listed competitors own them. The question is whether ShipPaulJobs can occupy them before better-resourced competitors decide to.</w:t>
      </w:r>
    </w:p>
    <w:p>
      <w:pPr>
        <w:pStyle w:val="Heading2"/>
        <w:spacing w:after="150" w:before="300"/>
      </w:pPr>
      <w:r>
        <w:t xml:space="preserve">Brand Moat Assessment: MEDIUM potential, LOW current reality</w:t>
      </w:r>
    </w:p>
    <w:p>
      <w:pPr>
        <w:spacing w:after="120"/>
      </w:pPr>
      <w:r>
        <w:rPr>
          <w:sz w:val="22"/>
          <w:szCs w:val="22"/>
        </w:rPr>
        <w:t xml:space="preserve">The moat exists in concept but not yet in practice. Actual moat requires: 25,000+ monthly visitors, recognized author brand, at least one annual event, and first-mover content ownership on 10+ high-volume maritime cyber keywords. Currently none of these conditions are met.</w:t>
      </w:r>
    </w:p>
    <w:p>
      <w:r>
        <w:br w:type="page"/>
      </w:r>
    </w:p>
    <w:p>
      <w:pPr>
        <w:pStyle w:val="Heading1"/>
        <w:spacing w:after="200" w:before="400"/>
      </w:pPr>
      <w:r>
        <w:t xml:space="preserve">8. Business Analysis</w:t>
      </w:r>
    </w:p>
    <w:p>
      <w:pPr>
        <w:spacing w:after="120"/>
      </w:pPr>
      <w:r>
        <w:rPr>
          <w:sz w:val="22"/>
          <w:szCs w:val="22"/>
        </w:rPr>
        <w:t xml:space="preserve">Current revenue: $0. No monetization active. The most important business insight: ShipPaulJobs will never generate meaningful revenue from AdSense at current traffic. The path to revenue is consulting and training, with content as lead generation, not as the product.</w:t>
      </w:r>
    </w:p>
    <w:p>
      <w:pPr>
        <w:pStyle w:val="Heading2"/>
        <w:spacing w:after="150" w:before="300"/>
      </w:pPr>
      <w:r>
        <w:t xml:space="preserve">Revenue Stream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9E2F3" w:color="auto" w:val="clear"/>
          </w:tcPr>
          <w:p>
            <w:r>
              <w:rPr>
                <w:b/>
                <w:bCs/>
                <w:sz w:val="22"/>
                <w:szCs w:val="22"/>
              </w:rPr>
              <w:t xml:space="preserve">Revenue Stream</w:t>
            </w:r>
          </w:p>
        </w:tc>
        <w:tc>
          <w:tcPr>
            <w:tcW w:type="dxa" w:w="1500"/>
            <w:shd w:fill="D9E2F3" w:color="auto" w:val="clear"/>
          </w:tcPr>
          <w:p>
            <w:r>
              <w:rPr>
                <w:b/>
                <w:bCs/>
                <w:sz w:val="22"/>
                <w:szCs w:val="22"/>
              </w:rPr>
              <w:t xml:space="preserve">Timeline</w:t>
            </w:r>
          </w:p>
        </w:tc>
        <w:tc>
          <w:tcPr>
            <w:tcW w:type="dxa" w:w="2000"/>
            <w:shd w:fill="D9E2F3" w:color="auto" w:val="clear"/>
          </w:tcPr>
          <w:p>
            <w:r>
              <w:rPr>
                <w:b/>
                <w:bCs/>
                <w:sz w:val="22"/>
                <w:szCs w:val="22"/>
              </w:rPr>
              <w:t xml:space="preserve">Annual Potential</w:t>
            </w:r>
          </w:p>
        </w:tc>
        <w:tc>
          <w:tcPr>
            <w:tcW w:type="dxa" w:w="3500"/>
            <w:shd w:fill="D9E2F3" w:color="auto" w:val="clear"/>
          </w:tcPr>
          <w:p>
            <w:r>
              <w:rPr>
                <w:b/>
                <w:bCs/>
                <w:sz w:val="22"/>
                <w:szCs w:val="22"/>
              </w:rPr>
              <w:t xml:space="preserve">Priority</w:t>
            </w:r>
          </w:p>
        </w:tc>
      </w:tr>
      <w:tr>
        <w:tc>
          <w:tcPr>
            <w:tcW w:type="dxa" w:w="2500"/>
          </w:tcPr>
          <w:p>
            <w:r>
              <w:rPr>
                <w:sz w:val="22"/>
                <w:szCs w:val="22"/>
              </w:rPr>
              <w:t xml:space="preserve">Maritime OT Security Consulting</w:t>
            </w:r>
          </w:p>
        </w:tc>
        <w:tc>
          <w:tcPr>
            <w:tcW w:type="dxa" w:w="1500"/>
          </w:tcPr>
          <w:p>
            <w:r>
              <w:rPr>
                <w:sz w:val="22"/>
                <w:szCs w:val="22"/>
              </w:rPr>
              <w:t xml:space="preserve">0–3 months</w:t>
            </w:r>
          </w:p>
        </w:tc>
        <w:tc>
          <w:tcPr>
            <w:tcW w:type="dxa" w:w="2000"/>
          </w:tcPr>
          <w:p>
            <w:r>
              <w:rPr>
                <w:sz w:val="22"/>
                <w:szCs w:val="22"/>
              </w:rPr>
              <w:t xml:space="preserve">$50k–$200k</w:t>
            </w:r>
          </w:p>
        </w:tc>
        <w:tc>
          <w:tcPr>
            <w:tcW w:type="dxa" w:w="3500"/>
          </w:tcPr>
          <w:p>
            <w:r>
              <w:rPr>
                <w:sz w:val="22"/>
                <w:szCs w:val="22"/>
              </w:rPr>
              <w:t xml:space="preserve">CRITICAL — Start now. Skills exist. Blog is already a proof of expertise.</w:t>
            </w:r>
          </w:p>
        </w:tc>
      </w:tr>
      <w:tr>
        <w:tc>
          <w:tcPr>
            <w:tcW w:type="dxa" w:w="2500"/>
          </w:tcPr>
          <w:p>
            <w:r>
              <w:rPr>
                <w:sz w:val="22"/>
                <w:szCs w:val="22"/>
              </w:rPr>
              <w:t xml:space="preserve">Paid Newsletter (Substack/CK)</w:t>
            </w:r>
          </w:p>
        </w:tc>
        <w:tc>
          <w:tcPr>
            <w:tcW w:type="dxa" w:w="1500"/>
          </w:tcPr>
          <w:p>
            <w:r>
              <w:rPr>
                <w:sz w:val="22"/>
                <w:szCs w:val="22"/>
              </w:rPr>
              <w:t xml:space="preserve">3–6 months</w:t>
            </w:r>
          </w:p>
        </w:tc>
        <w:tc>
          <w:tcPr>
            <w:tcW w:type="dxa" w:w="2000"/>
          </w:tcPr>
          <w:p>
            <w:r>
              <w:rPr>
                <w:sz w:val="22"/>
                <w:szCs w:val="22"/>
              </w:rPr>
              <w:t xml:space="preserve">$12k–$100k</w:t>
            </w:r>
          </w:p>
        </w:tc>
        <w:tc>
          <w:tcPr>
            <w:tcW w:type="dxa" w:w="3500"/>
          </w:tcPr>
          <w:p>
            <w:r>
              <w:rPr>
                <w:sz w:val="22"/>
                <w:szCs w:val="22"/>
              </w:rPr>
              <w:t xml:space="preserve">HIGH — B2B professionals pay for niche intelligence. Build email list NOW.</w:t>
            </w:r>
          </w:p>
        </w:tc>
      </w:tr>
      <w:tr>
        <w:tc>
          <w:tcPr>
            <w:tcW w:type="dxa" w:w="2500"/>
          </w:tcPr>
          <w:p>
            <w:r>
              <w:rPr>
                <w:sz w:val="22"/>
                <w:szCs w:val="22"/>
              </w:rPr>
              <w:t xml:space="preserve">IACS E26/E27 Training</w:t>
            </w:r>
          </w:p>
        </w:tc>
        <w:tc>
          <w:tcPr>
            <w:tcW w:type="dxa" w:w="1500"/>
          </w:tcPr>
          <w:p>
            <w:r>
              <w:rPr>
                <w:sz w:val="22"/>
                <w:szCs w:val="22"/>
              </w:rPr>
              <w:t xml:space="preserve">6–12 months</w:t>
            </w:r>
          </w:p>
        </w:tc>
        <w:tc>
          <w:tcPr>
            <w:tcW w:type="dxa" w:w="2000"/>
          </w:tcPr>
          <w:p>
            <w:r>
              <w:rPr>
                <w:sz w:val="22"/>
                <w:szCs w:val="22"/>
              </w:rPr>
              <w:t xml:space="preserve">$30k–$150k</w:t>
            </w:r>
          </w:p>
        </w:tc>
        <w:tc>
          <w:tcPr>
            <w:tcW w:type="dxa" w:w="3500"/>
          </w:tcPr>
          <w:p>
            <w:r>
              <w:rPr>
                <w:sz w:val="22"/>
                <w:szCs w:val="22"/>
              </w:rPr>
              <w:t xml:space="preserve">HIGH — Compliance training, $1,500-2,000/seat, mandatory demand.</w:t>
            </w:r>
          </w:p>
        </w:tc>
      </w:tr>
      <w:tr>
        <w:tc>
          <w:tcPr>
            <w:tcW w:type="dxa" w:w="2500"/>
          </w:tcPr>
          <w:p>
            <w:r>
              <w:rPr>
                <w:sz w:val="22"/>
                <w:szCs w:val="22"/>
              </w:rPr>
              <w:t xml:space="preserve">Premium Research Reports</w:t>
            </w:r>
          </w:p>
        </w:tc>
        <w:tc>
          <w:tcPr>
            <w:tcW w:type="dxa" w:w="1500"/>
          </w:tcPr>
          <w:p>
            <w:r>
              <w:rPr>
                <w:sz w:val="22"/>
                <w:szCs w:val="22"/>
              </w:rPr>
              <w:t xml:space="preserve">6–12 months</w:t>
            </w:r>
          </w:p>
        </w:tc>
        <w:tc>
          <w:tcPr>
            <w:tcW w:type="dxa" w:w="2000"/>
          </w:tcPr>
          <w:p>
            <w:r>
              <w:rPr>
                <w:sz w:val="22"/>
                <w:szCs w:val="22"/>
              </w:rPr>
              <w:t xml:space="preserve">$20k–$80k</w:t>
            </w:r>
          </w:p>
        </w:tc>
        <w:tc>
          <w:tcPr>
            <w:tcW w:type="dxa" w:w="3500"/>
          </w:tcPr>
          <w:p>
            <w:r>
              <w:rPr>
                <w:sz w:val="22"/>
                <w:szCs w:val="22"/>
              </w:rPr>
              <w:t xml:space="preserve">STRATEGIC — Maritime AI/Cyber Market Report at $500-1,000 each.</w:t>
            </w:r>
          </w:p>
        </w:tc>
      </w:tr>
      <w:tr>
        <w:tc>
          <w:tcPr>
            <w:tcW w:type="dxa" w:w="2500"/>
          </w:tcPr>
          <w:p>
            <w:r>
              <w:rPr>
                <w:sz w:val="22"/>
                <w:szCs w:val="22"/>
              </w:rPr>
              <w:t xml:space="preserve">Google AdSense</w:t>
            </w:r>
          </w:p>
        </w:tc>
        <w:tc>
          <w:tcPr>
            <w:tcW w:type="dxa" w:w="1500"/>
          </w:tcPr>
          <w:p>
            <w:r>
              <w:rPr>
                <w:sz w:val="22"/>
                <w:szCs w:val="22"/>
              </w:rPr>
              <w:t xml:space="preserve">0–3 months</w:t>
            </w:r>
          </w:p>
        </w:tc>
        <w:tc>
          <w:tcPr>
            <w:tcW w:type="dxa" w:w="2000"/>
          </w:tcPr>
          <w:p>
            <w:r>
              <w:rPr>
                <w:sz w:val="22"/>
                <w:szCs w:val="22"/>
              </w:rPr>
              <w:t xml:space="preserve">$500–$2,000/yr</w:t>
            </w:r>
          </w:p>
        </w:tc>
        <w:tc>
          <w:tcPr>
            <w:tcW w:type="dxa" w:w="3500"/>
          </w:tcPr>
          <w:p>
            <w:r>
              <w:rPr>
                <w:sz w:val="22"/>
                <w:szCs w:val="22"/>
              </w:rPr>
              <w:t xml:space="preserve">MINIMAL — Approve it, but do not build a strategy around it.</w:t>
            </w:r>
          </w:p>
        </w:tc>
      </w:tr>
      <w:tr>
        <w:tc>
          <w:tcPr>
            <w:tcW w:type="dxa" w:w="2500"/>
          </w:tcPr>
          <w:p>
            <w:r>
              <w:rPr>
                <w:sz w:val="22"/>
                <w:szCs w:val="22"/>
              </w:rPr>
              <w:t xml:space="preserve">Direct Advertising (vendors)</w:t>
            </w:r>
          </w:p>
        </w:tc>
        <w:tc>
          <w:tcPr>
            <w:tcW w:type="dxa" w:w="1500"/>
          </w:tcPr>
          <w:p>
            <w:r>
              <w:rPr>
                <w:sz w:val="22"/>
                <w:szCs w:val="22"/>
              </w:rPr>
              <w:t xml:space="preserve">12–24 months</w:t>
            </w:r>
          </w:p>
        </w:tc>
        <w:tc>
          <w:tcPr>
            <w:tcW w:type="dxa" w:w="2000"/>
          </w:tcPr>
          <w:p>
            <w:r>
              <w:rPr>
                <w:sz w:val="22"/>
                <w:szCs w:val="22"/>
              </w:rPr>
              <w:t xml:space="preserve">$20k–$100k</w:t>
            </w:r>
          </w:p>
        </w:tc>
        <w:tc>
          <w:tcPr>
            <w:tcW w:type="dxa" w:w="3500"/>
          </w:tcPr>
          <w:p>
            <w:r>
              <w:rPr>
                <w:sz w:val="22"/>
                <w:szCs w:val="22"/>
              </w:rPr>
              <w:t xml:space="preserve">BUILD TOWARD — Need 10,000+ monthly visitors for vendor interest.</w:t>
            </w:r>
          </w:p>
        </w:tc>
      </w:tr>
      <w:tr>
        <w:tc>
          <w:tcPr>
            <w:tcW w:type="dxa" w:w="2500"/>
          </w:tcPr>
          <w:p>
            <w:r>
              <w:rPr>
                <w:sz w:val="22"/>
                <w:szCs w:val="22"/>
              </w:rPr>
              <w:t xml:space="preserve">Annual Maritime Cyber Conference</w:t>
            </w:r>
          </w:p>
        </w:tc>
        <w:tc>
          <w:tcPr>
            <w:tcW w:type="dxa" w:w="1500"/>
          </w:tcPr>
          <w:p>
            <w:r>
              <w:rPr>
                <w:sz w:val="22"/>
                <w:szCs w:val="22"/>
              </w:rPr>
              <w:t xml:space="preserve">18–24 months</w:t>
            </w:r>
          </w:p>
        </w:tc>
        <w:tc>
          <w:tcPr>
            <w:tcW w:type="dxa" w:w="2000"/>
          </w:tcPr>
          <w:p>
            <w:r>
              <w:rPr>
                <w:sz w:val="22"/>
                <w:szCs w:val="22"/>
              </w:rPr>
              <w:t xml:space="preserve">$100k–$500k</w:t>
            </w:r>
          </w:p>
        </w:tc>
        <w:tc>
          <w:tcPr>
            <w:tcW w:type="dxa" w:w="3500"/>
          </w:tcPr>
          <w:p>
            <w:r>
              <w:rPr>
                <w:sz w:val="22"/>
                <w:szCs w:val="22"/>
              </w:rPr>
              <w:t xml:space="preserve">YEAR 2–3 TARGET — Singapore or Seoul event. 200-300 attendees.</w:t>
            </w:r>
          </w:p>
        </w:tc>
      </w:tr>
      <w:tr>
        <w:tc>
          <w:tcPr>
            <w:tcW w:type="dxa" w:w="2500"/>
          </w:tcPr>
          <w:p>
            <w:r>
              <w:rPr>
                <w:sz w:val="22"/>
                <w:szCs w:val="22"/>
              </w:rPr>
              <w:t xml:space="preserve">AI SaaS (Compliance Automation)</w:t>
            </w:r>
          </w:p>
        </w:tc>
        <w:tc>
          <w:tcPr>
            <w:tcW w:type="dxa" w:w="1500"/>
          </w:tcPr>
          <w:p>
            <w:r>
              <w:rPr>
                <w:sz w:val="22"/>
                <w:szCs w:val="22"/>
              </w:rPr>
              <w:t xml:space="preserve">24–36 months</w:t>
            </w:r>
          </w:p>
        </w:tc>
        <w:tc>
          <w:tcPr>
            <w:tcW w:type="dxa" w:w="2000"/>
          </w:tcPr>
          <w:p>
            <w:r>
              <w:rPr>
                <w:sz w:val="22"/>
                <w:szCs w:val="22"/>
              </w:rPr>
              <w:t xml:space="preserve">$100k–$1M+</w:t>
            </w:r>
          </w:p>
        </w:tc>
        <w:tc>
          <w:tcPr>
            <w:tcW w:type="dxa" w:w="3500"/>
          </w:tcPr>
          <w:p>
            <w:r>
              <w:rPr>
                <w:sz w:val="22"/>
                <w:szCs w:val="22"/>
              </w:rPr>
              <w:t xml:space="preserve">LONG-TERM — IACS E26/E27 compliance checker. B2B SaaS. Requires capital.</w:t>
            </w:r>
          </w:p>
        </w:tc>
      </w:tr>
    </w:tbl>
    <w:p>
      <w:pPr>
        <w:spacing w:after="200"/>
      </w:pPr>
    </w:p>
    <w:p>
      <w:pPr>
        <w:pStyle w:val="Heading2"/>
        <w:spacing w:after="150" w:before="300"/>
      </w:pPr>
      <w:r>
        <w:t xml:space="preserve">Critical Business Strategy Insight</w:t>
      </w:r>
    </w:p>
    <w:p>
      <w:pPr>
        <w:spacing w:after="120"/>
      </w:pPr>
      <w:r>
        <w:rPr>
          <w:sz w:val="22"/>
          <w:szCs w:val="22"/>
        </w:rPr>
        <w:t xml:space="preserve">The blog is NOT the business. The blog is the marketing vehicle for the business. The founder's maritime cybersecurity expertise IS the business. Content should be repositioned as proof of expertise and lead generation for consulting, not as an ad inventory product.</w:t>
      </w:r>
    </w:p>
    <w:p>
      <w:r>
        <w:br w:type="page"/>
      </w:r>
    </w:p>
    <w:p>
      <w:pPr>
        <w:pStyle w:val="Heading1"/>
        <w:spacing w:after="200" w:before="400"/>
      </w:pPr>
      <w:r>
        <w:t xml:space="preserve">9. Google AdSense Review (Reviewer Simulation)</w:t>
      </w:r>
    </w:p>
    <w:p>
      <w:pPr>
        <w:spacing w:after="120"/>
      </w:pPr>
      <w:r>
        <w:rPr>
          <w:sz w:val="22"/>
          <w:szCs w:val="22"/>
        </w:rPr>
        <w:t xml:space="preserve">Assessment of https://www.shippauljobs.com as a Google AdSense publisher applicant. Application submitted June 2026, pending as of August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color="auto" w:val="clear"/>
          </w:tcPr>
          <w:p>
            <w:r>
              <w:rPr>
                <w:b/>
                <w:bCs/>
                <w:sz w:val="22"/>
                <w:szCs w:val="22"/>
              </w:rPr>
              <w:t xml:space="preserve">Review Dimension</w:t>
            </w:r>
          </w:p>
        </w:tc>
        <w:tc>
          <w:tcPr>
            <w:tcW w:type="dxa" w:w="800"/>
            <w:shd w:fill="D9E2F3" w:color="auto" w:val="clear"/>
          </w:tcPr>
          <w:p>
            <w:r>
              <w:rPr>
                <w:b/>
                <w:bCs/>
                <w:sz w:val="22"/>
                <w:szCs w:val="22"/>
              </w:rPr>
              <w:t xml:space="preserve">Score</w:t>
            </w:r>
          </w:p>
        </w:tc>
        <w:tc>
          <w:tcPr>
            <w:tcW w:type="dxa" w:w="6500"/>
            <w:shd w:fill="D9E2F3" w:color="auto" w:val="clear"/>
          </w:tcPr>
          <w:p>
            <w:r>
              <w:rPr>
                <w:b/>
                <w:bCs/>
                <w:sz w:val="22"/>
                <w:szCs w:val="22"/>
              </w:rPr>
              <w:t xml:space="preserve">Reviewer Finding</w:t>
            </w:r>
          </w:p>
        </w:tc>
      </w:tr>
      <w:tr>
        <w:tc>
          <w:tcPr>
            <w:tcW w:type="dxa" w:w="2500"/>
          </w:tcPr>
          <w:p>
            <w:r>
              <w:rPr>
                <w:b/>
                <w:bCs/>
                <w:sz w:val="22"/>
                <w:szCs w:val="22"/>
              </w:rPr>
              <w:t xml:space="preserve">Content Quality</w:t>
            </w:r>
          </w:p>
        </w:tc>
        <w:tc>
          <w:tcPr>
            <w:tcW w:type="dxa" w:w="800"/>
          </w:tcPr>
          <w:p>
            <w:r>
              <w:rPr>
                <w:b/>
                <w:bCs/>
                <w:sz w:val="22"/>
                <w:szCs w:val="22"/>
              </w:rPr>
              <w:t xml:space="preserve">7/10</w:t>
            </w:r>
          </w:p>
        </w:tc>
        <w:tc>
          <w:tcPr>
            <w:tcW w:type="dxa" w:w="6200"/>
          </w:tcPr>
          <w:p>
            <w:r>
              <w:rPr>
                <w:sz w:val="22"/>
                <w:szCs w:val="22"/>
              </w:rPr>
              <w:t xml:space="preserve">Technical maritime content is substantive and specialized. Above average for personal blog. Rare topic depth.</w:t>
            </w:r>
          </w:p>
        </w:tc>
      </w:tr>
      <w:tr>
        <w:tc>
          <w:tcPr>
            <w:tcW w:type="dxa" w:w="2500"/>
          </w:tcPr>
          <w:p>
            <w:r>
              <w:rPr>
                <w:b/>
                <w:bCs/>
                <w:sz w:val="22"/>
                <w:szCs w:val="22"/>
              </w:rPr>
              <w:t xml:space="preserve">Content Originality</w:t>
            </w:r>
          </w:p>
        </w:tc>
        <w:tc>
          <w:tcPr>
            <w:tcW w:type="dxa" w:w="800"/>
          </w:tcPr>
          <w:p>
            <w:r>
              <w:rPr>
                <w:b/>
                <w:bCs/>
                <w:sz w:val="22"/>
                <w:szCs w:val="22"/>
              </w:rPr>
              <w:t xml:space="preserve">6/10</w:t>
            </w:r>
          </w:p>
        </w:tc>
        <w:tc>
          <w:tcPr>
            <w:tcW w:type="dxa" w:w="6200"/>
          </w:tcPr>
          <w:p>
            <w:r>
              <w:rPr>
                <w:sz w:val="22"/>
                <w:szCs w:val="22"/>
              </w:rPr>
              <w:t xml:space="preserve">Core articles appear human-authored. "Agent-ai-XX" URL pattern triggers AI content concern — reviewer will scrutinize.</w:t>
            </w:r>
          </w:p>
        </w:tc>
      </w:tr>
      <w:tr>
        <w:tc>
          <w:tcPr>
            <w:tcW w:type="dxa" w:w="2500"/>
          </w:tcPr>
          <w:p>
            <w:r>
              <w:rPr>
                <w:b/>
                <w:bCs/>
                <w:sz w:val="22"/>
                <w:szCs w:val="22"/>
              </w:rPr>
              <w:t xml:space="preserve">Navigation &amp; Structure</w:t>
            </w:r>
          </w:p>
        </w:tc>
        <w:tc>
          <w:tcPr>
            <w:tcW w:type="dxa" w:w="800"/>
          </w:tcPr>
          <w:p>
            <w:r>
              <w:rPr>
                <w:b/>
                <w:bCs/>
                <w:sz w:val="22"/>
                <w:szCs w:val="22"/>
              </w:rPr>
              <w:t xml:space="preserve">6/10</w:t>
            </w:r>
          </w:p>
        </w:tc>
        <w:tc>
          <w:tcPr>
            <w:tcW w:type="dxa" w:w="6200"/>
          </w:tcPr>
          <w:p>
            <w:r>
              <w:rPr>
                <w:sz w:val="22"/>
                <w:szCs w:val="22"/>
              </w:rPr>
              <w:t xml:space="preserve">Standard Blogger navigation. Functional but not impressive. No custom homepage or content hub design.</w:t>
            </w:r>
          </w:p>
        </w:tc>
      </w:tr>
      <w:tr>
        <w:tc>
          <w:tcPr>
            <w:tcW w:type="dxa" w:w="2500"/>
          </w:tcPr>
          <w:p>
            <w:r>
              <w:rPr>
                <w:b/>
                <w:bCs/>
                <w:sz w:val="22"/>
                <w:szCs w:val="22"/>
              </w:rPr>
              <w:t xml:space="preserve">User Experience</w:t>
            </w:r>
          </w:p>
        </w:tc>
        <w:tc>
          <w:tcPr>
            <w:tcW w:type="dxa" w:w="800"/>
          </w:tcPr>
          <w:p>
            <w:r>
              <w:rPr>
                <w:b/>
                <w:bCs/>
                <w:sz w:val="22"/>
                <w:szCs w:val="22"/>
              </w:rPr>
              <w:t xml:space="preserve">5/10</w:t>
            </w:r>
          </w:p>
        </w:tc>
        <w:tc>
          <w:tcPr>
            <w:tcW w:type="dxa" w:w="6200"/>
          </w:tcPr>
          <w:p>
            <w:r>
              <w:rPr>
                <w:sz w:val="22"/>
                <w:szCs w:val="22"/>
              </w:rPr>
              <w:t xml:space="preserve">Blogger template limits UX customization. Mobile experience is template-dependent.</w:t>
            </w:r>
          </w:p>
        </w:tc>
      </w:tr>
      <w:tr>
        <w:tc>
          <w:tcPr>
            <w:tcW w:type="dxa" w:w="2500"/>
          </w:tcPr>
          <w:p>
            <w:r>
              <w:rPr>
                <w:b/>
                <w:bCs/>
                <w:sz w:val="22"/>
                <w:szCs w:val="22"/>
              </w:rPr>
              <w:t xml:space="preserve">Policy Compliance</w:t>
            </w:r>
          </w:p>
        </w:tc>
        <w:tc>
          <w:tcPr>
            <w:tcW w:type="dxa" w:w="800"/>
          </w:tcPr>
          <w:p>
            <w:r>
              <w:rPr>
                <w:b/>
                <w:bCs/>
                <w:sz w:val="22"/>
                <w:szCs w:val="22"/>
              </w:rPr>
              <w:t xml:space="preserve">7/10</w:t>
            </w:r>
          </w:p>
        </w:tc>
        <w:tc>
          <w:tcPr>
            <w:tcW w:type="dxa" w:w="6200"/>
          </w:tcPr>
          <w:p>
            <w:r>
              <w:rPr>
                <w:sz w:val="22"/>
                <w:szCs w:val="22"/>
              </w:rPr>
              <w:t xml:space="preserve">HTTPS. No adult content. No piracy. Privacy Policy status requires verification.</w:t>
            </w:r>
          </w:p>
        </w:tc>
      </w:tr>
      <w:tr>
        <w:tc>
          <w:tcPr>
            <w:tcW w:type="dxa" w:w="2500"/>
          </w:tcPr>
          <w:p>
            <w:r>
              <w:rPr>
                <w:b/>
                <w:bCs/>
                <w:sz w:val="22"/>
                <w:szCs w:val="22"/>
              </w:rPr>
              <w:t xml:space="preserve">Traffic Quality</w:t>
            </w:r>
          </w:p>
        </w:tc>
        <w:tc>
          <w:tcPr>
            <w:tcW w:type="dxa" w:w="800"/>
          </w:tcPr>
          <w:p>
            <w:r>
              <w:rPr>
                <w:b/>
                <w:bCs/>
                <w:sz w:val="22"/>
                <w:szCs w:val="22"/>
              </w:rPr>
              <w:t xml:space="preserve">4/10</w:t>
            </w:r>
          </w:p>
        </w:tc>
        <w:tc>
          <w:tcPr>
            <w:tcW w:type="dxa" w:w="6200"/>
          </w:tcPr>
          <w:p>
            <w:r>
              <w:rPr>
                <w:sz w:val="22"/>
                <w:szCs w:val="22"/>
              </w:rPr>
              <w:t xml:space="preserve">Very low organic traffic. High direct traffic proportion can raise concerns. 38% homepage traffic is atypical.</w:t>
            </w:r>
          </w:p>
        </w:tc>
      </w:tr>
      <w:tr>
        <w:tc>
          <w:tcPr>
            <w:tcW w:type="dxa" w:w="2500"/>
          </w:tcPr>
          <w:p>
            <w:r>
              <w:rPr>
                <w:b/>
                <w:bCs/>
                <w:sz w:val="22"/>
                <w:szCs w:val="22"/>
              </w:rPr>
              <w:t xml:space="preserve">Content Volume</w:t>
            </w:r>
          </w:p>
        </w:tc>
        <w:tc>
          <w:tcPr>
            <w:tcW w:type="dxa" w:w="800"/>
          </w:tcPr>
          <w:p>
            <w:r>
              <w:rPr>
                <w:b/>
                <w:bCs/>
                <w:sz w:val="22"/>
                <w:szCs w:val="22"/>
              </w:rPr>
              <w:t xml:space="preserve">7/10</w:t>
            </w:r>
          </w:p>
        </w:tc>
        <w:tc>
          <w:tcPr>
            <w:tcW w:type="dxa" w:w="6200"/>
          </w:tcPr>
          <w:p>
            <w:r>
              <w:rPr>
                <w:sz w:val="22"/>
                <w:szCs w:val="22"/>
              </w:rPr>
              <w:t xml:space="preserve">489+ pages is sufficient quantity. Quality consistency across all pages is the question.</w:t>
            </w:r>
          </w:p>
        </w:tc>
      </w:tr>
      <w:tr>
        <w:tc>
          <w:tcPr>
            <w:tcW w:type="dxa" w:w="2500"/>
          </w:tcPr>
          <w:p>
            <w:r>
              <w:rPr>
                <w:b/>
                <w:bCs/>
                <w:sz w:val="22"/>
                <w:szCs w:val="22"/>
              </w:rPr>
              <w:t xml:space="preserve">Trust Signals</w:t>
            </w:r>
          </w:p>
        </w:tc>
        <w:tc>
          <w:tcPr>
            <w:tcW w:type="dxa" w:w="800"/>
          </w:tcPr>
          <w:p>
            <w:r>
              <w:rPr>
                <w:b/>
                <w:bCs/>
                <w:sz w:val="22"/>
                <w:szCs w:val="22"/>
              </w:rPr>
              <w:t xml:space="preserve">5/10</w:t>
            </w:r>
          </w:p>
        </w:tc>
        <w:tc>
          <w:tcPr>
            <w:tcW w:type="dxa" w:w="6200"/>
          </w:tcPr>
          <w:p>
            <w:r>
              <w:rPr>
                <w:sz w:val="22"/>
                <w:szCs w:val="22"/>
              </w:rPr>
              <w:t xml:space="preserve">Author credibility weak. No press coverage. Blogger platform reduces professionalism perception.</w:t>
            </w:r>
          </w:p>
        </w:tc>
      </w:tr>
    </w:tbl>
    <w:p>
      <w:pPr>
        <w:spacing w:after="200"/>
      </w:pPr>
    </w:p>
    <w:p>
      <w:pPr>
        <w:pStyle w:val="Heading2"/>
        <w:spacing w:after="150" w:before="300"/>
      </w:pPr>
      <w:r>
        <w:t xml:space="preserve">Approval Probability: 55–65%</w:t>
      </w:r>
    </w:p>
    <w:p>
      <w:pPr>
        <w:pStyle w:val="Heading2"/>
        <w:spacing w:after="150" w:before="300"/>
      </w:pPr>
      <w:r>
        <w:t xml:space="preserve">Potential Rejection Triggers</w:t>
      </w:r>
    </w:p>
    <w:p>
      <w:pPr>
        <w:spacing w:after="80"/>
        <w:ind w:left="360"/>
      </w:pPr>
      <w:r>
        <w:rPr>
          <w:sz w:val="22"/>
          <w:szCs w:val="22"/>
        </w:rPr>
        <w:t xml:space="preserve">• AI-generated content concerns — "agent-ai" URL naming pattern will be flagged for manual review</w:t>
      </w:r>
    </w:p>
    <w:p>
      <w:pPr>
        <w:spacing w:after="80"/>
        <w:ind w:left="360"/>
      </w:pPr>
      <w:r>
        <w:rPr>
          <w:sz w:val="22"/>
          <w:szCs w:val="22"/>
        </w:rPr>
        <w:t xml:space="preserve">• Missing or inadequate Privacy Policy — must be GDPR/CCPA compliant with cookie disclosure</w:t>
      </w:r>
    </w:p>
    <w:p>
      <w:pPr>
        <w:spacing w:after="80"/>
        <w:ind w:left="360"/>
      </w:pPr>
      <w:r>
        <w:rPr>
          <w:sz w:val="22"/>
          <w:szCs w:val="22"/>
        </w:rPr>
        <w:t xml:space="preserve">• "Thin content" pages — advertisement page with 13 second average engagement is a red flag</w:t>
      </w:r>
    </w:p>
    <w:p>
      <w:pPr>
        <w:spacing w:after="80"/>
        <w:ind w:left="360"/>
      </w:pPr>
      <w:r>
        <w:rPr>
          <w:sz w:val="22"/>
          <w:szCs w:val="22"/>
        </w:rPr>
        <w:t xml:space="preserve">• Low organic traffic — while not an official requirement, consistently low-traffic sites see higher rejection rates</w:t>
      </w:r>
    </w:p>
    <w:p>
      <w:pPr>
        <w:pStyle w:val="Heading2"/>
        <w:spacing w:after="150" w:before="300"/>
      </w:pPr>
      <w:r>
        <w:t xml:space="preserve">Required Actions Before Resubmission (if rejected)</w:t>
      </w:r>
    </w:p>
    <w:p>
      <w:pPr>
        <w:spacing w:after="80"/>
        <w:ind w:left="360"/>
      </w:pPr>
      <w:r>
        <w:rPr>
          <w:sz w:val="22"/>
          <w:szCs w:val="22"/>
        </w:rPr>
        <w:t xml:space="preserve">• Add comprehensive GDPR-compliant Privacy Policy linked from every page footer</w:t>
      </w:r>
    </w:p>
    <w:p>
      <w:pPr>
        <w:spacing w:after="80"/>
        <w:ind w:left="360"/>
      </w:pPr>
      <w:r>
        <w:rPr>
          <w:sz w:val="22"/>
          <w:szCs w:val="22"/>
        </w:rPr>
        <w:t xml:space="preserve">• Audit and remove or substantially expand all pages under 300 words</w:t>
      </w:r>
    </w:p>
    <w:p>
      <w:pPr>
        <w:spacing w:after="80"/>
        <w:ind w:left="360"/>
      </w:pPr>
      <w:r>
        <w:rPr>
          <w:sz w:val="22"/>
          <w:szCs w:val="22"/>
        </w:rPr>
        <w:t xml:space="preserve">• Remove the /p/advertisement-26-01.html page or rebuild it with substantive content</w:t>
      </w:r>
    </w:p>
    <w:p>
      <w:pPr>
        <w:spacing w:after="80"/>
        <w:ind w:left="360"/>
      </w:pPr>
      <w:r>
        <w:rPr>
          <w:sz w:val="22"/>
          <w:szCs w:val="22"/>
        </w:rPr>
        <w:t xml:space="preserve">• Add full author bio with credentials to every article</w:t>
      </w:r>
    </w:p>
    <w:p>
      <w:pPr>
        <w:spacing w:after="80"/>
        <w:ind w:left="360"/>
      </w:pPr>
      <w:r>
        <w:rPr>
          <w:sz w:val="22"/>
          <w:szCs w:val="22"/>
        </w:rPr>
        <w:t xml:space="preserve">• Review all "agent-ai-XX" articles for quality and originality</w:t>
      </w:r>
    </w:p>
    <w:p>
      <w:pPr>
        <w:spacing w:after="120"/>
      </w:pPr>
      <w:r>
        <w:rPr>
          <w:sz w:val="22"/>
          <w:szCs w:val="22"/>
        </w:rPr>
        <w:t xml:space="preserve">Important note: Even upon approval, AdSense at current traffic generates $5–25/month. This is not a viable revenue strategy. Pursue consulting and newsletter revenue instead.</w:t>
      </w:r>
    </w:p>
    <w:p>
      <w:r>
        <w:br w:type="page"/>
      </w:r>
    </w:p>
    <w:p>
      <w:pPr>
        <w:pStyle w:val="Heading1"/>
        <w:spacing w:after="200" w:before="400"/>
      </w:pPr>
      <w:r>
        <w:t xml:space="preserve">10. Website Valuation</w:t>
      </w:r>
    </w:p>
    <w:p>
      <w:pPr>
        <w:spacing w:after="120"/>
      </w:pPr>
      <w:r>
        <w:rPr>
          <w:sz w:val="22"/>
          <w:szCs w:val="22"/>
        </w:rPr>
        <w:t xml:space="preserve">Valuation as of August 2026. Methodology: content asset replacement cost, SEO asset comparables, and DCF under three scenarios.</w:t>
      </w:r>
    </w:p>
    <w:p>
      <w:pPr>
        <w:pStyle w:val="Heading2"/>
        <w:spacing w:after="150" w:before="300"/>
      </w:pPr>
      <w:r>
        <w:t xml:space="preserve">Current Asset Value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D9E2F3" w:color="auto" w:val="clear"/>
          </w:tcPr>
          <w:p>
            <w:r>
              <w:rPr>
                <w:b/>
                <w:bCs/>
                <w:sz w:val="22"/>
                <w:szCs w:val="22"/>
              </w:rPr>
              <w:t xml:space="preserve">Asset Component</w:t>
            </w:r>
          </w:p>
        </w:tc>
        <w:tc>
          <w:tcPr>
            <w:tcW w:type="dxa" w:w="2000"/>
            <w:shd w:fill="D9E2F3" w:color="auto" w:val="clear"/>
          </w:tcPr>
          <w:p>
            <w:r>
              <w:rPr>
                <w:b/>
                <w:bCs/>
                <w:sz w:val="22"/>
                <w:szCs w:val="22"/>
              </w:rPr>
              <w:t xml:space="preserve">Value Range</w:t>
            </w:r>
          </w:p>
        </w:tc>
        <w:tc>
          <w:tcPr>
            <w:tcW w:type="dxa" w:w="4700"/>
            <w:shd w:fill="D9E2F3" w:color="auto" w:val="clear"/>
          </w:tcPr>
          <w:p>
            <w:r>
              <w:rPr>
                <w:b/>
                <w:bCs/>
                <w:sz w:val="22"/>
                <w:szCs w:val="22"/>
              </w:rPr>
              <w:t xml:space="preserve">Basis</w:t>
            </w:r>
          </w:p>
        </w:tc>
      </w:tr>
      <w:tr>
        <w:tc>
          <w:tcPr>
            <w:tcW w:type="dxa" w:w="2800"/>
          </w:tcPr>
          <w:p>
            <w:r>
              <w:rPr>
                <w:sz w:val="22"/>
                <w:szCs w:val="22"/>
              </w:rPr>
              <w:t xml:space="preserve">Content Asset (489 pages)</w:t>
            </w:r>
          </w:p>
        </w:tc>
        <w:tc>
          <w:tcPr>
            <w:tcW w:type="dxa" w:w="2000"/>
          </w:tcPr>
          <w:p>
            <w:r>
              <w:rPr>
                <w:sz w:val="22"/>
                <w:szCs w:val="22"/>
              </w:rPr>
              <w:t xml:space="preserve">$50,000–$100,000</w:t>
            </w:r>
          </w:p>
        </w:tc>
        <w:tc>
          <w:tcPr>
            <w:tcW w:type="dxa" w:w="4700"/>
          </w:tcPr>
          <w:p>
            <w:r>
              <w:rPr>
                <w:sz w:val="22"/>
                <w:szCs w:val="22"/>
              </w:rPr>
              <w:t xml:space="preserve">Cost to replicate at $100-200/article for specialized maritime cyber content</w:t>
            </w:r>
          </w:p>
        </w:tc>
      </w:tr>
      <w:tr>
        <w:tc>
          <w:tcPr>
            <w:tcW w:type="dxa" w:w="2800"/>
          </w:tcPr>
          <w:p>
            <w:r>
              <w:rPr>
                <w:sz w:val="22"/>
                <w:szCs w:val="22"/>
              </w:rPr>
              <w:t xml:space="preserve">SEO Asset (domain authority)</w:t>
            </w:r>
          </w:p>
        </w:tc>
        <w:tc>
          <w:tcPr>
            <w:tcW w:type="dxa" w:w="2000"/>
          </w:tcPr>
          <w:p>
            <w:r>
              <w:rPr>
                <w:sz w:val="22"/>
                <w:szCs w:val="22"/>
              </w:rPr>
              <w:t xml:space="preserve">$2,000–$10,000</w:t>
            </w:r>
          </w:p>
        </w:tc>
        <w:tc>
          <w:tcPr>
            <w:tcW w:type="dxa" w:w="4700"/>
          </w:tcPr>
          <w:p>
            <w:r>
              <w:rPr>
                <w:sz w:val="22"/>
                <w:szCs w:val="22"/>
              </w:rPr>
              <w:t xml:space="preserve">Minimal — new domain, near-zero backlinks, Blogger limitation</w:t>
            </w:r>
          </w:p>
        </w:tc>
      </w:tr>
      <w:tr>
        <w:tc>
          <w:tcPr>
            <w:tcW w:type="dxa" w:w="2800"/>
          </w:tcPr>
          <w:p>
            <w:r>
              <w:rPr>
                <w:sz w:val="22"/>
                <w:szCs w:val="22"/>
              </w:rPr>
              <w:t xml:space="preserve">Brand Asset (ShipPaulJobs)</w:t>
            </w:r>
          </w:p>
        </w:tc>
        <w:tc>
          <w:tcPr>
            <w:tcW w:type="dxa" w:w="2000"/>
          </w:tcPr>
          <w:p>
            <w:r>
              <w:rPr>
                <w:sz w:val="22"/>
                <w:szCs w:val="22"/>
              </w:rPr>
              <w:t xml:space="preserve">$10,000–$50,000</w:t>
            </w:r>
          </w:p>
        </w:tc>
        <w:tc>
          <w:tcPr>
            <w:tcW w:type="dxa" w:w="4700"/>
          </w:tcPr>
          <w:p>
            <w:r>
              <w:rPr>
                <w:sz w:val="22"/>
                <w:szCs w:val="22"/>
              </w:rPr>
              <w:t xml:space="preserve">Speculative — first-mover potential in defined niche</w:t>
            </w:r>
          </w:p>
        </w:tc>
      </w:tr>
      <w:tr>
        <w:tc>
          <w:tcPr>
            <w:tcW w:type="dxa" w:w="2800"/>
          </w:tcPr>
          <w:p>
            <w:r>
              <w:rPr>
                <w:sz w:val="22"/>
                <w:szCs w:val="22"/>
              </w:rPr>
              <w:t xml:space="preserve">Audience Asset (email/subscribers)</w:t>
            </w:r>
          </w:p>
        </w:tc>
        <w:tc>
          <w:tcPr>
            <w:tcW w:type="dxa" w:w="2000"/>
          </w:tcPr>
          <w:p>
            <w:r>
              <w:rPr>
                <w:sz w:val="22"/>
                <w:szCs w:val="22"/>
              </w:rPr>
              <w:t xml:space="preserve">$0</w:t>
            </w:r>
          </w:p>
        </w:tc>
        <w:tc>
          <w:tcPr>
            <w:tcW w:type="dxa" w:w="4700"/>
          </w:tcPr>
          <w:p>
            <w:r>
              <w:rPr>
                <w:sz w:val="22"/>
                <w:szCs w:val="22"/>
              </w:rPr>
              <w:t xml:space="preserve">No email list. Returning visitor rate ~0%.</w:t>
            </w:r>
          </w:p>
        </w:tc>
      </w:tr>
      <w:tr>
        <w:tc>
          <w:tcPr>
            <w:tcW w:type="dxa" w:w="2800"/>
          </w:tcPr>
          <w:p>
            <w:r>
              <w:rPr>
                <w:sz w:val="22"/>
                <w:szCs w:val="22"/>
              </w:rPr>
              <w:t xml:space="preserve">Founder Expertise (IP)</w:t>
            </w:r>
          </w:p>
        </w:tc>
        <w:tc>
          <w:tcPr>
            <w:tcW w:type="dxa" w:w="2000"/>
          </w:tcPr>
          <w:p>
            <w:r>
              <w:rPr>
                <w:sz w:val="22"/>
                <w:szCs w:val="22"/>
              </w:rPr>
              <w:t xml:space="preserve">$100,000–$300,000</w:t>
            </w:r>
          </w:p>
        </w:tc>
        <w:tc>
          <w:tcPr>
            <w:tcW w:type="dxa" w:w="4700"/>
          </w:tcPr>
          <w:p>
            <w:r>
              <w:rPr>
                <w:sz w:val="22"/>
                <w:szCs w:val="22"/>
              </w:rPr>
              <w:t xml:space="preserve">Primary value driver. Maritime cybersecurity expertise with 10+ years experience.</w:t>
            </w:r>
          </w:p>
        </w:tc>
      </w:tr>
      <w:tr>
        <w:tc>
          <w:tcPr>
            <w:tcW w:type="dxa" w:w="2800"/>
          </w:tcPr>
          <w:p>
            <w:r>
              <w:rPr>
                <w:sz w:val="22"/>
                <w:szCs w:val="22"/>
              </w:rPr>
              <w:t xml:space="preserve">TOTAL CURRENT VALUE</w:t>
            </w:r>
          </w:p>
        </w:tc>
        <w:tc>
          <w:tcPr>
            <w:tcW w:type="dxa" w:w="2000"/>
          </w:tcPr>
          <w:p>
            <w:r>
              <w:rPr>
                <w:sz w:val="22"/>
                <w:szCs w:val="22"/>
              </w:rPr>
              <w:t xml:space="preserve">$162,000–$460,000</w:t>
            </w:r>
          </w:p>
        </w:tc>
        <w:tc>
          <w:tcPr>
            <w:tcW w:type="dxa" w:w="4700"/>
          </w:tcPr>
          <w:p>
            <w:r>
              <w:rPr>
                <w:sz w:val="22"/>
                <w:szCs w:val="22"/>
              </w:rPr>
              <w:t xml:space="preserve">Heavily weighted to founder expertise, not traffic or revenue multiples.</w:t>
            </w:r>
          </w:p>
        </w:tc>
      </w:tr>
    </w:tbl>
    <w:p>
      <w:pPr>
        <w:spacing w:after="200"/>
      </w:pPr>
    </w:p>
    <w:p>
      <w:pPr>
        <w:pStyle w:val="Heading2"/>
        <w:spacing w:after="150" w:before="300"/>
      </w:pPr>
      <w:r>
        <w:t xml:space="preserve">Five-Year Scenario 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E2F3" w:color="auto" w:val="clear"/>
          </w:tcPr>
          <w:p>
            <w:r>
              <w:rPr>
                <w:b/>
                <w:bCs/>
                <w:sz w:val="22"/>
                <w:szCs w:val="22"/>
              </w:rPr>
              <w:t xml:space="preserve"/>
            </w:r>
          </w:p>
        </w:tc>
        <w:tc>
          <w:tcPr>
            <w:tcW w:type="dxa" w:w="2500"/>
            <w:shd w:fill="D9E2F3" w:color="auto" w:val="clear"/>
          </w:tcPr>
          <w:p>
            <w:r>
              <w:rPr>
                <w:b/>
                <w:bCs/>
                <w:sz w:val="22"/>
                <w:szCs w:val="22"/>
              </w:rPr>
              <w:t xml:space="preserve">Conservative</w:t>
            </w:r>
          </w:p>
        </w:tc>
        <w:tc>
          <w:tcPr>
            <w:tcW w:type="dxa" w:w="2500"/>
            <w:shd w:fill="D9E2F3" w:color="auto" w:val="clear"/>
          </w:tcPr>
          <w:p>
            <w:r>
              <w:rPr>
                <w:b/>
                <w:bCs/>
                <w:sz w:val="22"/>
                <w:szCs w:val="22"/>
              </w:rPr>
              <w:t xml:space="preserve">Expected</w:t>
            </w:r>
          </w:p>
        </w:tc>
        <w:tc>
          <w:tcPr>
            <w:tcW w:type="dxa" w:w="2500"/>
            <w:shd w:fill="D9E2F3" w:color="auto" w:val="clear"/>
          </w:tcPr>
          <w:p>
            <w:r>
              <w:rPr>
                <w:b/>
                <w:bCs/>
                <w:sz w:val="22"/>
                <w:szCs w:val="22"/>
              </w:rPr>
              <w:t xml:space="preserve">Optimistic</w:t>
            </w:r>
          </w:p>
        </w:tc>
      </w:tr>
      <w:tr>
        <w:tc>
          <w:tcPr>
            <w:tcW w:type="dxa" w:w="2000"/>
          </w:tcPr>
          <w:p>
            <w:r>
              <w:rPr>
                <w:sz w:val="22"/>
                <w:szCs w:val="22"/>
              </w:rPr>
              <w:t xml:space="preserve">Key assumptions</w:t>
            </w:r>
          </w:p>
        </w:tc>
        <w:tc>
          <w:tcPr>
            <w:tcW w:type="dxa" w:w="2500"/>
          </w:tcPr>
          <w:p>
            <w:r>
              <w:rPr>
                <w:sz w:val="22"/>
                <w:szCs w:val="22"/>
              </w:rPr>
              <w:t xml:space="preserve">No migration, AdSense only</w:t>
            </w:r>
          </w:p>
        </w:tc>
        <w:tc>
          <w:tcPr>
            <w:tcW w:type="dxa" w:w="2500"/>
          </w:tcPr>
          <w:p>
            <w:r>
              <w:rPr>
                <w:sz w:val="22"/>
                <w:szCs w:val="22"/>
              </w:rPr>
              <w:t xml:space="preserve">WordPress, newsletter, consulting, events</w:t>
            </w:r>
          </w:p>
        </w:tc>
        <w:tc>
          <w:tcPr>
            <w:tcW w:type="dxa" w:w="2500"/>
          </w:tcPr>
          <w:p>
            <w:r>
              <w:rPr>
                <w:sz w:val="22"/>
                <w:szCs w:val="22"/>
              </w:rPr>
              <w:t xml:space="preserve">Leading APAC maritime AI/cyber brand + SaaS</w:t>
            </w:r>
          </w:p>
        </w:tc>
      </w:tr>
      <w:tr>
        <w:tc>
          <w:tcPr>
            <w:tcW w:type="dxa" w:w="2000"/>
          </w:tcPr>
          <w:p>
            <w:r>
              <w:rPr>
                <w:sz w:val="22"/>
                <w:szCs w:val="22"/>
              </w:rPr>
              <w:t xml:space="preserve">Year 5 Monthly Traffic</w:t>
            </w:r>
          </w:p>
        </w:tc>
        <w:tc>
          <w:tcPr>
            <w:tcW w:type="dxa" w:w="2500"/>
          </w:tcPr>
          <w:p>
            <w:r>
              <w:rPr>
                <w:sz w:val="22"/>
                <w:szCs w:val="22"/>
              </w:rPr>
              <w:t xml:space="preserve">3,000–5,000</w:t>
            </w:r>
          </w:p>
        </w:tc>
        <w:tc>
          <w:tcPr>
            <w:tcW w:type="dxa" w:w="2500"/>
          </w:tcPr>
          <w:p>
            <w:r>
              <w:rPr>
                <w:sz w:val="22"/>
                <w:szCs w:val="22"/>
              </w:rPr>
              <w:t xml:space="preserve">20,000–30,000</w:t>
            </w:r>
          </w:p>
        </w:tc>
        <w:tc>
          <w:tcPr>
            <w:tcW w:type="dxa" w:w="2500"/>
          </w:tcPr>
          <w:p>
            <w:r>
              <w:rPr>
                <w:sz w:val="22"/>
                <w:szCs w:val="22"/>
              </w:rPr>
              <w:t xml:space="preserve">80,000–150,000</w:t>
            </w:r>
          </w:p>
        </w:tc>
      </w:tr>
      <w:tr>
        <w:tc>
          <w:tcPr>
            <w:tcW w:type="dxa" w:w="2000"/>
          </w:tcPr>
          <w:p>
            <w:r>
              <w:rPr>
                <w:sz w:val="22"/>
                <w:szCs w:val="22"/>
              </w:rPr>
              <w:t xml:space="preserve">Year 5 Annual Revenue</w:t>
            </w:r>
          </w:p>
        </w:tc>
        <w:tc>
          <w:tcPr>
            <w:tcW w:type="dxa" w:w="2500"/>
          </w:tcPr>
          <w:p>
            <w:r>
              <w:rPr>
                <w:sz w:val="22"/>
                <w:szCs w:val="22"/>
              </w:rPr>
              <w:t xml:space="preserve">$2,000–$5,000</w:t>
            </w:r>
          </w:p>
        </w:tc>
        <w:tc>
          <w:tcPr>
            <w:tcW w:type="dxa" w:w="2500"/>
          </w:tcPr>
          <w:p>
            <w:r>
              <w:rPr>
                <w:sz w:val="22"/>
                <w:szCs w:val="22"/>
              </w:rPr>
              <w:t xml:space="preserve">$150,000–$500,000</w:t>
            </w:r>
          </w:p>
        </w:tc>
        <w:tc>
          <w:tcPr>
            <w:tcW w:type="dxa" w:w="2500"/>
          </w:tcPr>
          <w:p>
            <w:r>
              <w:rPr>
                <w:sz w:val="22"/>
                <w:szCs w:val="22"/>
              </w:rPr>
              <w:t xml:space="preserve">$1,000,000–$3,000,000</w:t>
            </w:r>
          </w:p>
        </w:tc>
      </w:tr>
      <w:tr>
        <w:tc>
          <w:tcPr>
            <w:tcW w:type="dxa" w:w="2000"/>
          </w:tcPr>
          <w:p>
            <w:r>
              <w:rPr>
                <w:sz w:val="22"/>
                <w:szCs w:val="22"/>
              </w:rPr>
              <w:t xml:space="preserve">Revenue Multiple</w:t>
            </w:r>
          </w:p>
        </w:tc>
        <w:tc>
          <w:tcPr>
            <w:tcW w:type="dxa" w:w="2500"/>
          </w:tcPr>
          <w:p>
            <w:r>
              <w:rPr>
                <w:sz w:val="22"/>
                <w:szCs w:val="22"/>
              </w:rPr>
              <w:t xml:space="preserve">1–2x</w:t>
            </w:r>
          </w:p>
        </w:tc>
        <w:tc>
          <w:tcPr>
            <w:tcW w:type="dxa" w:w="2500"/>
          </w:tcPr>
          <w:p>
            <w:r>
              <w:rPr>
                <w:sz w:val="22"/>
                <w:szCs w:val="22"/>
              </w:rPr>
              <w:t xml:space="preserve">3–5x</w:t>
            </w:r>
          </w:p>
        </w:tc>
        <w:tc>
          <w:tcPr>
            <w:tcW w:type="dxa" w:w="2500"/>
          </w:tcPr>
          <w:p>
            <w:r>
              <w:rPr>
                <w:sz w:val="22"/>
                <w:szCs w:val="22"/>
              </w:rPr>
              <w:t xml:space="preserve">5–10x</w:t>
            </w:r>
          </w:p>
        </w:tc>
      </w:tr>
      <w:tr>
        <w:tc>
          <w:tcPr>
            <w:tcW w:type="dxa" w:w="2000"/>
          </w:tcPr>
          <w:p>
            <w:r>
              <w:rPr>
                <w:sz w:val="22"/>
                <w:szCs w:val="22"/>
              </w:rPr>
              <w:t xml:space="preserve">Year 5 Valuation</w:t>
            </w:r>
          </w:p>
        </w:tc>
        <w:tc>
          <w:tcPr>
            <w:tcW w:type="dxa" w:w="2500"/>
          </w:tcPr>
          <w:p>
            <w:r>
              <w:rPr>
                <w:sz w:val="22"/>
                <w:szCs w:val="22"/>
              </w:rPr>
              <w:t xml:space="preserve">$5,000–$10,000</w:t>
            </w:r>
          </w:p>
        </w:tc>
        <w:tc>
          <w:tcPr>
            <w:tcW w:type="dxa" w:w="2500"/>
          </w:tcPr>
          <w:p>
            <w:r>
              <w:rPr>
                <w:sz w:val="22"/>
                <w:szCs w:val="22"/>
              </w:rPr>
              <w:t xml:space="preserve">$500,000–$2,500,000</w:t>
            </w:r>
          </w:p>
        </w:tc>
        <w:tc>
          <w:tcPr>
            <w:tcW w:type="dxa" w:w="2500"/>
          </w:tcPr>
          <w:p>
            <w:r>
              <w:rPr>
                <w:sz w:val="22"/>
                <w:szCs w:val="22"/>
              </w:rPr>
              <w:t xml:space="preserve">$5,000,000–$30,000,000</w:t>
            </w:r>
          </w:p>
        </w:tc>
      </w:tr>
      <w:tr>
        <w:tc>
          <w:tcPr>
            <w:tcW w:type="dxa" w:w="2000"/>
          </w:tcPr>
          <w:p>
            <w:r>
              <w:rPr>
                <w:sz w:val="22"/>
                <w:szCs w:val="22"/>
              </w:rPr>
              <w:t xml:space="preserve">Capital Required</w:t>
            </w:r>
          </w:p>
        </w:tc>
        <w:tc>
          <w:tcPr>
            <w:tcW w:type="dxa" w:w="2500"/>
          </w:tcPr>
          <w:p>
            <w:r>
              <w:rPr>
                <w:sz w:val="22"/>
                <w:szCs w:val="22"/>
              </w:rPr>
              <w:t xml:space="preserve">$0</w:t>
            </w:r>
          </w:p>
        </w:tc>
        <w:tc>
          <w:tcPr>
            <w:tcW w:type="dxa" w:w="2500"/>
          </w:tcPr>
          <w:p>
            <w:r>
              <w:rPr>
                <w:sz w:val="22"/>
                <w:szCs w:val="22"/>
              </w:rPr>
              <w:t xml:space="preserve">$50,000–$150,000</w:t>
            </w:r>
          </w:p>
        </w:tc>
        <w:tc>
          <w:tcPr>
            <w:tcW w:type="dxa" w:w="2500"/>
          </w:tcPr>
          <w:p>
            <w:r>
              <w:rPr>
                <w:sz w:val="22"/>
                <w:szCs w:val="22"/>
              </w:rPr>
              <w:t xml:space="preserve">$500,000–$2,000,000</w:t>
            </w:r>
          </w:p>
        </w:tc>
      </w:tr>
      <w:tr>
        <w:tc>
          <w:tcPr>
            <w:tcW w:type="dxa" w:w="2000"/>
          </w:tcPr>
          <w:p>
            <w:r>
              <w:rPr>
                <w:sz w:val="22"/>
                <w:szCs w:val="22"/>
              </w:rPr>
              <w:t xml:space="preserve">Probability</w:t>
            </w:r>
          </w:p>
        </w:tc>
        <w:tc>
          <w:tcPr>
            <w:tcW w:type="dxa" w:w="2500"/>
          </w:tcPr>
          <w:p>
            <w:r>
              <w:rPr>
                <w:sz w:val="22"/>
                <w:szCs w:val="22"/>
              </w:rPr>
              <w:t xml:space="preserve">40%</w:t>
            </w:r>
          </w:p>
        </w:tc>
        <w:tc>
          <w:tcPr>
            <w:tcW w:type="dxa" w:w="2500"/>
          </w:tcPr>
          <w:p>
            <w:r>
              <w:rPr>
                <w:sz w:val="22"/>
                <w:szCs w:val="22"/>
              </w:rPr>
              <w:t xml:space="preserve">45%</w:t>
            </w:r>
          </w:p>
        </w:tc>
        <w:tc>
          <w:tcPr>
            <w:tcW w:type="dxa" w:w="2500"/>
          </w:tcPr>
          <w:p>
            <w:r>
              <w:rPr>
                <w:sz w:val="22"/>
                <w:szCs w:val="22"/>
              </w:rPr>
              <w:t xml:space="preserve">15%</w:t>
            </w:r>
          </w:p>
        </w:tc>
      </w:tr>
    </w:tbl>
    <w:p>
      <w:pPr>
        <w:spacing w:after="200"/>
      </w:pPr>
    </w:p>
    <w:p>
      <w:pPr>
        <w:spacing w:after="120"/>
      </w:pPr>
      <w:r>
        <w:rPr>
          <w:sz w:val="22"/>
          <w:szCs w:val="22"/>
        </w:rPr>
        <w:t xml:space="preserve">Key risk to all scenarios: 100% key-person dependency. The blog has zero value without the founder. Any acquisition or investment must include long-term founder retention provisions.</w:t>
      </w:r>
    </w:p>
    <w:p>
      <w:r>
        <w:br w:type="page"/>
      </w:r>
    </w:p>
    <w:p>
      <w:pPr>
        <w:pStyle w:val="Heading1"/>
        <w:spacing w:after="200" w:before="400"/>
      </w:pPr>
      <w:r>
        <w:t xml:space="preserve">11. SWOT Analysis</w:t>
      </w:r>
    </w:p>
    <w:p>
      <w:pPr>
        <w:pStyle w:val="Heading2"/>
        <w:spacing w:after="150" w:before="300"/>
      </w:pPr>
      <w:r>
        <w:t xml:space="preserve">Strengths</w:t>
      </w:r>
    </w:p>
    <w:p>
      <w:pPr>
        <w:spacing w:after="80"/>
        <w:ind w:left="360"/>
      </w:pPr>
      <w:r>
        <w:rPr>
          <w:sz w:val="22"/>
          <w:szCs w:val="22"/>
        </w:rPr>
        <w:t xml:space="preserve">• Deep, verifiable maritime cybersecurity expertise at a practitioner level</w:t>
      </w:r>
    </w:p>
    <w:p>
      <w:pPr>
        <w:spacing w:after="80"/>
        <w:ind w:left="360"/>
      </w:pPr>
      <w:r>
        <w:rPr>
          <w:sz w:val="22"/>
          <w:szCs w:val="22"/>
        </w:rPr>
        <w:t xml:space="preserve">• Singapore APAC positioning — maritime hub, regulatory proximity, professional network</w:t>
      </w:r>
    </w:p>
    <w:p>
      <w:pPr>
        <w:spacing w:after="80"/>
        <w:ind w:left="360"/>
      </w:pPr>
      <w:r>
        <w:rPr>
          <w:sz w:val="22"/>
          <w:szCs w:val="22"/>
        </w:rPr>
        <w:t xml:space="preserve">• Hyper-niche content specialization — maritime AI + OT security + IACS compliance</w:t>
      </w:r>
    </w:p>
    <w:p>
      <w:pPr>
        <w:spacing w:after="80"/>
        <w:ind w:left="360"/>
      </w:pPr>
      <w:r>
        <w:rPr>
          <w:sz w:val="22"/>
          <w:szCs w:val="22"/>
        </w:rPr>
        <w:t xml:space="preserve">• High-quality, senior professional audience (45-54 age group, decision-makers)</w:t>
      </w:r>
    </w:p>
    <w:p>
      <w:pPr>
        <w:spacing w:after="80"/>
        <w:ind w:left="360"/>
      </w:pPr>
      <w:r>
        <w:rPr>
          <w:sz w:val="22"/>
          <w:szCs w:val="22"/>
        </w:rPr>
        <w:t xml:space="preserve">• Technical depth that mainstream maritime media cannot replicate without domain experts</w:t>
      </w:r>
    </w:p>
    <w:p>
      <w:pPr>
        <w:spacing w:after="80"/>
        <w:ind w:left="360"/>
      </w:pPr>
      <w:r>
        <w:rPr>
          <w:sz w:val="22"/>
          <w:szCs w:val="22"/>
        </w:rPr>
        <w:t xml:space="preserve">• LinkedIn referral channel proving organic social traction without paid spend</w:t>
      </w:r>
    </w:p>
    <w:p>
      <w:pPr>
        <w:spacing w:after="80"/>
        <w:ind w:left="360"/>
      </w:pPr>
      <w:r>
        <w:rPr>
          <w:sz w:val="22"/>
          <w:szCs w:val="22"/>
        </w:rPr>
        <w:t xml:space="preserve">• 489 pages of indexed content — building topical depth foundation</w:t>
      </w:r>
    </w:p>
    <w:p>
      <w:pPr>
        <w:spacing w:after="80"/>
        <w:ind w:left="360"/>
      </w:pPr>
      <w:r>
        <w:rPr>
          <w:sz w:val="22"/>
          <w:szCs w:val="22"/>
        </w:rPr>
        <w:t xml:space="preserve">• Korea and China audience self-selecting — highest-intent maritime markets globally</w:t>
      </w:r>
    </w:p>
    <w:p>
      <w:pPr>
        <w:pStyle w:val="Heading2"/>
        <w:spacing w:after="150" w:before="300"/>
      </w:pPr>
      <w:r>
        <w:t xml:space="preserve">Weaknesses</w:t>
      </w:r>
    </w:p>
    <w:p>
      <w:pPr>
        <w:spacing w:after="80"/>
        <w:ind w:left="360"/>
      </w:pPr>
      <w:r>
        <w:rPr>
          <w:sz w:val="22"/>
          <w:szCs w:val="22"/>
        </w:rPr>
        <w:t xml:space="preserve">• Blogger platform — fundamental structural barrier to SEO, credibility, and monetization</w:t>
      </w:r>
    </w:p>
    <w:p>
      <w:pPr>
        <w:spacing w:after="80"/>
        <w:ind w:left="360"/>
      </w:pPr>
      <w:r>
        <w:rPr>
          <w:sz w:val="22"/>
          <w:szCs w:val="22"/>
        </w:rPr>
        <w:t xml:space="preserve">• Google organic traffic: 262 clicks / 90 days — content is invisible to search</w:t>
      </w:r>
    </w:p>
    <w:p>
      <w:pPr>
        <w:spacing w:after="80"/>
        <w:ind w:left="360"/>
      </w:pPr>
      <w:r>
        <w:rPr>
          <w:sz w:val="22"/>
          <w:szCs w:val="22"/>
        </w:rPr>
        <w:t xml:space="preserve">• Returning user rate ~0% — zero audience loyalty or owned audience channel</w:t>
      </w:r>
    </w:p>
    <w:p>
      <w:pPr>
        <w:spacing w:after="80"/>
        <w:ind w:left="360"/>
      </w:pPr>
      <w:r>
        <w:rPr>
          <w:sz w:val="22"/>
          <w:szCs w:val="22"/>
        </w:rPr>
        <w:t xml:space="preserve">• No email list, no newsletter — no direct relationship with readers</w:t>
      </w:r>
    </w:p>
    <w:p>
      <w:pPr>
        <w:spacing w:after="80"/>
        <w:ind w:left="360"/>
      </w:pPr>
      <w:r>
        <w:rPr>
          <w:sz w:val="22"/>
          <w:szCs w:val="22"/>
        </w:rPr>
        <w:t xml:space="preserve">• Zero revenue — no consulting clients, no product sales, AdSense not approved</w:t>
      </w:r>
    </w:p>
    <w:p>
      <w:pPr>
        <w:spacing w:after="80"/>
        <w:ind w:left="360"/>
      </w:pPr>
      <w:r>
        <w:rPr>
          <w:sz w:val="22"/>
          <w:szCs w:val="22"/>
        </w:rPr>
        <w:t xml:space="preserve">• Solo operation — no editorial team, no content pipeline redundancy</w:t>
      </w:r>
    </w:p>
    <w:p>
      <w:pPr>
        <w:spacing w:after="80"/>
        <w:ind w:left="360"/>
      </w:pPr>
      <w:r>
        <w:rPr>
          <w:sz w:val="22"/>
          <w:szCs w:val="22"/>
        </w:rPr>
        <w:t xml:space="preserve">• E-E-A-T weakness — low authority (2/10), low trust signals despite genuine expertise</w:t>
      </w:r>
    </w:p>
    <w:p>
      <w:pPr>
        <w:spacing w:after="80"/>
        <w:ind w:left="360"/>
      </w:pPr>
      <w:r>
        <w:rPr>
          <w:sz w:val="22"/>
          <w:szCs w:val="22"/>
        </w:rPr>
        <w:t xml:space="preserve">• Advertisement page (13s engagement) reflects zero commercial relationships</w:t>
      </w:r>
    </w:p>
    <w:p>
      <w:pPr>
        <w:pStyle w:val="Heading2"/>
        <w:spacing w:after="150" w:before="300"/>
      </w:pPr>
      <w:r>
        <w:t xml:space="preserve">Opportunities</w:t>
      </w:r>
    </w:p>
    <w:p>
      <w:pPr>
        <w:spacing w:after="80"/>
        <w:ind w:left="360"/>
      </w:pPr>
      <w:r>
        <w:rPr>
          <w:sz w:val="22"/>
          <w:szCs w:val="22"/>
        </w:rPr>
        <w:t xml:space="preserve">• IACS UR E26/E27 compliance demand — mandatory for newbuilds, multi-year compliance cycle</w:t>
      </w:r>
    </w:p>
    <w:p>
      <w:pPr>
        <w:spacing w:after="80"/>
        <w:ind w:left="360"/>
      </w:pPr>
      <w:r>
        <w:rPr>
          <w:sz w:val="22"/>
          <w:szCs w:val="22"/>
        </w:rPr>
        <w:t xml:space="preserve">• Maritime AI investment boom — shipping industry digital transformation accelerating globally</w:t>
      </w:r>
    </w:p>
    <w:p>
      <w:pPr>
        <w:spacing w:after="80"/>
        <w:ind w:left="360"/>
      </w:pPr>
      <w:r>
        <w:rPr>
          <w:sz w:val="22"/>
          <w:szCs w:val="22"/>
        </w:rPr>
        <w:t xml:space="preserve">• Korea and China shipbuilding cybersecurity — massively underserved by all current publications</w:t>
      </w:r>
    </w:p>
    <w:p>
      <w:pPr>
        <w:spacing w:after="80"/>
        <w:ind w:left="360"/>
      </w:pPr>
      <w:r>
        <w:rPr>
          <w:sz w:val="22"/>
          <w:szCs w:val="22"/>
        </w:rPr>
        <w:t xml:space="preserve">• LinkedIn B2B content creator economy — highest organic reach per effort of any platform</w:t>
      </w:r>
    </w:p>
    <w:p>
      <w:pPr>
        <w:spacing w:after="80"/>
        <w:ind w:left="360"/>
      </w:pPr>
      <w:r>
        <w:rPr>
          <w:sz w:val="22"/>
          <w:szCs w:val="22"/>
        </w:rPr>
        <w:t xml:space="preserve">• Maritime OT security consulting market — growing 15-20% annually, premium pricing ($200-500/hr)</w:t>
      </w:r>
    </w:p>
    <w:p>
      <w:pPr>
        <w:spacing w:after="80"/>
        <w:ind w:left="360"/>
      </w:pPr>
      <w:r>
        <w:rPr>
          <w:sz w:val="22"/>
          <w:szCs w:val="22"/>
        </w:rPr>
        <w:t xml:space="preserve">• IMO autonomous ship regulations — decade-long regulatory process driving content demand</w:t>
      </w:r>
    </w:p>
    <w:p>
      <w:pPr>
        <w:spacing w:after="80"/>
        <w:ind w:left="360"/>
      </w:pPr>
      <w:r>
        <w:rPr>
          <w:sz w:val="22"/>
          <w:szCs w:val="22"/>
        </w:rPr>
        <w:t xml:space="preserve">• Maritime cyber insurance market — new industry segment, high-value content opportunity</w:t>
      </w:r>
    </w:p>
    <w:p>
      <w:pPr>
        <w:spacing w:after="80"/>
        <w:ind w:left="360"/>
      </w:pPr>
      <w:r>
        <w:rPr>
          <w:sz w:val="22"/>
          <w:szCs w:val="22"/>
        </w:rPr>
        <w:t xml:space="preserve">• Classification society partnerships — potential for co-branded research or event sponsorship</w:t>
      </w:r>
    </w:p>
    <w:p>
      <w:pPr>
        <w:pStyle w:val="Heading2"/>
        <w:spacing w:after="150" w:before="300"/>
      </w:pPr>
      <w:r>
        <w:t xml:space="preserve">Threats</w:t>
      </w:r>
    </w:p>
    <w:p>
      <w:pPr>
        <w:spacing w:after="80"/>
        <w:ind w:left="360"/>
      </w:pPr>
      <w:r>
        <w:rPr>
          <w:sz w:val="22"/>
          <w:szCs w:val="22"/>
        </w:rPr>
        <w:t xml:space="preserve">• Class societies (DNV, Lloyd's, ABS) building dedicated cyber/AI content and publication teams</w:t>
      </w:r>
    </w:p>
    <w:p>
      <w:pPr>
        <w:spacing w:after="80"/>
        <w:ind w:left="360"/>
      </w:pPr>
      <w:r>
        <w:rPr>
          <w:sz w:val="22"/>
          <w:szCs w:val="22"/>
        </w:rPr>
        <w:t xml:space="preserve">• Well-funded maritime media adding cybersecurity verticals (Maritime Executive, Riviera)</w:t>
      </w:r>
    </w:p>
    <w:p>
      <w:pPr>
        <w:spacing w:after="80"/>
        <w:ind w:left="360"/>
      </w:pPr>
      <w:r>
        <w:rPr>
          <w:sz w:val="22"/>
          <w:szCs w:val="22"/>
        </w:rPr>
        <w:t xml:space="preserve">• LLM-generated technical content commoditization — AI can produce IACS content at scale</w:t>
      </w:r>
    </w:p>
    <w:p>
      <w:pPr>
        <w:spacing w:after="80"/>
        <w:ind w:left="360"/>
      </w:pPr>
      <w:r>
        <w:rPr>
          <w:sz w:val="22"/>
          <w:szCs w:val="22"/>
        </w:rPr>
        <w:t xml:space="preserve">• Blogger platform deprecation — Google has retired numerous products historically</w:t>
      </w:r>
    </w:p>
    <w:p>
      <w:pPr>
        <w:spacing w:after="80"/>
        <w:ind w:left="360"/>
      </w:pPr>
      <w:r>
        <w:rPr>
          <w:sz w:val="22"/>
          <w:szCs w:val="22"/>
        </w:rPr>
        <w:t xml:space="preserve">• Vendor-produced free content (Claroty, Dragos, Nozomi) competing for same audience</w:t>
      </w:r>
    </w:p>
    <w:p>
      <w:pPr>
        <w:spacing w:after="80"/>
        <w:ind w:left="360"/>
      </w:pPr>
      <w:r>
        <w:rPr>
          <w:sz w:val="22"/>
          <w:szCs w:val="22"/>
        </w:rPr>
        <w:t xml:space="preserve">• Founder burnout or health event — site dies without founder</w:t>
      </w:r>
    </w:p>
    <w:p>
      <w:pPr>
        <w:spacing w:after="80"/>
        <w:ind w:left="360"/>
      </w:pPr>
      <w:r>
        <w:rPr>
          <w:sz w:val="22"/>
          <w:szCs w:val="22"/>
        </w:rPr>
        <w:t xml:space="preserve">• Regulatory content standardization — IACS, IMO publishing own guidance reduces need for third-party interpretation</w:t>
      </w:r>
    </w:p>
    <w:p>
      <w:r>
        <w:br w:type="page"/>
      </w:r>
    </w:p>
    <w:p>
      <w:pPr>
        <w:pStyle w:val="Heading1"/>
        <w:spacing w:after="200" w:before="400"/>
      </w:pPr>
      <w:r>
        <w:t xml:space="preserve">12. Five-Year Roadmap: Becoming the World's Leading Maritime AI &amp; Cybersecurity Publication</w:t>
      </w:r>
    </w:p>
    <w:p>
      <w:pPr>
        <w:pStyle w:val="Heading2"/>
        <w:spacing w:after="150" w:before="300"/>
      </w:pPr>
      <w:r>
        <w:t xml:space="preserve">Phase 1: Foundation (Q3–Q4 2026) — Fix Infrastructure</w:t>
      </w:r>
    </w:p>
    <w:p>
      <w:pPr>
        <w:spacing w:after="120"/>
      </w:pPr>
      <w:r>
        <w:rPr>
          <w:sz w:val="22"/>
          <w:szCs w:val="22"/>
        </w:rPr>
        <w:t xml:space="preserve">This phase is entirely about removing structural barriers. No growth initiative works while the site is on Blogger.</w:t>
      </w:r>
    </w:p>
    <w:p>
      <w:pPr>
        <w:spacing w:after="80"/>
        <w:ind w:left="360"/>
      </w:pPr>
      <w:r>
        <w:rPr>
          <w:sz w:val="22"/>
          <w:szCs w:val="22"/>
        </w:rPr>
        <w:t xml:space="preserve">• Month 1: Migrate from Blogger to WordPress.org on managed hosting (Kinsta or WP Engine). Budget: $500-2,000/year. This is the non-negotiable first action.</w:t>
      </w:r>
    </w:p>
    <w:p>
      <w:pPr>
        <w:spacing w:after="80"/>
        <w:ind w:left="360"/>
      </w:pPr>
      <w:r>
        <w:rPr>
          <w:sz w:val="22"/>
          <w:szCs w:val="22"/>
        </w:rPr>
        <w:t xml:space="preserve">• Month 1: Install Rank Math SEO, configure Google Search Console, submit proper sitemap, implement schema markup</w:t>
      </w:r>
    </w:p>
    <w:p>
      <w:pPr>
        <w:spacing w:after="80"/>
        <w:ind w:left="360"/>
      </w:pPr>
      <w:r>
        <w:rPr>
          <w:sz w:val="22"/>
          <w:szCs w:val="22"/>
        </w:rPr>
        <w:t xml:space="preserve">• Month 1-2: Audit all 489 pages — consolidate thin content, fix internal linking, redirect redundant URLs</w:t>
      </w:r>
    </w:p>
    <w:p>
      <w:pPr>
        <w:spacing w:after="80"/>
        <w:ind w:left="360"/>
      </w:pPr>
      <w:r>
        <w:rPr>
          <w:sz w:val="22"/>
          <w:szCs w:val="22"/>
        </w:rPr>
        <w:t xml:space="preserve">• Month 2: Build comprehensive author bio page with career credentials, headshot, certifications</w:t>
      </w:r>
    </w:p>
    <w:p>
      <w:pPr>
        <w:spacing w:after="80"/>
        <w:ind w:left="360"/>
      </w:pPr>
      <w:r>
        <w:rPr>
          <w:sz w:val="22"/>
          <w:szCs w:val="22"/>
        </w:rPr>
        <w:t xml:space="preserve">• Month 2: Launch email newsletter via ConvertKit or Substack — begin list building from day one</w:t>
      </w:r>
    </w:p>
    <w:p>
      <w:pPr>
        <w:spacing w:after="80"/>
        <w:ind w:left="360"/>
      </w:pPr>
      <w:r>
        <w:rPr>
          <w:sz w:val="22"/>
          <w:szCs w:val="22"/>
        </w:rPr>
        <w:t xml:space="preserve">• Month 2-3: Write 5 cornerstone pillar articles targeting priority keywords: "IACS UR E26/E27 compliance", "maritime OT security", "ship cybersecurity jobs 2026", "IMO cyber regulations", "maritime AI governance"</w:t>
      </w:r>
    </w:p>
    <w:p>
      <w:pPr>
        <w:spacing w:after="80"/>
        <w:ind w:left="360"/>
      </w:pPr>
      <w:r>
        <w:rPr>
          <w:sz w:val="22"/>
          <w:szCs w:val="22"/>
        </w:rPr>
        <w:t xml:space="preserve">• Month 3: Register and launch consulting service: "Maritime OT Security Consulting" with professional service page</w:t>
      </w:r>
    </w:p>
    <w:p>
      <w:pPr>
        <w:spacing w:after="80"/>
        <w:ind w:left="360"/>
      </w:pPr>
      <w:r>
        <w:rPr>
          <w:sz w:val="22"/>
          <w:szCs w:val="22"/>
        </w:rPr>
        <w:t xml:space="preserve">• Month 3: Begin LinkedIn content calendar — daily posts, 3x weekly long-form articles</w:t>
      </w:r>
    </w:p>
    <w:p>
      <w:pPr>
        <w:spacing w:after="80"/>
        <w:ind w:left="360"/>
      </w:pPr>
      <w:r>
        <w:rPr>
          <w:sz w:val="22"/>
          <w:szCs w:val="22"/>
        </w:rPr>
        <w:t xml:space="preserve">• Target by end of Phase 1: 2,000 monthly organic visitors, 200 email subscribers, 1 consulting client</w:t>
      </w:r>
    </w:p>
    <w:p>
      <w:pPr>
        <w:pStyle w:val="Heading2"/>
        <w:spacing w:after="150" w:before="300"/>
      </w:pPr>
      <w:r>
        <w:t xml:space="preserve">Phase 2: Audience Growth (Q1–Q2 2027)</w:t>
      </w:r>
    </w:p>
    <w:p>
      <w:pPr>
        <w:spacing w:after="120"/>
      </w:pPr>
      <w:r>
        <w:rPr>
          <w:sz w:val="22"/>
          <w:szCs w:val="22"/>
        </w:rPr>
        <w:t xml:space="preserve">Priority: Build 10x the current organic reach and create an owned audience.</w:t>
      </w:r>
    </w:p>
    <w:p>
      <w:pPr>
        <w:spacing w:after="80"/>
        <w:ind w:left="360"/>
      </w:pPr>
      <w:r>
        <w:rPr>
          <w:sz w:val="22"/>
          <w:szCs w:val="22"/>
        </w:rPr>
        <w:t xml:space="preserve">• Target: 5,000 monthly organic visitors, 500 email subscribers</w:t>
      </w:r>
    </w:p>
    <w:p>
      <w:pPr>
        <w:spacing w:after="80"/>
        <w:ind w:left="360"/>
      </w:pPr>
      <w:r>
        <w:rPr>
          <w:sz w:val="22"/>
          <w:szCs w:val="22"/>
        </w:rPr>
        <w:t xml:space="preserve">• Publish 4 SEO-optimized articles per month with proper keyword targeting</w:t>
      </w:r>
    </w:p>
    <w:p>
      <w:pPr>
        <w:spacing w:after="80"/>
        <w:ind w:left="360"/>
      </w:pPr>
      <w:r>
        <w:rPr>
          <w:sz w:val="22"/>
          <w:szCs w:val="22"/>
        </w:rPr>
        <w:t xml:space="preserve">• Secure one guest article or expert quote in Maritime Executive, Safety4Sea, or Riviera Maritime Media</w:t>
      </w:r>
    </w:p>
    <w:p>
      <w:pPr>
        <w:spacing w:after="80"/>
        <w:ind w:left="360"/>
      </w:pPr>
      <w:r>
        <w:rPr>
          <w:sz w:val="22"/>
          <w:szCs w:val="22"/>
        </w:rPr>
        <w:t xml:space="preserve">• Submit and deliver one conference presentation (KOR Marine, Singapore Maritime Week, or COMPIT)</w:t>
      </w:r>
    </w:p>
    <w:p>
      <w:pPr>
        <w:spacing w:after="80"/>
        <w:ind w:left="360"/>
      </w:pPr>
      <w:r>
        <w:rPr>
          <w:sz w:val="22"/>
          <w:szCs w:val="22"/>
        </w:rPr>
        <w:t xml:space="preserve">• Host monthly webinar series: "Maritime Cybersecurity Masterclass" — free, email gate, 50+ attendees</w:t>
      </w:r>
    </w:p>
    <w:p>
      <w:pPr>
        <w:spacing w:after="80"/>
        <w:ind w:left="360"/>
      </w:pPr>
      <w:r>
        <w:rPr>
          <w:sz w:val="22"/>
          <w:szCs w:val="22"/>
        </w:rPr>
        <w:t xml:space="preserve">• Begin systematic backlink building: industry association directories, conference biography pages, regulatory body reference lists</w:t>
      </w:r>
    </w:p>
    <w:p>
      <w:pPr>
        <w:spacing w:after="80"/>
        <w:ind w:left="360"/>
      </w:pPr>
      <w:r>
        <w:rPr>
          <w:sz w:val="22"/>
          <w:szCs w:val="22"/>
        </w:rPr>
        <w:t xml:space="preserve">• Revenue target: $5,000-15,000/month from consulting; blog remains lead generation tool</w:t>
      </w:r>
    </w:p>
    <w:p>
      <w:pPr>
        <w:pStyle w:val="Heading2"/>
        <w:spacing w:after="150" w:before="300"/>
      </w:pPr>
      <w:r>
        <w:t xml:space="preserve">Phase 3: Monetization (Q3 2027 – Q2 2028)</w:t>
      </w:r>
    </w:p>
    <w:p>
      <w:pPr>
        <w:spacing w:after="120"/>
      </w:pPr>
      <w:r>
        <w:rPr>
          <w:sz w:val="22"/>
          <w:szCs w:val="22"/>
        </w:rPr>
        <w:t xml:space="preserve">Priority: Convert audience relationship into sustainable revenue.</w:t>
      </w:r>
    </w:p>
    <w:p>
      <w:pPr>
        <w:spacing w:after="80"/>
        <w:ind w:left="360"/>
      </w:pPr>
      <w:r>
        <w:rPr>
          <w:sz w:val="22"/>
          <w:szCs w:val="22"/>
        </w:rPr>
        <w:t xml:space="preserve">• Launch ShipPaul Maritime Cyber Intelligence Newsletter: $79/month or $699/year</w:t>
      </w:r>
    </w:p>
    <w:p>
      <w:pPr>
        <w:spacing w:after="80"/>
        <w:ind w:left="360"/>
      </w:pPr>
      <w:r>
        <w:rPr>
          <w:sz w:val="22"/>
          <w:szCs w:val="22"/>
        </w:rPr>
        <w:t xml:space="preserve">• Target: 200 paid subscribers within 6 months = $168,000/year ARR</w:t>
      </w:r>
    </w:p>
    <w:p>
      <w:pPr>
        <w:spacing w:after="80"/>
        <w:ind w:left="360"/>
      </w:pPr>
      <w:r>
        <w:rPr>
          <w:sz w:val="22"/>
          <w:szCs w:val="22"/>
        </w:rPr>
        <w:t xml:space="preserve">• Launch IACS UR E26/E27 Practitioner Certification training program: $1,500-2,000/seat, cohort-based</w:t>
      </w:r>
    </w:p>
    <w:p>
      <w:pPr>
        <w:spacing w:after="80"/>
        <w:ind w:left="360"/>
      </w:pPr>
      <w:r>
        <w:rPr>
          <w:sz w:val="22"/>
          <w:szCs w:val="22"/>
        </w:rPr>
        <w:t xml:space="preserve">• Target: 30 students/year = $45,000-60,000/year training revenue</w:t>
      </w:r>
    </w:p>
    <w:p>
      <w:pPr>
        <w:spacing w:after="80"/>
        <w:ind w:left="360"/>
      </w:pPr>
      <w:r>
        <w:rPr>
          <w:sz w:val="22"/>
          <w:szCs w:val="22"/>
        </w:rPr>
        <w:t xml:space="preserve">• Publish "Maritime AI &amp; Cybersecurity Market Report 2028": $500-1,000/copy</w:t>
      </w:r>
    </w:p>
    <w:p>
      <w:pPr>
        <w:spacing w:after="80"/>
        <w:ind w:left="360"/>
      </w:pPr>
      <w:r>
        <w:rPr>
          <w:sz w:val="22"/>
          <w:szCs w:val="22"/>
        </w:rPr>
        <w:t xml:space="preserve">• Target: 100 downloads = $50,000-100,000/year</w:t>
      </w:r>
    </w:p>
    <w:p>
      <w:pPr>
        <w:spacing w:after="80"/>
        <w:ind w:left="360"/>
      </w:pPr>
      <w:r>
        <w:rPr>
          <w:sz w:val="22"/>
          <w:szCs w:val="22"/>
        </w:rPr>
        <w:t xml:space="preserve">• Revenue target: $25,000-60,000/month combined (consulting + newsletter + training + reports)</w:t>
      </w:r>
    </w:p>
    <w:p>
      <w:pPr>
        <w:pStyle w:val="Heading2"/>
        <w:spacing w:after="150" w:before="300"/>
      </w:pPr>
      <w:r>
        <w:t xml:space="preserve">Phase 4: Scale (Q3 2028 – Q2 2029)</w:t>
      </w:r>
    </w:p>
    <w:p>
      <w:pPr>
        <w:spacing w:after="120"/>
      </w:pPr>
      <w:r>
        <w:rPr>
          <w:sz w:val="22"/>
          <w:szCs w:val="22"/>
        </w:rPr>
        <w:t xml:space="preserve">Priority: Build team infrastructure and event presence.</w:t>
      </w:r>
    </w:p>
    <w:p>
      <w:pPr>
        <w:spacing w:after="80"/>
        <w:ind w:left="360"/>
      </w:pPr>
      <w:r>
        <w:rPr>
          <w:sz w:val="22"/>
          <w:szCs w:val="22"/>
        </w:rPr>
        <w:t xml:space="preserve">• Hire first full-time editorial hire: maritime industry contributor with cybersecurity knowledge</w:t>
      </w:r>
    </w:p>
    <w:p>
      <w:pPr>
        <w:spacing w:after="80"/>
        <w:ind w:left="360"/>
      </w:pPr>
      <w:r>
        <w:rPr>
          <w:sz w:val="22"/>
          <w:szCs w:val="22"/>
        </w:rPr>
        <w:t xml:space="preserve">• Launch Annual Maritime AI &amp; Cybersecurity Conference (Singapore or Seoul): 250-300 attendees, $800-1,200 ticket, 8-10 sponsors at $15-30k each</w:t>
      </w:r>
    </w:p>
    <w:p>
      <w:pPr>
        <w:spacing w:after="80"/>
        <w:ind w:left="360"/>
      </w:pPr>
      <w:r>
        <w:rPr>
          <w:sz w:val="22"/>
          <w:szCs w:val="22"/>
        </w:rPr>
        <w:t xml:space="preserve">• Target: $300,000-600,000 event revenue year one</w:t>
      </w:r>
    </w:p>
    <w:p>
      <w:pPr>
        <w:spacing w:after="80"/>
        <w:ind w:left="360"/>
      </w:pPr>
      <w:r>
        <w:rPr>
          <w:sz w:val="22"/>
          <w:szCs w:val="22"/>
        </w:rPr>
        <w:t xml:space="preserve">• Launch maritime cyber job board: $500-2,000 per job posting, $3,000-5,000/month for featured employer</w:t>
      </w:r>
    </w:p>
    <w:p>
      <w:pPr>
        <w:spacing w:after="80"/>
        <w:ind w:left="360"/>
      </w:pPr>
      <w:r>
        <w:rPr>
          <w:sz w:val="22"/>
          <w:szCs w:val="22"/>
        </w:rPr>
        <w:t xml:space="preserve">• Reach: 25,000 monthly organic visitors, DA 40+</w:t>
      </w:r>
    </w:p>
    <w:p>
      <w:pPr>
        <w:spacing w:after="80"/>
        <w:ind w:left="360"/>
      </w:pPr>
      <w:r>
        <w:rPr>
          <w:sz w:val="22"/>
          <w:szCs w:val="22"/>
        </w:rPr>
        <w:t xml:space="preserve">• Revenue target: $75,000-200,000/month</w:t>
      </w:r>
    </w:p>
    <w:p>
      <w:pPr>
        <w:pStyle w:val="Heading2"/>
        <w:spacing w:after="150" w:before="300"/>
      </w:pPr>
      <w:r>
        <w:t xml:space="preserve">Phase 5: Leadership (2030–2031)</w:t>
      </w:r>
    </w:p>
    <w:p>
      <w:pPr>
        <w:spacing w:after="120"/>
      </w:pPr>
      <w:r>
        <w:rPr>
          <w:sz w:val="22"/>
          <w:szCs w:val="22"/>
        </w:rPr>
        <w:t xml:space="preserve">Priority: Global authority and exit optionality.</w:t>
      </w:r>
    </w:p>
    <w:p>
      <w:pPr>
        <w:spacing w:after="80"/>
        <w:ind w:left="360"/>
      </w:pPr>
      <w:r>
        <w:rPr>
          <w:sz w:val="22"/>
          <w:szCs w:val="22"/>
        </w:rPr>
        <w:t xml:space="preserve">• Reach: 100,000+ monthly visitors — target top 3 rankings for "maritime cybersecurity" globally</w:t>
      </w:r>
    </w:p>
    <w:p>
      <w:pPr>
        <w:spacing w:after="80"/>
        <w:ind w:left="360"/>
      </w:pPr>
      <w:r>
        <w:rPr>
          <w:sz w:val="22"/>
          <w:szCs w:val="22"/>
        </w:rPr>
        <w:t xml:space="preserve">• Build editorial team: 5-10 contributors, mix of maritime practitioners and cybersecurity specialists</w:t>
      </w:r>
    </w:p>
    <w:p>
      <w:pPr>
        <w:spacing w:after="80"/>
        <w:ind w:left="360"/>
      </w:pPr>
      <w:r>
        <w:rPr>
          <w:sz w:val="22"/>
          <w:szCs w:val="22"/>
        </w:rPr>
        <w:t xml:space="preserve">• Launch Maritime AI SaaS: IACS E26/E27 compliance automation platform — $500-2,000/month/vessel subscription</w:t>
      </w:r>
    </w:p>
    <w:p>
      <w:pPr>
        <w:spacing w:after="80"/>
        <w:ind w:left="360"/>
      </w:pPr>
      <w:r>
        <w:rPr>
          <w:sz w:val="22"/>
          <w:szCs w:val="22"/>
        </w:rPr>
        <w:t xml:space="preserve">• Establish ShipPaulJobs Maritime Cybersecurity Award (annual recognition) — builds event attendance and brand authority</w:t>
      </w:r>
    </w:p>
    <w:p>
      <w:pPr>
        <w:spacing w:after="80"/>
        <w:ind w:left="360"/>
      </w:pPr>
      <w:r>
        <w:rPr>
          <w:sz w:val="22"/>
          <w:szCs w:val="22"/>
        </w:rPr>
        <w:t xml:space="preserve">• Achieve revenue: $1,000,000+/year from diversified streams (newsletter, training, events, SaaS, consulting, ads)</w:t>
      </w:r>
    </w:p>
    <w:p>
      <w:pPr>
        <w:spacing w:after="80"/>
        <w:ind w:left="360"/>
      </w:pPr>
      <w:r>
        <w:rPr>
          <w:sz w:val="22"/>
          <w:szCs w:val="22"/>
        </w:rPr>
        <w:t xml:space="preserve">• Explore strategic exit: acquisition by class society, maritime tech company, or media group at $5-20M+ valuation</w:t>
      </w:r>
    </w:p>
    <w:p>
      <w:pPr>
        <w:pStyle w:val="Heading2"/>
        <w:spacing w:after="150" w:before="300"/>
      </w:pPr>
      <w:r>
        <w:t xml:space="preserve">The Single Highest-Priority Action</w:t>
      </w:r>
    </w:p>
    <w:p>
      <w:pPr>
        <w:pBdr>
          <w:left w:color="C00000" w:sz="12"/>
        </w:pBdr>
        <w:spacing w:after="200" w:before="200"/>
        <w:ind w:left="360"/>
      </w:pPr>
      <w:r>
        <w:rPr>
          <w:b/>
          <w:bCs/>
          <w:color w:val="C00000"/>
          <w:sz w:val="26"/>
          <w:szCs w:val="26"/>
        </w:rPr>
        <w:t xml:space="preserve">Migrate off Blogger. Now.</w:t>
      </w:r>
      <w:r>
        <w:rPr>
          <w:sz w:val="22"/>
          <w:szCs w:val="22"/>
        </w:rPr>
        <w:t xml:space="preserve"> Every month on Blogger is a month of lost SEO authority accumulation. WordPress migration is a one-time investment of $500-2,000 that unlocks the entire growth roadmap. Without this, none of the other recommendations generate their projected returns. This is the single action with the highest ROI available to ShipPaulJobs today.</w:t>
      </w:r>
    </w:p>
    <w:p>
      <w:pPr>
        <w:spacing w:after="300"/>
      </w:pPr>
    </w:p>
    <w:p>
      <w:pPr>
        <w:jc w:val="center"/>
      </w:pPr>
      <w:r>
        <w:rPr>
          <w:i/>
          <w:iCs/>
          <w:color w:val="7F7F7F"/>
          <w:sz w:val="18"/>
          <w:szCs w:val="18"/>
        </w:rPr>
        <w:t xml:space="preserve">ShipPaulJobs Due Diligence Report  |  Data: Google Analytics 4 (Blog_Access)  |  Period: May 3 – July 31, 2026  |  Prepared: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2026-08-01T12:10:19.838Z</dcterms:created>
  <dcterms:modified xsi:type="dcterms:W3CDTF">2026-08-01T12:10:19.838Z</dcterms:modified>
</cp:coreProperties>
</file>

<file path=docProps/custom.xml><?xml version="1.0" encoding="utf-8"?>
<Properties xmlns="http://schemas.openxmlformats.org/officeDocument/2006/custom-properties" xmlns:vt="http://schemas.openxmlformats.org/officeDocument/2006/docPropsVTypes"/>
</file>