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20"/>
        <w:jc w:val="center"/>
      </w:pPr>
      <w:r>
        <w:rPr>
          <w:b/>
          <w:bCs/>
          <w:caps/>
          <w:color w:val="1A9E82"/>
          <w:sz w:val="28"/>
          <w:szCs w:val="28"/>
        </w:rPr>
        <w:t xml:space="preserve">GM Consulting</w:t>
      </w:r>
    </w:p>
    <w:p>
      <w:pPr>
        <w:spacing w:after="160"/>
        <w:jc w:val="center"/>
      </w:pPr>
      <w:r>
        <w:rPr>
          <w:b/>
          <w:bCs/>
          <w:color w:val="0A2342"/>
          <w:sz w:val="48"/>
          <w:szCs w:val="48"/>
        </w:rPr>
        <w:t xml:space="preserve">IACS UR E26  |  Cyber Security Consulting</w:t>
      </w:r>
    </w:p>
    <w:p>
      <w:pPr>
        <w:spacing w:after="500"/>
        <w:jc w:val="center"/>
      </w:pPr>
      <w:r>
        <w:rPr>
          <w:color w:val="4A6278"/>
          <w:sz w:val="28"/>
          <w:szCs w:val="28"/>
        </w:rPr>
        <w:t xml:space="preserve">Hengli Shipyard — Assessment &amp; Proposal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E8F0F7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Client</w:t>
            </w:r>
          </w:p>
        </w:tc>
        <w:tc>
          <w:tcPr>
            <w:tcW w:type="dxa" w:w="7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Hengli Shipyard</w:t>
            </w:r>
          </w:p>
        </w:tc>
      </w:tr>
      <w:tr>
        <w:tc>
          <w:tcPr>
            <w:tcW w:type="dxa" w:w="2200"/>
            <w:shd w:fill="E8F0F7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Subject</w:t>
            </w:r>
          </w:p>
        </w:tc>
        <w:tc>
          <w:tcPr>
            <w:tcW w:type="dxa" w:w="7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IACS UR E26 Cyber Security — Gap Review, GM Methodology &amp; Owner Perspective</w:t>
            </w:r>
          </w:p>
        </w:tc>
      </w:tr>
      <w:tr>
        <w:tc>
          <w:tcPr>
            <w:tcW w:type="dxa" w:w="2200"/>
            <w:shd w:fill="E8F0F7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7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GM Consulting — Maritime Cyber Security Division</w:t>
            </w:r>
          </w:p>
        </w:tc>
      </w:tr>
      <w:tr>
        <w:tc>
          <w:tcPr>
            <w:tcW w:type="dxa" w:w="2200"/>
            <w:shd w:fill="E8F0F7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Date</w:t>
            </w:r>
          </w:p>
        </w:tc>
        <w:tc>
          <w:tcPr>
            <w:tcW w:type="dxa" w:w="7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July 29, 2026</w:t>
            </w:r>
          </w:p>
        </w:tc>
      </w:tr>
      <w:tr>
        <w:tc>
          <w:tcPr>
            <w:tcW w:type="dxa" w:w="2200"/>
            <w:shd w:fill="FFF0EE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CONFIDENTIAL — For Recipient Only</w:t>
            </w:r>
          </w:p>
        </w:tc>
      </w:tr>
    </w:tbl>
    <w:p>
      <w:pPr>
        <w:spacing w:after="600"/>
      </w:pPr>
    </w:p>
    <w:p>
      <w:r>
        <w:br w:type="page"/>
      </w:r>
    </w:p>
    <w:p>
      <w:pPr>
        <w:pStyle w:val="Heading1"/>
        <w:pBdr>
          <w:bottom w:val="thick" w:color="1A9E82" w:sz="6"/>
        </w:pBdr>
        <w:shd w:fill="0A2342" w:val="clear"/>
        <w:spacing w:after="120" w:before="240"/>
        <w:ind w:left="200" w:right="200"/>
      </w:pPr>
      <w:r>
        <w:rPr>
          <w:b/>
          <w:bCs/>
          <w:color w:val="FFFFFF"/>
          <w:sz w:val="32"/>
          <w:szCs w:val="32"/>
        </w:rPr>
        <w:t xml:space="preserve">1.  Hengli 현황 코멘트 (Gap Analysis)</w:t>
      </w:r>
    </w:p>
    <w:p>
      <w:pPr>
        <w:spacing w:after="80"/>
        <w:ind w:left="0"/>
      </w:pPr>
      <w:r>
        <w:rPr>
          <w:color w:val="4A6278"/>
          <w:sz w:val="20"/>
          <w:szCs w:val="20"/>
        </w:rPr>
        <w:t xml:space="preserve">아래 코멘트는 Hengli 조선소 현황에 대한 GM의 기술적 검토 의견입니다.</w:t>
      </w:r>
    </w:p>
    <w:p>
      <w:pPr>
        <w:spacing w:after="120"/>
      </w:pPr>
    </w:p>
    <w:p>
      <w:pPr>
        <w:pStyle w:val="Heading2"/>
        <w:pBdr>
          <w:left w:val="thick" w:color="1A9E82" w:sz="12"/>
        </w:pBdr>
        <w:spacing w:after="80" w:before="280"/>
        <w:ind w:left="120"/>
      </w:pPr>
      <w:r>
        <w:rPr>
          <w:b/>
          <w:bCs/>
          <w:color w:val="0A2342"/>
          <w:sz w:val="26"/>
          <w:szCs w:val="26"/>
        </w:rPr>
        <w:t xml:space="preserve">1.1  산출물 구성 체계 — 어떻게 구성되어 있나?</w:t>
      </w:r>
    </w:p>
    <w:p>
      <w:pPr>
        <w:pStyle w:val="Heading3"/>
        <w:spacing w:after="60" w:before="180"/>
      </w:pPr>
      <w:r>
        <w:rPr>
          <w:b/>
          <w:bCs/>
          <w:color w:val="154F7A"/>
          <w:sz w:val="22"/>
          <w:szCs w:val="22"/>
        </w:rPr>
        <w:t xml:space="preserve">① 일부 SI의 최소 문서(6개) 제출 현황</w:t>
      </w:r>
    </w:p>
    <w:p>
      <w:pPr>
        <w:spacing w:after="80"/>
        <w:ind w:left="0"/>
      </w:pPr>
      <w:r>
        <w:rPr>
          <w:color w:val="4A6278"/>
          <w:sz w:val="20"/>
          <w:szCs w:val="20"/>
        </w:rPr>
        <w:t xml:space="preserve">일부 SI는 선급 초기 승인용 최소 요건 문서만 제출합니다. 이는 선급 승인은 가능하나 연차 검사·SCARP 유지관리를 지원하는 구조가 아닙니다.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000"/>
      </w:tblGrid>
      <w:tr>
        <w:trPr>
          <w:tblHeader/>
        </w:trPr>
        <w:tc>
          <w:tcPr>
            <w:tcW w:type="dxa" w:w="30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문서</w:t>
            </w:r>
          </w:p>
        </w:tc>
        <w:tc>
          <w:tcPr>
            <w:tcW w:type="dxa" w:w="32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일부 SI 제출 현황</w:t>
            </w:r>
          </w:p>
        </w:tc>
        <w:tc>
          <w:tcPr>
            <w:tcW w:type="dxa" w:w="30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이슈</w:t>
            </w:r>
          </w:p>
        </w:tc>
      </w:tr>
      <w:tr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Cyber Security Management Plan (CSMP)</w:t>
            </w:r>
          </w:p>
        </w:tc>
        <w:tc>
          <w:tcPr>
            <w:tcW w:type="dxa" w:w="3200"/>
            <w:shd w:fill="EEF6F3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✔ 제출</w:t>
            </w:r>
          </w:p>
        </w:tc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운용 절차 미흡</w:t>
            </w:r>
          </w:p>
        </w:tc>
      </w:tr>
      <w:tr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Zone and Conduit Diagram (ZCD)</w:t>
            </w:r>
          </w:p>
        </w:tc>
        <w:tc>
          <w:tcPr>
            <w:tcW w:type="dxa" w:w="3200"/>
            <w:shd w:fill="FFF8EC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✔ 제출 (개념적 수준)</w:t>
            </w:r>
          </w:p>
        </w:tc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실제 구성과 불일치</w:t>
            </w:r>
          </w:p>
        </w:tc>
      </w:tr>
      <w:tr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Cyber Security Design Document (CSDD)</w:t>
            </w:r>
          </w:p>
        </w:tc>
        <w:tc>
          <w:tcPr>
            <w:tcW w:type="dxa" w:w="3200"/>
            <w:shd w:fill="FFF8EC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✔ 제출 (템플릿 수준)</w:t>
            </w:r>
          </w:p>
        </w:tc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설정값 미반영</w:t>
            </w:r>
          </w:p>
        </w:tc>
      </w:tr>
      <w:tr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Vessel Cyber Asset Register (VCAR)</w:t>
            </w:r>
          </w:p>
        </w:tc>
        <w:tc>
          <w:tcPr>
            <w:tcW w:type="dxa" w:w="3200"/>
            <w:shd w:fill="FFF8EC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✔ 제출 (수동 작성)</w:t>
            </w:r>
          </w:p>
        </w:tc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누락 자산 다수</w:t>
            </w:r>
          </w:p>
        </w:tc>
      </w:tr>
      <w:tr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Incident Response Plan (IRP)</w:t>
            </w:r>
          </w:p>
        </w:tc>
        <w:tc>
          <w:tcPr>
            <w:tcW w:type="dxa" w:w="3200"/>
            <w:shd w:fill="FFF8EC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✔ 제출 (표준 양식)</w:t>
            </w:r>
          </w:p>
        </w:tc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선박 특화 절차 미흡</w:t>
            </w:r>
          </w:p>
        </w:tc>
      </w:tr>
      <w:tr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Verification Report</w:t>
            </w:r>
          </w:p>
        </w:tc>
        <w:tc>
          <w:tcPr>
            <w:tcW w:type="dxa" w:w="3200"/>
            <w:shd w:fill="EEF6F3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✔ 제출</w:t>
            </w:r>
          </w:p>
        </w:tc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독립 검증 부재</w:t>
            </w:r>
          </w:p>
        </w:tc>
      </w:tr>
      <w:tr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SCARP</w:t>
            </w:r>
          </w:p>
        </w:tc>
        <w:tc>
          <w:tcPr>
            <w:tcW w:type="dxa" w:w="3200"/>
            <w:shd w:fill="FFF0EE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✘ 미제출 / 책임 불명확</w:t>
            </w:r>
          </w:p>
        </w:tc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연차 검사 시 NC 위험</w:t>
            </w:r>
          </w:p>
        </w:tc>
      </w:tr>
    </w:tbl>
    <w:p>
      <w:pPr>
        <w:spacing w:after="120"/>
      </w:pPr>
    </w:p>
    <w:p>
      <w:pPr>
        <w:pBdr>
          <w:left w:val="thick" w:color="E67E22" w:sz="10"/>
        </w:pBdr>
        <w:shd w:fill="FFF8EC" w:val="clear"/>
        <w:spacing w:after="80" w:before="80"/>
        <w:ind w:left="240" w:right="240"/>
      </w:pPr>
      <w:r>
        <w:rPr>
          <w:i/>
          <w:iCs/>
          <w:color w:val="4A6278"/>
          <w:sz w:val="19"/>
          <w:szCs w:val="19"/>
        </w:rPr>
        <w:t xml:space="preserve">핵심 질문: 현재 제출된 문서들이 초기 선급 승인 이후 연차 검사 및 SCARP 유지관리를 지원하도록 구성되어 있는가?</w:t>
      </w:r>
    </w:p>
    <w:p>
      <w:pPr>
        <w:spacing w:after="120"/>
      </w:pPr>
    </w:p>
    <w:p>
      <w:pPr>
        <w:pStyle w:val="Heading3"/>
        <w:spacing w:after="60" w:before="180"/>
      </w:pPr>
      <w:r>
        <w:rPr>
          <w:b/>
          <w:bCs/>
          <w:color w:val="154F7A"/>
          <w:sz w:val="22"/>
          <w:szCs w:val="22"/>
        </w:rPr>
        <w:t xml:space="preserve">② SCARP — 누가 작성하고 제출하는가?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700"/>
      </w:tblGrid>
      <w:tr>
        <w:trPr>
          <w:tblHeader/>
        </w:trPr>
        <w:tc>
          <w:tcPr>
            <w:tcW w:type="dxa" w:w="25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0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책임 주체</w:t>
            </w:r>
          </w:p>
        </w:tc>
        <w:tc>
          <w:tcPr>
            <w:tcW w:type="dxa" w:w="37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현황 이슈</w:t>
            </w:r>
          </w:p>
        </w:tc>
      </w:tr>
      <w:tr>
        <w:tc>
          <w:tcPr>
            <w:tcW w:type="dxa" w:w="25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건조 (Construction)</w:t>
            </w:r>
          </w:p>
        </w:tc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Shipyard (야드)</w:t>
            </w:r>
          </w:p>
        </w:tc>
        <w:tc>
          <w:tcPr>
            <w:tcW w:type="dxa" w:w="3700"/>
            <w:shd w:fill="FFF0EE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최초 작성 책임 명확화 필요</w:t>
            </w:r>
          </w:p>
        </w:tc>
      </w:tr>
      <w:tr>
        <w:tc>
          <w:tcPr>
            <w:tcW w:type="dxa" w:w="25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인도 (Delivery)</w:t>
            </w:r>
          </w:p>
        </w:tc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Yard → Owner 인계</w:t>
            </w:r>
          </w:p>
        </w:tc>
        <w:tc>
          <w:tcPr>
            <w:tcW w:type="dxa" w:w="3700"/>
            <w:shd w:fill="FFF0EE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인계 절차 및 문서 인수인계 프로세스 부재</w:t>
            </w:r>
          </w:p>
        </w:tc>
      </w:tr>
      <w:tr>
        <w:tc>
          <w:tcPr>
            <w:tcW w:type="dxa" w:w="25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운용 (Operation)</w:t>
            </w:r>
          </w:p>
        </w:tc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Owner / Ship Manager</w:t>
            </w:r>
          </w:p>
        </w:tc>
        <w:tc>
          <w:tcPr>
            <w:tcW w:type="dxa" w:w="3700"/>
            <w:shd w:fill="FFF0EE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연차 업데이트 SOP 없으면 NC 발생</w:t>
            </w:r>
          </w:p>
        </w:tc>
      </w:tr>
    </w:tbl>
    <w:p>
      <w:pPr>
        <w:spacing w:after="120"/>
      </w:pPr>
    </w:p>
    <w:p>
      <w:pPr>
        <w:pStyle w:val="Heading3"/>
        <w:spacing w:after="60" w:before="180"/>
      </w:pPr>
      <w:r>
        <w:rPr>
          <w:b/>
          <w:bCs/>
          <w:color w:val="154F7A"/>
          <w:sz w:val="22"/>
          <w:szCs w:val="22"/>
        </w:rPr>
        <w:t xml:space="preserve">③ 연차 검사 지원 산출물 구성 여부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4A6278"/>
          <w:sz w:val="20"/>
          <w:szCs w:val="20"/>
        </w:rPr>
        <w:t xml:space="preserve">자산 목록 (VCAR): 설치 자산 변경 반영 여부 — 운용 중 변경 이력 추적 체계가 있는가?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4A6278"/>
          <w:sz w:val="20"/>
          <w:szCs w:val="20"/>
        </w:rPr>
        <w:t xml:space="preserve">Zone 구성 (ZCD): 문서상 Zone 경계가 실제 스위치/방화벽 구성과 일치하는가?</w:t>
      </w:r>
    </w:p>
    <w:p>
      <w:pPr>
        <w:pStyle w:val="ListParagraph"/>
        <w:numPr>
          <w:ilvl w:val="1"/>
          <w:numId w:val="1"/>
        </w:numPr>
        <w:spacing w:after="60"/>
        <w:ind w:left="720"/>
      </w:pPr>
      <w:r>
        <w:rPr>
          <w:color w:val="4A6278"/>
          <w:sz w:val="20"/>
          <w:szCs w:val="20"/>
        </w:rPr>
        <w:t xml:space="preserve">OT/IT DMZ, Navigation Zone 경계는 물리적 구성과 반드시 일치해야 함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4A6278"/>
          <w:sz w:val="20"/>
          <w:szCs w:val="20"/>
        </w:rPr>
        <w:t xml:space="preserve">SW/FW 버전 관리: 연차 검사 시 패치 이력 제출 요건 충족 여부</w:t>
      </w:r>
    </w:p>
    <w:p>
      <w:pPr>
        <w:spacing w:after="120"/>
      </w:pPr>
    </w:p>
    <w:p>
      <w:pPr>
        <w:pStyle w:val="Heading2"/>
        <w:pBdr>
          <w:left w:val="thick" w:color="1A9E82" w:sz="12"/>
        </w:pBdr>
        <w:spacing w:after="80" w:before="280"/>
        <w:ind w:left="120"/>
      </w:pPr>
      <w:r>
        <w:rPr>
          <w:b/>
          <w:bCs/>
          <w:color w:val="0A2342"/>
          <w:sz w:val="26"/>
          <w:szCs w:val="26"/>
        </w:rPr>
        <w:t xml:space="preserve">1.2  산출물 생성 방법론 — 어떻게 만들어내는가?</w:t>
      </w:r>
    </w:p>
    <w:p>
      <w:pPr>
        <w:pStyle w:val="Heading3"/>
        <w:spacing w:after="60" w:before="180"/>
      </w:pPr>
      <w:r>
        <w:rPr>
          <w:b/>
          <w:bCs/>
          <w:color w:val="154F7A"/>
          <w:sz w:val="22"/>
          <w:szCs w:val="22"/>
        </w:rPr>
        <w:t xml:space="preserve">① 자산 목록 (VCAR)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700"/>
      </w:tblGrid>
      <w:tr>
        <w:trPr>
          <w:tblHeader/>
        </w:trPr>
        <w:tc>
          <w:tcPr>
            <w:tcW w:type="dxa" w:w="22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3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일반 SI 방식</w:t>
            </w:r>
          </w:p>
        </w:tc>
        <w:tc>
          <w:tcPr>
            <w:tcW w:type="dxa" w:w="37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GM 방식</w:t>
            </w:r>
          </w:p>
        </w:tc>
      </w:tr>
      <w:tr>
        <w:tc>
          <w:tcPr>
            <w:tcW w:type="dxa" w:w="22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수집 방법</w:t>
            </w:r>
          </w:p>
        </w:tc>
        <w:tc>
          <w:tcPr>
            <w:tcW w:type="dxa" w:w="3300"/>
            <w:shd w:fill="FFF0EE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인터뷰 + 도면 수동 검토</w:t>
            </w:r>
          </w:p>
        </w:tc>
        <w:tc>
          <w:tcPr>
            <w:tcW w:type="dxa" w:w="3700"/>
            <w:shd w:fill="EEF6F3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OT 자산 탐지 솔루션 기반 자동 스캔 + 수동 보완</w:t>
            </w:r>
          </w:p>
        </w:tc>
      </w:tr>
      <w:tr>
        <w:tc>
          <w:tcPr>
            <w:tcW w:type="dxa" w:w="22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정확도</w:t>
            </w:r>
          </w:p>
        </w:tc>
        <w:tc>
          <w:tcPr>
            <w:tcW w:type="dxa" w:w="3300"/>
            <w:shd w:fill="FFF0EE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누락 자산 발생 위험 높음</w:t>
            </w:r>
          </w:p>
        </w:tc>
        <w:tc>
          <w:tcPr>
            <w:tcW w:type="dxa" w:w="3700"/>
            <w:shd w:fill="EEF6F3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실제 네트워크 반영 — 숨겨진 자산 탐지 가능</w:t>
            </w:r>
          </w:p>
        </w:tc>
      </w:tr>
      <w:tr>
        <w:tc>
          <w:tcPr>
            <w:tcW w:type="dxa" w:w="22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유지 관리</w:t>
            </w:r>
          </w:p>
        </w:tc>
        <w:tc>
          <w:tcPr>
            <w:tcW w:type="dxa" w:w="3300"/>
            <w:shd w:fill="FFF0EE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정적 문서 — 변경 반영 불가</w:t>
            </w:r>
          </w:p>
        </w:tc>
        <w:tc>
          <w:tcPr>
            <w:tcW w:type="dxa" w:w="3700"/>
            <w:shd w:fill="EEF6F3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연차 업데이트 SOP 포함 제공</w:t>
            </w:r>
          </w:p>
        </w:tc>
      </w:tr>
    </w:tbl>
    <w:p>
      <w:pPr>
        <w:spacing w:after="120"/>
      </w:pPr>
    </w:p>
    <w:p>
      <w:pPr>
        <w:pStyle w:val="Heading3"/>
        <w:spacing w:after="60" w:before="180"/>
      </w:pPr>
      <w:r>
        <w:rPr>
          <w:b/>
          <w:bCs/>
          <w:color w:val="154F7A"/>
          <w:sz w:val="22"/>
          <w:szCs w:val="22"/>
        </w:rPr>
        <w:t xml:space="preserve">② Zone and Conduit Diagram (ZCD)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4A6278"/>
          <w:sz w:val="20"/>
          <w:szCs w:val="20"/>
        </w:rPr>
        <w:t xml:space="preserve">일반 SI: Box-Line 수준의 개념적 존 다이어그램 — 실제 스위치/방화벽 배치 미반영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4A6278"/>
          <w:sz w:val="20"/>
          <w:szCs w:val="20"/>
        </w:rPr>
        <w:t xml:space="preserve">GM 방식: 야드 와이어링 다이어그램(Yard Wiring Diagram) 기반 ZCD 작성</w:t>
      </w:r>
    </w:p>
    <w:p>
      <w:pPr>
        <w:pStyle w:val="ListParagraph"/>
        <w:numPr>
          <w:ilvl w:val="1"/>
          <w:numId w:val="1"/>
        </w:numPr>
        <w:spacing w:after="60"/>
        <w:ind w:left="720"/>
      </w:pPr>
      <w:r>
        <w:rPr>
          <w:color w:val="4A6278"/>
          <w:sz w:val="20"/>
          <w:szCs w:val="20"/>
        </w:rPr>
        <w:t xml:space="preserve">실제 스위치/방화벽 모델, 포트 배치, VLAN 구성을 ZCD에 반영</w:t>
      </w:r>
    </w:p>
    <w:p>
      <w:pPr>
        <w:pStyle w:val="ListParagraph"/>
        <w:numPr>
          <w:ilvl w:val="1"/>
          <w:numId w:val="1"/>
        </w:numPr>
        <w:spacing w:after="60"/>
        <w:ind w:left="720"/>
      </w:pPr>
      <w:r>
        <w:rPr>
          <w:color w:val="4A6278"/>
          <w:sz w:val="20"/>
          <w:szCs w:val="20"/>
        </w:rPr>
        <w:t xml:space="preserve">Physical Zone Separation 및 Logical Zone Separation 각각 검증</w:t>
      </w:r>
    </w:p>
    <w:p>
      <w:pPr>
        <w:pStyle w:val="ListParagraph"/>
        <w:numPr>
          <w:ilvl w:val="1"/>
          <w:numId w:val="1"/>
        </w:numPr>
        <w:spacing w:after="60"/>
        <w:ind w:left="720"/>
      </w:pPr>
      <w:r>
        <w:rPr>
          <w:color w:val="4A6278"/>
          <w:sz w:val="20"/>
          <w:szCs w:val="20"/>
        </w:rPr>
        <w:t xml:space="preserve">방화벽 Rule Set과 ZCD Zone 경계 정합성 교차 검증</w:t>
      </w:r>
    </w:p>
    <w:p>
      <w:pPr>
        <w:pBdr>
          <w:left w:val="thick" w:color="E67E22" w:sz="10"/>
        </w:pBdr>
        <w:shd w:fill="FFF8EC" w:val="clear"/>
        <w:spacing w:after="80" w:before="80"/>
        <w:ind w:left="240" w:right="240"/>
      </w:pPr>
      <w:r>
        <w:rPr>
          <w:i/>
          <w:iCs/>
          <w:color w:val="4A6278"/>
          <w:sz w:val="19"/>
          <w:szCs w:val="19"/>
        </w:rPr>
        <w:t xml:space="preserve">ZCD는 "그려진 그림"이 아니라 실제 설치 구성을 증명하는 문서여야 합니다. 실제 구성과 불일치 시 선급 심사 NC 사유가 됩니다.</w:t>
      </w:r>
    </w:p>
    <w:p>
      <w:pPr>
        <w:spacing w:after="120"/>
      </w:pPr>
    </w:p>
    <w:p>
      <w:pPr>
        <w:pStyle w:val="Heading3"/>
        <w:spacing w:after="60" w:before="180"/>
      </w:pPr>
      <w:r>
        <w:rPr>
          <w:b/>
          <w:bCs/>
          <w:color w:val="154F7A"/>
          <w:sz w:val="22"/>
          <w:szCs w:val="22"/>
        </w:rPr>
        <w:t xml:space="preserve">③ Cyber Security Design Document (CSDD)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4A6278"/>
          <w:sz w:val="20"/>
          <w:szCs w:val="20"/>
        </w:rPr>
        <w:t xml:space="preserve">일반 SI: 표준 템플릿 기반 — 장비 카탈로그 수준의 기능 기술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4A6278"/>
          <w:sz w:val="20"/>
          <w:szCs w:val="20"/>
        </w:rPr>
        <w:t xml:space="preserve">GM 방식:</w:t>
      </w:r>
    </w:p>
    <w:p>
      <w:pPr>
        <w:pStyle w:val="ListParagraph"/>
        <w:numPr>
          <w:ilvl w:val="1"/>
          <w:numId w:val="1"/>
        </w:numPr>
        <w:spacing w:after="60"/>
        <w:ind w:left="720"/>
      </w:pPr>
      <w:r>
        <w:rPr>
          <w:color w:val="4A6278"/>
          <w:sz w:val="20"/>
          <w:szCs w:val="20"/>
        </w:rPr>
        <w:t xml:space="preserve">실제 장비 사양서(Datasheet) + 설정값(Configuration Backup) 기반 작성</w:t>
      </w:r>
    </w:p>
    <w:p>
      <w:pPr>
        <w:pStyle w:val="ListParagraph"/>
        <w:numPr>
          <w:ilvl w:val="1"/>
          <w:numId w:val="1"/>
        </w:numPr>
        <w:spacing w:after="60"/>
        <w:ind w:left="720"/>
      </w:pPr>
      <w:r>
        <w:rPr>
          <w:color w:val="4A6278"/>
          <w:sz w:val="20"/>
          <w:szCs w:val="20"/>
        </w:rPr>
        <w:t xml:space="preserve">E26 요건 항목 → 장비별 구현 기능 1:1 매핑 테이블</w:t>
      </w:r>
    </w:p>
    <w:p>
      <w:pPr>
        <w:pStyle w:val="ListParagraph"/>
        <w:numPr>
          <w:ilvl w:val="1"/>
          <w:numId w:val="1"/>
        </w:numPr>
        <w:spacing w:after="60"/>
        <w:ind w:left="720"/>
      </w:pPr>
      <w:r>
        <w:rPr>
          <w:color w:val="4A6278"/>
          <w:sz w:val="20"/>
          <w:szCs w:val="20"/>
        </w:rPr>
        <w:t xml:space="preserve">운용 제약사항(Operational Constraint) 명시</w:t>
      </w:r>
    </w:p>
    <w:p>
      <w:pPr>
        <w:pStyle w:val="ListParagraph"/>
        <w:numPr>
          <w:ilvl w:val="1"/>
          <w:numId w:val="1"/>
        </w:numPr>
        <w:spacing w:after="60"/>
        <w:ind w:left="720"/>
      </w:pPr>
      <w:r>
        <w:rPr>
          <w:color w:val="4A6278"/>
          <w:sz w:val="20"/>
          <w:szCs w:val="20"/>
        </w:rPr>
        <w:t xml:space="preserve">FAT/SAT 연계 — CSDD 기재 기능의 실제 구현 확인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thick" w:color="1A9E82" w:sz="6"/>
        </w:pBdr>
        <w:shd w:fill="0A2342" w:val="clear"/>
        <w:spacing w:after="120" w:before="240"/>
        <w:ind w:left="200" w:right="200"/>
      </w:pPr>
      <w:r>
        <w:rPr>
          <w:b/>
          <w:bCs/>
          <w:color w:val="FFFFFF"/>
          <w:sz w:val="32"/>
          <w:szCs w:val="32"/>
        </w:rPr>
        <w:t xml:space="preserve">2.  GM 차별화 방법론</w:t>
      </w:r>
    </w:p>
    <w:p>
      <w:pPr>
        <w:pStyle w:val="Heading2"/>
        <w:pBdr>
          <w:left w:val="thick" w:color="1A9E82" w:sz="12"/>
        </w:pBdr>
        <w:spacing w:after="80" w:before="280"/>
        <w:ind w:left="120"/>
      </w:pPr>
      <w:r>
        <w:rPr>
          <w:b/>
          <w:bCs/>
          <w:color w:val="0A2342"/>
          <w:sz w:val="26"/>
          <w:szCs w:val="26"/>
        </w:rPr>
        <w:t xml:space="preserve">2.1  솔루션 기반 산출물 생성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400"/>
      </w:tblGrid>
      <w:tr>
        <w:trPr>
          <w:tblHeader/>
        </w:trPr>
        <w:tc>
          <w:tcPr>
            <w:tcW w:type="dxa" w:w="18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40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GM 생성 방법</w:t>
            </w:r>
          </w:p>
        </w:tc>
        <w:tc>
          <w:tcPr>
            <w:tcW w:type="dxa" w:w="34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차별화 포인트</w:t>
            </w:r>
          </w:p>
        </w:tc>
      </w:tr>
      <w:tr>
        <w:tc>
          <w:tcPr>
            <w:tcW w:type="dxa" w:w="18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VCAR</w:t>
            </w:r>
          </w:p>
        </w:tc>
        <w:tc>
          <w:tcPr>
            <w:tcW w:type="dxa" w:w="4000"/>
            <w:shd w:fill="E8F0F7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OT 자산 탐지 솔루션 스캔 → 자동 목록 → 수동 보완</w:t>
            </w:r>
          </w:p>
        </w:tc>
        <w:tc>
          <w:tcPr>
            <w:tcW w:type="dxa" w:w="3400"/>
            <w:shd w:fill="EEF6F3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누락 자산 Zero 목표 / 연차 업데이트 기반 구성</w:t>
            </w:r>
          </w:p>
        </w:tc>
      </w:tr>
      <w:tr>
        <w:tc>
          <w:tcPr>
            <w:tcW w:type="dxa" w:w="18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ZCD</w:t>
            </w:r>
          </w:p>
        </w:tc>
        <w:tc>
          <w:tcPr>
            <w:tcW w:type="dxa" w:w="4000"/>
            <w:shd w:fill="E8F0F7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야드 Wiring Diagram + 스위치/방화벽 설정 추출 → Zone 매핑</w:t>
            </w:r>
          </w:p>
        </w:tc>
        <w:tc>
          <w:tcPr>
            <w:tcW w:type="dxa" w:w="3400"/>
            <w:shd w:fill="EEF6F3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실제 설치 기반 — NC 리스크 사전 제거</w:t>
            </w:r>
          </w:p>
        </w:tc>
      </w:tr>
      <w:tr>
        <w:tc>
          <w:tcPr>
            <w:tcW w:type="dxa" w:w="18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CSDD</w:t>
            </w:r>
          </w:p>
        </w:tc>
        <w:tc>
          <w:tcPr>
            <w:tcW w:type="dxa" w:w="4000"/>
            <w:shd w:fill="E8F0F7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장비 Datasheet + Config Backup → E26 요건 매핑</w:t>
            </w:r>
          </w:p>
        </w:tc>
        <w:tc>
          <w:tcPr>
            <w:tcW w:type="dxa" w:w="3400"/>
            <w:shd w:fill="EEF6F3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설정값 기반 요건 충족 증명</w:t>
            </w:r>
          </w:p>
        </w:tc>
      </w:tr>
      <w:tr>
        <w:tc>
          <w:tcPr>
            <w:tcW w:type="dxa" w:w="18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SCARP</w:t>
            </w:r>
          </w:p>
        </w:tc>
        <w:tc>
          <w:tcPr>
            <w:tcW w:type="dxa" w:w="4000"/>
            <w:shd w:fill="E8F0F7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건조 최초 작성 + 인도 인계 절차 + 운용 SOP 패키지</w:t>
            </w:r>
          </w:p>
        </w:tc>
        <w:tc>
          <w:tcPr>
            <w:tcW w:type="dxa" w:w="3400"/>
            <w:shd w:fill="EEF6F3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생애주기 전체 지원 — 타 SI 미제공 영역</w:t>
            </w:r>
          </w:p>
        </w:tc>
      </w:tr>
    </w:tbl>
    <w:p>
      <w:pPr>
        <w:spacing w:after="120"/>
      </w:pPr>
    </w:p>
    <w:p>
      <w:pPr>
        <w:pStyle w:val="Heading2"/>
        <w:pBdr>
          <w:left w:val="thick" w:color="1A9E82" w:sz="12"/>
        </w:pBdr>
        <w:spacing w:after="80" w:before="280"/>
        <w:ind w:left="120"/>
      </w:pPr>
      <w:r>
        <w:rPr>
          <w:b/>
          <w:bCs/>
          <w:color w:val="0A2342"/>
          <w:sz w:val="26"/>
          <w:szCs w:val="26"/>
        </w:rPr>
        <w:t xml:space="preserve">2.2  독립 검증 방법론 (작성팀 ≠ 검증팀)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rPr>
          <w:tblHeader/>
        </w:trPr>
        <w:tc>
          <w:tcPr>
            <w:tcW w:type="dxa" w:w="24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검증 단계</w:t>
            </w:r>
          </w:p>
        </w:tc>
        <w:tc>
          <w:tcPr>
            <w:tcW w:type="dxa" w:w="34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검증 항목</w:t>
            </w:r>
          </w:p>
        </w:tc>
        <w:tc>
          <w:tcPr>
            <w:tcW w:type="dxa" w:w="34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</w:tr>
      <w:tr>
        <w:tc>
          <w:tcPr>
            <w:tcW w:type="dxa" w:w="24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Step 1 — Document Consistency</w:t>
            </w:r>
          </w:p>
        </w:tc>
        <w:tc>
          <w:tcPr>
            <w:tcW w:type="dxa" w:w="3400"/>
            <w:shd w:fill="E8F0F7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VCAR ↔ ZCD ↔ CSDD 간 자산 일관성 교차 확인</w:t>
            </w:r>
          </w:p>
        </w:tc>
        <w:tc>
          <w:tcPr>
            <w:tcW w:type="dxa" w:w="34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문서 Cross-Reference 매트릭스 검토</w:t>
            </w:r>
          </w:p>
        </w:tc>
      </w:tr>
      <w:tr>
        <w:tc>
          <w:tcPr>
            <w:tcW w:type="dxa" w:w="24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Step 2 — Configuration Verification</w:t>
            </w:r>
          </w:p>
        </w:tc>
        <w:tc>
          <w:tcPr>
            <w:tcW w:type="dxa" w:w="3400"/>
            <w:shd w:fill="E8F0F7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ZCD Zone 경계 ↔ 실제 방화벽 Rule Set 일치 여부</w:t>
            </w:r>
          </w:p>
        </w:tc>
        <w:tc>
          <w:tcPr>
            <w:tcW w:type="dxa" w:w="34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방화벽 Config Review + 현장 실사</w:t>
            </w:r>
          </w:p>
        </w:tc>
      </w:tr>
      <w:tr>
        <w:tc>
          <w:tcPr>
            <w:tcW w:type="dxa" w:w="24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Step 3 — FAT/SAT 연계 검증</w:t>
            </w:r>
          </w:p>
        </w:tc>
        <w:tc>
          <w:tcPr>
            <w:tcW w:type="dxa" w:w="3400"/>
            <w:shd w:fill="E8F0F7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CSDD 기재 보안 기능 실제 구현 확인</w:t>
            </w:r>
          </w:p>
        </w:tc>
        <w:tc>
          <w:tcPr>
            <w:tcW w:type="dxa" w:w="34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Test Case 기반 기능 검증 + 결과 문서화</w:t>
            </w:r>
          </w:p>
        </w:tc>
      </w:tr>
      <w:tr>
        <w:tc>
          <w:tcPr>
            <w:tcW w:type="dxa" w:w="24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Step 4 — Vulnerability Assessment</w:t>
            </w:r>
          </w:p>
        </w:tc>
        <w:tc>
          <w:tcPr>
            <w:tcW w:type="dxa" w:w="3400"/>
            <w:shd w:fill="E8F0F7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OT 시스템 취약점 스캔 및 CVE 분석</w:t>
            </w:r>
          </w:p>
        </w:tc>
        <w:tc>
          <w:tcPr>
            <w:tcW w:type="dxa" w:w="34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패시브 스캔 방식 (운항 영향 Zero)</w:t>
            </w:r>
          </w:p>
        </w:tc>
      </w:tr>
    </w:tbl>
    <w:p>
      <w:pPr>
        <w:spacing w:after="120"/>
      </w:pPr>
    </w:p>
    <w:p>
      <w:pPr>
        <w:pStyle w:val="Heading2"/>
        <w:pBdr>
          <w:left w:val="thick" w:color="1A9E82" w:sz="12"/>
        </w:pBdr>
        <w:spacing w:after="80" w:before="280"/>
        <w:ind w:left="120"/>
      </w:pPr>
      <w:r>
        <w:rPr>
          <w:b/>
          <w:bCs/>
          <w:color w:val="0A2342"/>
          <w:sz w:val="26"/>
          <w:szCs w:val="26"/>
        </w:rPr>
        <w:t xml:space="preserve">2.3  연차 검사 대응 패키지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4A6278"/>
          <w:sz w:val="20"/>
          <w:szCs w:val="20"/>
        </w:rPr>
        <w:t xml:space="preserve">연차 검사 체크리스트 (E26 요건 기반 100% 점검 항목)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4A6278"/>
          <w:sz w:val="20"/>
          <w:szCs w:val="20"/>
        </w:rPr>
        <w:t xml:space="preserve">산출물 업데이트 SOP — 자산/Zone/SW 변경 시 문서 반영 절차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4A6278"/>
          <w:sz w:val="20"/>
          <w:szCs w:val="20"/>
        </w:rPr>
        <w:t xml:space="preserve">선급 심사 대응 Q&amp;A 가이드 — 심사관 예상 질문 및 모범 답변 예시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4A6278"/>
          <w:sz w:val="20"/>
          <w:szCs w:val="20"/>
        </w:rPr>
        <w:t xml:space="preserve">SCARP 인계 패키지 — 야드 → 선주 인도 시 인계 문서 세트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thick" w:color="1A9E82" w:sz="6"/>
        </w:pBdr>
        <w:shd w:fill="0A2342" w:val="clear"/>
        <w:spacing w:after="120" w:before="240"/>
        <w:ind w:left="200" w:right="200"/>
      </w:pPr>
      <w:r>
        <w:rPr>
          <w:b/>
          <w:bCs/>
          <w:color w:val="FFFFFF"/>
          <w:sz w:val="32"/>
          <w:szCs w:val="32"/>
        </w:rPr>
        <w:t xml:space="preserve">3.  선주사(Owner) 관점 — 조선사 및 SI에 대한 코멘트·요청</w:t>
      </w:r>
    </w:p>
    <w:p>
      <w:pPr>
        <w:spacing w:after="80"/>
        <w:ind w:left="0"/>
      </w:pPr>
      <w:r>
        <w:rPr>
          <w:color w:val="4A6278"/>
          <w:sz w:val="20"/>
          <w:szCs w:val="20"/>
        </w:rPr>
        <w:t xml:space="preserve">선주사는 계약 단계부터 인도 이후까지 아래 사항을 조선사(Yard) 및 SI에 공식적으로 코멘트하거나 요청할 수 있습니다.</w:t>
      </w:r>
    </w:p>
    <w:p>
      <w:pPr>
        <w:spacing w:after="120"/>
      </w:pPr>
    </w:p>
    <w:p>
      <w:pPr>
        <w:pStyle w:val="Heading2"/>
        <w:pBdr>
          <w:left w:val="thick" w:color="1A9E82" w:sz="12"/>
        </w:pBdr>
        <w:spacing w:after="80" w:before="280"/>
        <w:ind w:left="120"/>
      </w:pPr>
      <w:r>
        <w:rPr>
          <w:b/>
          <w:bCs/>
          <w:color w:val="0A2342"/>
          <w:sz w:val="26"/>
          <w:szCs w:val="26"/>
        </w:rPr>
        <w:t xml:space="preserve">3.1  조선사(Yard)에 요청 가능한 사항</w:t>
      </w:r>
    </w:p>
    <w:p>
      <w:pPr>
        <w:pStyle w:val="Heading3"/>
        <w:spacing w:after="60" w:before="180"/>
      </w:pPr>
      <w:r>
        <w:rPr>
          <w:b/>
          <w:bCs/>
          <w:color w:val="154F7A"/>
          <w:sz w:val="22"/>
          <w:szCs w:val="22"/>
        </w:rPr>
        <w:t xml:space="preserve">① 설계 및 건조 단계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200"/>
      </w:tblGrid>
      <w:tr>
        <w:trPr>
          <w:tblHeader/>
        </w:trPr>
        <w:tc>
          <w:tcPr>
            <w:tcW w:type="dxa" w:w="28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요청 항목</w:t>
            </w:r>
          </w:p>
        </w:tc>
        <w:tc>
          <w:tcPr>
            <w:tcW w:type="dxa" w:w="22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  <w:tc>
          <w:tcPr>
            <w:tcW w:type="dxa" w:w="42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코멘트 포인트</w:t>
            </w:r>
          </w:p>
        </w:tc>
      </w:tr>
      <w:tr>
        <w:tc>
          <w:tcPr>
            <w:tcW w:type="dxa" w:w="28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E26 산출물 납품 리스트 확정</w:t>
            </w:r>
          </w:p>
        </w:tc>
        <w:tc>
          <w:tcPr>
            <w:tcW w:type="dxa" w:w="2200"/>
            <w:shd w:fill="E8F0F7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IACS UR E26 §4</w:t>
            </w:r>
          </w:p>
        </w:tc>
        <w:tc>
          <w:tcPr>
            <w:tcW w:type="dxa" w:w="42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6개 최소 문서 외 SCARP, 연차 검사 지원 문서 포함 요구</w:t>
            </w:r>
          </w:p>
        </w:tc>
      </w:tr>
      <w:tr>
        <w:tc>
          <w:tcPr>
            <w:tcW w:type="dxa" w:w="28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ZCD-네트워크 도면 정합성 보장</w:t>
            </w:r>
          </w:p>
        </w:tc>
        <w:tc>
          <w:tcPr>
            <w:tcW w:type="dxa" w:w="2200"/>
            <w:shd w:fill="E8F0F7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E26 Zone 요건</w:t>
            </w:r>
          </w:p>
        </w:tc>
        <w:tc>
          <w:tcPr>
            <w:tcW w:type="dxa" w:w="42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ZCD가 실제 Wiring Diagram 기반으로 작성되었음을 증명할 것</w:t>
            </w:r>
          </w:p>
        </w:tc>
      </w:tr>
      <w:tr>
        <w:tc>
          <w:tcPr>
            <w:tcW w:type="dxa" w:w="28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SCARP 최초 작성 주체 명확화</w:t>
            </w:r>
          </w:p>
        </w:tc>
        <w:tc>
          <w:tcPr>
            <w:tcW w:type="dxa" w:w="2200"/>
            <w:shd w:fill="E8F0F7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인도 시 문서 인계 의무</w:t>
            </w:r>
          </w:p>
        </w:tc>
        <w:tc>
          <w:tcPr>
            <w:tcW w:type="dxa" w:w="42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건조 단계 SCARP 작성 책임을 계약서에 명기 요구</w:t>
            </w:r>
          </w:p>
        </w:tc>
      </w:tr>
      <w:tr>
        <w:tc>
          <w:tcPr>
            <w:tcW w:type="dxa" w:w="28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FAT/SAT 체크리스트 사전 공유</w:t>
            </w:r>
          </w:p>
        </w:tc>
        <w:tc>
          <w:tcPr>
            <w:tcW w:type="dxa" w:w="2200"/>
            <w:shd w:fill="E8F0F7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E26 Verification 요건</w:t>
            </w:r>
          </w:p>
        </w:tc>
        <w:tc>
          <w:tcPr>
            <w:tcW w:type="dxa" w:w="42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선주사 참관 하 보안 기능 검증 절차 포함 요구</w:t>
            </w:r>
          </w:p>
        </w:tc>
      </w:tr>
      <w:tr>
        <w:tc>
          <w:tcPr>
            <w:tcW w:type="dxa" w:w="28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사이버 보안 서브컨트랙터 공개</w:t>
            </w:r>
          </w:p>
        </w:tc>
        <w:tc>
          <w:tcPr>
            <w:tcW w:type="dxa" w:w="2200"/>
            <w:shd w:fill="E8F0F7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공급망 보안</w:t>
            </w:r>
          </w:p>
        </w:tc>
        <w:tc>
          <w:tcPr>
            <w:tcW w:type="dxa" w:w="42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SI 포함 모든 사이버 관련 서브컨트랙터 명단 제출 요구</w:t>
            </w:r>
          </w:p>
        </w:tc>
      </w:tr>
    </w:tbl>
    <w:p>
      <w:pPr>
        <w:spacing w:after="120"/>
      </w:pPr>
    </w:p>
    <w:p>
      <w:pPr>
        <w:pStyle w:val="Heading3"/>
        <w:spacing w:after="60" w:before="180"/>
      </w:pPr>
      <w:r>
        <w:rPr>
          <w:b/>
          <w:bCs/>
          <w:color w:val="154F7A"/>
          <w:sz w:val="22"/>
          <w:szCs w:val="22"/>
        </w:rPr>
        <w:t xml:space="preserve">② 인도 단계 — 증적 문서 제출 요건</w:t>
      </w:r>
    </w:p>
    <w:p>
      <w:pPr>
        <w:spacing w:after="80"/>
        <w:ind w:left="0"/>
      </w:pPr>
      <w:r>
        <w:rPr>
          <w:color w:val="4A6278"/>
          <w:sz w:val="20"/>
          <w:szCs w:val="20"/>
        </w:rPr>
        <w:t xml:space="preserve">조선사는 선박 인도 시 아래 증적 문서를 선주사에 제출해야 합니다. 선주사는 이를 계약서 및 인도 체크리스트에 명시하여 요구해야 합니다.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200"/>
      </w:tblGrid>
      <w:tr>
        <w:trPr>
          <w:tblHeader/>
        </w:trPr>
        <w:tc>
          <w:tcPr>
            <w:tcW w:type="dxa" w:w="30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증적 문서</w:t>
            </w:r>
          </w:p>
        </w:tc>
        <w:tc>
          <w:tcPr>
            <w:tcW w:type="dxa" w:w="20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현황</w:t>
            </w:r>
          </w:p>
        </w:tc>
        <w:tc>
          <w:tcPr>
            <w:tcW w:type="dxa" w:w="42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선주사 요청 포인트</w:t>
            </w:r>
          </w:p>
        </w:tc>
      </w:tr>
      <w:tr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선급 승인된 E26 산출물 전체 세트</w:t>
            </w:r>
          </w:p>
        </w:tc>
        <w:tc>
          <w:tcPr>
            <w:tcW w:type="dxa" w:w="2000"/>
            <w:shd w:fill="EEF6F3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✔ (6개)</w:t>
            </w:r>
          </w:p>
        </w:tc>
        <w:tc>
          <w:tcPr>
            <w:tcW w:type="dxa" w:w="42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승인된 최종본 원본 제출 요구 (초안 불가)</w:t>
            </w:r>
          </w:p>
        </w:tc>
      </w:tr>
      <w:tr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SCARP (최초본)</w:t>
            </w:r>
          </w:p>
        </w:tc>
        <w:tc>
          <w:tcPr>
            <w:tcW w:type="dxa" w:w="2000"/>
            <w:shd w:fill="FFF0EE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✘ 미준비</w:t>
            </w:r>
          </w:p>
        </w:tc>
        <w:tc>
          <w:tcPr>
            <w:tcW w:type="dxa" w:w="42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인도 시 SCARP 제출 의무 계약 명기</w:t>
            </w:r>
          </w:p>
        </w:tc>
      </w:tr>
      <w:tr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방화벽/스위치 Configuration Backup</w:t>
            </w:r>
          </w:p>
        </w:tc>
        <w:tc>
          <w:tcPr>
            <w:tcW w:type="dxa" w:w="2000"/>
            <w:shd w:fill="FFF8EC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△ 일부 누락</w:t>
            </w:r>
          </w:p>
        </w:tc>
        <w:tc>
          <w:tcPr>
            <w:tcW w:type="dxa" w:w="42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인도 시점 설정값 백업본 제출 요구</w:t>
            </w:r>
          </w:p>
        </w:tc>
      </w:tr>
      <w:tr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SW/FW 버전 및 라이선스 현황</w:t>
            </w:r>
          </w:p>
        </w:tc>
        <w:tc>
          <w:tcPr>
            <w:tcW w:type="dxa" w:w="2000"/>
            <w:shd w:fill="FFF8EC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△ 일부 누락</w:t>
            </w:r>
          </w:p>
        </w:tc>
        <w:tc>
          <w:tcPr>
            <w:tcW w:type="dxa" w:w="42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설치된 모든 소프트웨어 버전 목록 + 라이선스 증빙</w:t>
            </w:r>
          </w:p>
        </w:tc>
      </w:tr>
      <w:tr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FAT/SAT 보안 기능 검증 결과보고서</w:t>
            </w:r>
          </w:p>
        </w:tc>
        <w:tc>
          <w:tcPr>
            <w:tcW w:type="dxa" w:w="2000"/>
            <w:shd w:fill="FFF8EC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△ 불완전</w:t>
            </w:r>
          </w:p>
        </w:tc>
        <w:tc>
          <w:tcPr>
            <w:tcW w:type="dxa" w:w="42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보안 기능 항목별 Pass/Fail 결과 포함 최종 보고서</w:t>
            </w:r>
          </w:p>
        </w:tc>
      </w:tr>
      <w:tr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취약점 평가 보고서 (VAR)</w:t>
            </w:r>
          </w:p>
        </w:tc>
        <w:tc>
          <w:tcPr>
            <w:tcW w:type="dxa" w:w="2000"/>
            <w:shd w:fill="FFF0EE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✘ 미제출</w:t>
            </w:r>
          </w:p>
        </w:tc>
        <w:tc>
          <w:tcPr>
            <w:tcW w:type="dxa" w:w="42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인도 전 취약점 스캔 결과 및 조치 결과 포함 요구</w:t>
            </w:r>
          </w:p>
        </w:tc>
      </w:tr>
      <w:tr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사이버 보안 교육 이수 증빙</w:t>
            </w:r>
          </w:p>
        </w:tc>
        <w:tc>
          <w:tcPr>
            <w:tcW w:type="dxa" w:w="2000"/>
            <w:shd w:fill="FFF0EE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✘ 미제출</w:t>
            </w:r>
          </w:p>
        </w:tc>
        <w:tc>
          <w:tcPr>
            <w:tcW w:type="dxa" w:w="42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선원 대상 E26 기반 사이버 보안 교육 이수 기록</w:t>
            </w:r>
          </w:p>
        </w:tc>
      </w:tr>
      <w:tr>
        <w:tc>
          <w:tcPr>
            <w:tcW w:type="dxa" w:w="30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연차 검사 대응 SOP</w:t>
            </w:r>
          </w:p>
        </w:tc>
        <w:tc>
          <w:tcPr>
            <w:tcW w:type="dxa" w:w="2000"/>
            <w:shd w:fill="FFF0EE" w:val="clear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✘ 미제출</w:t>
            </w:r>
          </w:p>
        </w:tc>
        <w:tc>
          <w:tcPr>
            <w:tcW w:type="dxa" w:w="42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인도 후 연차 검사 준비를 위한 절차서 제공 요구</w:t>
            </w:r>
          </w:p>
        </w:tc>
      </w:tr>
    </w:tbl>
    <w:p>
      <w:pPr>
        <w:spacing w:after="120"/>
      </w:pPr>
    </w:p>
    <w:p>
      <w:pPr>
        <w:pBdr>
          <w:left w:val="thick" w:color="E67E22" w:sz="10"/>
        </w:pBdr>
        <w:shd w:fill="FFF8EC" w:val="clear"/>
        <w:spacing w:after="80" w:before="80"/>
        <w:ind w:left="240" w:right="240"/>
      </w:pPr>
      <w:r>
        <w:rPr>
          <w:i/>
          <w:iCs/>
          <w:color w:val="4A6278"/>
          <w:sz w:val="19"/>
          <w:szCs w:val="19"/>
        </w:rPr>
        <w:t xml:space="preserve">선주사 핵심 요청: "선급 승인 문서"와 "실제 설치 상태"가 일치함을 증명하는 독립 검증 보고서를 인도 전 제출할 것</w:t>
      </w:r>
    </w:p>
    <w:p>
      <w:pPr>
        <w:spacing w:after="120"/>
      </w:pPr>
    </w:p>
    <w:p>
      <w:pPr>
        <w:pStyle w:val="Heading2"/>
        <w:pBdr>
          <w:left w:val="thick" w:color="1A9E82" w:sz="12"/>
        </w:pBdr>
        <w:spacing w:after="80" w:before="280"/>
        <w:ind w:left="120"/>
      </w:pPr>
      <w:r>
        <w:rPr>
          <w:b/>
          <w:bCs/>
          <w:color w:val="0A2342"/>
          <w:sz w:val="26"/>
          <w:szCs w:val="26"/>
        </w:rPr>
        <w:t xml:space="preserve">3.2  SI(System Integrator)에 요청 가능한 사항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rPr>
          <w:tblHeader/>
        </w:trPr>
        <w:tc>
          <w:tcPr>
            <w:tcW w:type="dxa" w:w="35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요청 항목</w:t>
            </w:r>
          </w:p>
        </w:tc>
        <w:tc>
          <w:tcPr>
            <w:tcW w:type="dxa" w:w="57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코멘트 포인트</w:t>
            </w:r>
          </w:p>
        </w:tc>
      </w:tr>
      <w:tr>
        <w:tc>
          <w:tcPr>
            <w:tcW w:type="dxa" w:w="35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자산 목록 생성 방법 명확화</w:t>
            </w:r>
          </w:p>
        </w:tc>
        <w:tc>
          <w:tcPr>
            <w:tcW w:type="dxa" w:w="57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수동 인터뷰 방식 사용 시, 탐지 솔루션 기반 보완 검증 절차를 함께 요구</w:t>
            </w:r>
          </w:p>
        </w:tc>
      </w:tr>
      <w:tr>
        <w:tc>
          <w:tcPr>
            <w:tcW w:type="dxa" w:w="35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ZCD 작성 근거 제출</w:t>
            </w:r>
          </w:p>
        </w:tc>
        <w:tc>
          <w:tcPr>
            <w:tcW w:type="dxa" w:w="57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ZCD가 야드 Wiring Diagram 기반임을 증명하는 작성 근거 문서 제출 요구</w:t>
            </w:r>
          </w:p>
        </w:tc>
      </w:tr>
      <w:tr>
        <w:tc>
          <w:tcPr>
            <w:tcW w:type="dxa" w:w="35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CSDD 장비 설정값 포함 여부</w:t>
            </w:r>
          </w:p>
        </w:tc>
        <w:tc>
          <w:tcPr>
            <w:tcW w:type="dxa" w:w="57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템플릿 수준이 아닌, 실제 장비 설정값이 반영된 CSDD 제출 요구</w:t>
            </w:r>
          </w:p>
        </w:tc>
      </w:tr>
      <w:tr>
        <w:tc>
          <w:tcPr>
            <w:tcW w:type="dxa" w:w="35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독립 검증 수행 여부</w:t>
            </w:r>
          </w:p>
        </w:tc>
        <w:tc>
          <w:tcPr>
            <w:tcW w:type="dxa" w:w="57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산출물 작성자와 검증자가 동일인인 경우, 제3자 검증 수행 요구</w:t>
            </w:r>
          </w:p>
        </w:tc>
      </w:tr>
      <w:tr>
        <w:tc>
          <w:tcPr>
            <w:tcW w:type="dxa" w:w="35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연차 검사 지원 범위 명확화</w:t>
            </w:r>
          </w:p>
        </w:tc>
        <w:tc>
          <w:tcPr>
            <w:tcW w:type="dxa" w:w="57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건조 단계 종료 후 운용 단계 연차 검사 지원 범위와 책임을 계약에 명기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thick" w:color="1A9E82" w:sz="6"/>
        </w:pBdr>
        <w:shd w:fill="0A2342" w:val="clear"/>
        <w:spacing w:after="120" w:before="240"/>
        <w:ind w:left="200" w:right="200"/>
      </w:pPr>
      <w:r>
        <w:rPr>
          <w:b/>
          <w:bCs/>
          <w:color w:val="FFFFFF"/>
          <w:sz w:val="32"/>
          <w:szCs w:val="32"/>
        </w:rPr>
        <w:t xml:space="preserve">4.  조선사 인도 시 선주사 제출 증적 문서 — 현황 및 준비 방법</w:t>
      </w:r>
    </w:p>
    <w:p>
      <w:pPr>
        <w:spacing w:after="80"/>
        <w:ind w:left="0"/>
      </w:pPr>
      <w:r>
        <w:rPr>
          <w:color w:val="4A6278"/>
          <w:sz w:val="20"/>
          <w:szCs w:val="20"/>
        </w:rPr>
        <w:t xml:space="preserve">조선사는 선박 인도 시 IACS UR E26 요건에 따른 사이버 보안 증적 문서를 선주사에 제출해야 합니다. 현재 대부분의 조선소에서 아래와 같은 준비 수준의 차이가 있습니다.</w:t>
      </w:r>
    </w:p>
    <w:p>
      <w:pPr>
        <w:spacing w:after="120"/>
      </w:pPr>
    </w:p>
    <w:p>
      <w:pPr>
        <w:pStyle w:val="Heading2"/>
        <w:pBdr>
          <w:left w:val="thick" w:color="1A9E82" w:sz="12"/>
        </w:pBdr>
        <w:spacing w:after="80" w:before="280"/>
        <w:ind w:left="120"/>
      </w:pPr>
      <w:r>
        <w:rPr>
          <w:b/>
          <w:bCs/>
          <w:color w:val="0A2342"/>
          <w:sz w:val="26"/>
          <w:szCs w:val="26"/>
        </w:rPr>
        <w:t xml:space="preserve">4.1  인도 필수 제출 증적 문서 및 현황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800"/>
        <w:gridCol w:w="3800"/>
      </w:tblGrid>
      <w:tr>
        <w:trPr>
          <w:tblHeader/>
        </w:trPr>
        <w:tc>
          <w:tcPr>
            <w:tcW w:type="dxa" w:w="8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8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문서명</w:t>
            </w:r>
          </w:p>
        </w:tc>
        <w:tc>
          <w:tcPr>
            <w:tcW w:type="dxa" w:w="18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현황</w:t>
            </w:r>
          </w:p>
        </w:tc>
        <w:tc>
          <w:tcPr>
            <w:tcW w:type="dxa" w:w="3800"/>
            <w:shd w:fill="0A2342" w:val="clear"/>
          </w:tcPr>
          <w:p>
            <w:pPr>
              <w:spacing w:after="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준비 방법</w:t>
            </w:r>
          </w:p>
        </w:tc>
      </w:tr>
      <w:tr>
        <w:tc>
          <w:tcPr>
            <w:tcW w:type="dxa" w:w="800"/>
            <w:shd w:fill="1A9E82" w:val="clear"/>
          </w:tcPr>
          <w:p>
            <w:pPr>
              <w:spacing w:after="0"/>
              <w:ind w:left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필수</w:t>
            </w:r>
          </w:p>
        </w:tc>
        <w:tc>
          <w:tcPr>
            <w:tcW w:type="dxa" w:w="28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선급 승인 E26 산출물 전체</w:t>
            </w:r>
          </w:p>
        </w:tc>
        <w:tc>
          <w:tcPr>
            <w:tcW w:type="dxa" w:w="1800"/>
            <w:shd w:fill="EEF6F3" w:val="clear"/>
          </w:tcPr>
          <w:p>
            <w:pPr>
              <w:spacing w:after="0"/>
              <w:ind w:left="80"/>
            </w:pPr>
            <w:r>
              <w:rPr>
                <w:color w:val="1A9E82"/>
                <w:sz w:val="19"/>
                <w:szCs w:val="19"/>
              </w:rPr>
              <w:t xml:space="preserve">대부분 준비됨</w:t>
            </w:r>
          </w:p>
        </w:tc>
        <w:tc>
          <w:tcPr>
            <w:tcW w:type="dxa" w:w="38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선급 승인 원본 + 최종 개정본 확인. 초안 버전 혼용 주의</w:t>
            </w:r>
          </w:p>
        </w:tc>
      </w:tr>
      <w:tr>
        <w:tc>
          <w:tcPr>
            <w:tcW w:type="dxa" w:w="800"/>
            <w:shd w:fill="1A9E82" w:val="clear"/>
          </w:tcPr>
          <w:p>
            <w:pPr>
              <w:spacing w:after="0"/>
              <w:ind w:left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필수</w:t>
            </w:r>
          </w:p>
        </w:tc>
        <w:tc>
          <w:tcPr>
            <w:tcW w:type="dxa" w:w="28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SCARP (최초본)</w:t>
            </w:r>
          </w:p>
        </w:tc>
        <w:tc>
          <w:tcPr>
            <w:tcW w:type="dxa" w:w="1800"/>
            <w:shd w:fill="FFF0EE" w:val="clear"/>
          </w:tcPr>
          <w:p>
            <w:pPr>
              <w:spacing w:after="0"/>
              <w:ind w:left="80"/>
            </w:pPr>
            <w:r>
              <w:rPr>
                <w:color w:val="C0392B"/>
                <w:sz w:val="19"/>
                <w:szCs w:val="19"/>
              </w:rPr>
              <w:t xml:space="preserve">대부분 미준비</w:t>
            </w:r>
          </w:p>
        </w:tc>
        <w:tc>
          <w:tcPr>
            <w:tcW w:type="dxa" w:w="38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건조 단계 SI와 협의하여 자산 목록 기반 SCARP 초안 작성. 인도 전 선급 확인 필요</w:t>
            </w:r>
          </w:p>
        </w:tc>
      </w:tr>
      <w:tr>
        <w:tc>
          <w:tcPr>
            <w:tcW w:type="dxa" w:w="800"/>
            <w:shd w:fill="1A9E82" w:val="clear"/>
          </w:tcPr>
          <w:p>
            <w:pPr>
              <w:spacing w:after="0"/>
              <w:ind w:left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필수</w:t>
            </w:r>
          </w:p>
        </w:tc>
        <w:tc>
          <w:tcPr>
            <w:tcW w:type="dxa" w:w="28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FAT/SAT 보안 기능 검증 보고서</w:t>
            </w:r>
          </w:p>
        </w:tc>
        <w:tc>
          <w:tcPr>
            <w:tcW w:type="dxa" w:w="1800"/>
            <w:shd w:fill="FFF8EC" w:val="clear"/>
          </w:tcPr>
          <w:p>
            <w:pPr>
              <w:spacing w:after="0"/>
              <w:ind w:left="80"/>
            </w:pPr>
            <w:r>
              <w:rPr>
                <w:color w:val="E67E22"/>
                <w:sz w:val="19"/>
                <w:szCs w:val="19"/>
              </w:rPr>
              <w:t xml:space="preserve">부분 준비</w:t>
            </w:r>
          </w:p>
        </w:tc>
        <w:tc>
          <w:tcPr>
            <w:tcW w:type="dxa" w:w="38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CSDD 기재 보안 기능 항목 기준 Test Case 작성 → FAT/SAT 단계 검증 결과 문서화</w:t>
            </w:r>
          </w:p>
        </w:tc>
      </w:tr>
      <w:tr>
        <w:tc>
          <w:tcPr>
            <w:tcW w:type="dxa" w:w="800"/>
            <w:shd w:fill="E67E22" w:val="clear"/>
          </w:tcPr>
          <w:p>
            <w:pPr>
              <w:spacing w:after="0"/>
              <w:ind w:left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권고</w:t>
            </w:r>
          </w:p>
        </w:tc>
        <w:tc>
          <w:tcPr>
            <w:tcW w:type="dxa" w:w="28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방화벽/스위치 Configuration Backup</w:t>
            </w:r>
          </w:p>
        </w:tc>
        <w:tc>
          <w:tcPr>
            <w:tcW w:type="dxa" w:w="1800"/>
            <w:shd w:fill="FFF8EC" w:val="clear"/>
          </w:tcPr>
          <w:p>
            <w:pPr>
              <w:spacing w:after="0"/>
              <w:ind w:left="80"/>
            </w:pPr>
            <w:r>
              <w:rPr>
                <w:color w:val="E67E22"/>
                <w:sz w:val="19"/>
                <w:szCs w:val="19"/>
              </w:rPr>
              <w:t xml:space="preserve">일부 누락</w:t>
            </w:r>
          </w:p>
        </w:tc>
        <w:tc>
          <w:tcPr>
            <w:tcW w:type="dxa" w:w="38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인도 당일 기준 설정값 백업 파일(Config Export) + 체크섬(Hash) 함께 제출</w:t>
            </w:r>
          </w:p>
        </w:tc>
      </w:tr>
      <w:tr>
        <w:tc>
          <w:tcPr>
            <w:tcW w:type="dxa" w:w="800"/>
            <w:shd w:fill="E67E22" w:val="clear"/>
          </w:tcPr>
          <w:p>
            <w:pPr>
              <w:spacing w:after="0"/>
              <w:ind w:left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권고</w:t>
            </w:r>
          </w:p>
        </w:tc>
        <w:tc>
          <w:tcPr>
            <w:tcW w:type="dxa" w:w="28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취약점 평가 보고서 (VAR)</w:t>
            </w:r>
          </w:p>
        </w:tc>
        <w:tc>
          <w:tcPr>
            <w:tcW w:type="dxa" w:w="1800"/>
            <w:shd w:fill="FFF0EE" w:val="clear"/>
          </w:tcPr>
          <w:p>
            <w:pPr>
              <w:spacing w:after="0"/>
              <w:ind w:left="80"/>
            </w:pPr>
            <w:r>
              <w:rPr>
                <w:color w:val="C0392B"/>
                <w:sz w:val="19"/>
                <w:szCs w:val="19"/>
              </w:rPr>
              <w:t xml:space="preserve">대부분 미제출</w:t>
            </w:r>
          </w:p>
        </w:tc>
        <w:tc>
          <w:tcPr>
            <w:tcW w:type="dxa" w:w="38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인도 전 패시브 취약점 스캔 수행 → 발견 취약점 및 조치 결과 보고서 제출</w:t>
            </w:r>
          </w:p>
        </w:tc>
      </w:tr>
      <w:tr>
        <w:tc>
          <w:tcPr>
            <w:tcW w:type="dxa" w:w="800"/>
            <w:shd w:fill="E67E22" w:val="clear"/>
          </w:tcPr>
          <w:p>
            <w:pPr>
              <w:spacing w:after="0"/>
              <w:ind w:left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권고</w:t>
            </w:r>
          </w:p>
        </w:tc>
        <w:tc>
          <w:tcPr>
            <w:tcW w:type="dxa" w:w="28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SW/FW 버전 및 라이선스 현황</w:t>
            </w:r>
          </w:p>
        </w:tc>
        <w:tc>
          <w:tcPr>
            <w:tcW w:type="dxa" w:w="1800"/>
            <w:shd w:fill="FFF8EC" w:val="clear"/>
          </w:tcPr>
          <w:p>
            <w:pPr>
              <w:spacing w:after="0"/>
              <w:ind w:left="80"/>
            </w:pPr>
            <w:r>
              <w:rPr>
                <w:color w:val="E67E22"/>
                <w:sz w:val="19"/>
                <w:szCs w:val="19"/>
              </w:rPr>
              <w:t xml:space="preserve">일부 누락</w:t>
            </w:r>
          </w:p>
        </w:tc>
        <w:tc>
          <w:tcPr>
            <w:tcW w:type="dxa" w:w="38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전체 OT/IT 장비 SW 버전 목록 + 제조사 지원 종료(EoL) 일정 포함</w:t>
            </w:r>
          </w:p>
        </w:tc>
      </w:tr>
      <w:tr>
        <w:tc>
          <w:tcPr>
            <w:tcW w:type="dxa" w:w="800"/>
            <w:shd w:fill="E67E22" w:val="clear"/>
          </w:tcPr>
          <w:p>
            <w:pPr>
              <w:spacing w:after="0"/>
              <w:ind w:left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권고</w:t>
            </w:r>
          </w:p>
        </w:tc>
        <w:tc>
          <w:tcPr>
            <w:tcW w:type="dxa" w:w="28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연차 검사 대응 SOP</w:t>
            </w:r>
          </w:p>
        </w:tc>
        <w:tc>
          <w:tcPr>
            <w:tcW w:type="dxa" w:w="1800"/>
            <w:shd w:fill="FFF0EE" w:val="clear"/>
          </w:tcPr>
          <w:p>
            <w:pPr>
              <w:spacing w:after="0"/>
              <w:ind w:left="80"/>
            </w:pPr>
            <w:r>
              <w:rPr>
                <w:color w:val="C0392B"/>
                <w:sz w:val="19"/>
                <w:szCs w:val="19"/>
              </w:rPr>
              <w:t xml:space="preserve">거의 미제공</w:t>
            </w:r>
          </w:p>
        </w:tc>
        <w:tc>
          <w:tcPr>
            <w:tcW w:type="dxa" w:w="3800"/>
          </w:tcPr>
          <w:p>
            <w:pPr>
              <w:spacing w:after="0"/>
              <w:ind w:left="80"/>
            </w:pPr>
            <w:r>
              <w:rPr>
                <w:color w:val="4A6278"/>
                <w:sz w:val="19"/>
                <w:szCs w:val="19"/>
              </w:rPr>
              <w:t xml:space="preserve">GM 제공 패키지: 자산 변경 절차, Zone 변경 절차, 연차 점검 체크리스트 포함</w:t>
            </w:r>
          </w:p>
        </w:tc>
      </w:tr>
    </w:tbl>
    <w:p>
      <w:pPr>
        <w:spacing w:after="120"/>
      </w:pPr>
    </w:p>
    <w:p>
      <w:pPr>
        <w:pStyle w:val="Heading2"/>
        <w:pBdr>
          <w:left w:val="thick" w:color="1A9E82" w:sz="12"/>
        </w:pBdr>
        <w:spacing w:after="80" w:before="280"/>
        <w:ind w:left="120"/>
      </w:pPr>
      <w:r>
        <w:rPr>
          <w:b/>
          <w:bCs/>
          <w:color w:val="0A2342"/>
          <w:sz w:val="26"/>
          <w:szCs w:val="26"/>
        </w:rPr>
        <w:t xml:space="preserve">4.2  조선소 준비 현황의 핵심 문제</w:t>
      </w:r>
    </w:p>
    <w:p>
      <w:pPr>
        <w:pBdr>
          <w:left w:val="thick" w:color="C0392B" w:sz="10"/>
        </w:pBdr>
        <w:shd w:fill="FFF0EE" w:val="clear"/>
        <w:spacing w:after="80" w:before="80"/>
        <w:ind w:left="240" w:right="240"/>
      </w:pPr>
      <w:r>
        <w:rPr>
          <w:i/>
          <w:iCs/>
          <w:color w:val="4A6278"/>
          <w:sz w:val="19"/>
          <w:szCs w:val="19"/>
        </w:rPr>
        <w:t xml:space="preserve">문제 1: 대부분의 조선소는 "선급 승인"을 인도 완료의 기준으로 인식합니다. 그러나 선주사가 실제 운용에서 필요한 SCARP, 연차 검사 SOP, Configuration Backup 등은 선급 승인 범위 밖입니다.</w:t>
      </w:r>
    </w:p>
    <w:p>
      <w:pPr>
        <w:spacing w:after="120"/>
      </w:pPr>
    </w:p>
    <w:p>
      <w:pPr>
        <w:pBdr>
          <w:left w:val="thick" w:color="C0392B" w:sz="10"/>
        </w:pBdr>
        <w:shd w:fill="FFF0EE" w:val="clear"/>
        <w:spacing w:after="80" w:before="80"/>
        <w:ind w:left="240" w:right="240"/>
      </w:pPr>
      <w:r>
        <w:rPr>
          <w:i/>
          <w:iCs/>
          <w:color w:val="4A6278"/>
          <w:sz w:val="19"/>
          <w:szCs w:val="19"/>
        </w:rPr>
        <w:t xml:space="preserve">문제 2: SI가 납품한 산출물의 검증 책임이 불명확합니다. 조선소는 SI가 제출한 문서를 그대로 선급에 제출하며, 실제 설치 구성과의 일치 여부를 검증하지 않습니다.</w:t>
      </w:r>
    </w:p>
    <w:p>
      <w:pPr>
        <w:spacing w:after="120"/>
      </w:pPr>
    </w:p>
    <w:p>
      <w:pPr>
        <w:pBdr>
          <w:left w:val="thick" w:color="C0392B" w:sz="10"/>
        </w:pBdr>
        <w:shd w:fill="FFF0EE" w:val="clear"/>
        <w:spacing w:after="80" w:before="80"/>
        <w:ind w:left="240" w:right="240"/>
      </w:pPr>
      <w:r>
        <w:rPr>
          <w:i/>
          <w:iCs/>
          <w:color w:val="4A6278"/>
          <w:sz w:val="19"/>
          <w:szCs w:val="19"/>
        </w:rPr>
        <w:t xml:space="preserve">문제 3: 인도 시점 제출 문서와 실제 설치 상태의 불일치가 빈번합니다. FAT 이후 설정 변경 사항이 CSDD/ZCD에 반영되지 않은 채 인도되는 사례가 다수 존재합니다.</w:t>
      </w:r>
    </w:p>
    <w:p>
      <w:pPr>
        <w:spacing w:after="120"/>
      </w:pPr>
    </w:p>
    <w:p>
      <w:pPr>
        <w:pStyle w:val="Heading2"/>
        <w:pBdr>
          <w:left w:val="thick" w:color="1A9E82" w:sz="12"/>
        </w:pBdr>
        <w:spacing w:after="80" w:before="280"/>
        <w:ind w:left="120"/>
      </w:pPr>
      <w:r>
        <w:rPr>
          <w:b/>
          <w:bCs/>
          <w:color w:val="0A2342"/>
          <w:sz w:val="26"/>
          <w:szCs w:val="26"/>
        </w:rPr>
        <w:t xml:space="preserve">4.3  GM의 인도 지원 서비스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4A6278"/>
          <w:sz w:val="20"/>
          <w:szCs w:val="20"/>
        </w:rPr>
        <w:t xml:space="preserve">인도 전 Document-to-Installation 정합성 검증 — 최종 설치 상태와 산출물 일치 여부 확인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4A6278"/>
          <w:sz w:val="20"/>
          <w:szCs w:val="20"/>
        </w:rPr>
        <w:t xml:space="preserve">SCARP 초안 작성 지원 — 건조 단계 자산 목록 기반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4A6278"/>
          <w:sz w:val="20"/>
          <w:szCs w:val="20"/>
        </w:rPr>
        <w:t xml:space="preserve">인도 체크리스트 제공 — 선주사가 인도 시 확인해야 할 항목 100% 포함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4A6278"/>
          <w:sz w:val="20"/>
          <w:szCs w:val="20"/>
        </w:rPr>
        <w:t xml:space="preserve">Configuration Backup 수집 및 정리 — 인도 당일 기준 설정값 패키지 구성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4A6278"/>
          <w:sz w:val="20"/>
          <w:szCs w:val="20"/>
        </w:rPr>
        <w:t xml:space="preserve">인도 후 연차 검사 준비 SOP 제공 — 선주사 운용팀 대상 교육 포함</w:t>
      </w:r>
    </w:p>
    <w:p>
      <w:pPr>
        <w:spacing w:after="200"/>
      </w:pPr>
    </w:p>
    <w:p>
      <w:pPr>
        <w:pBdr>
          <w:top w:val="single" w:color="8A9AAA" w:sz="4"/>
        </w:pBdr>
        <w:spacing w:before="200"/>
        <w:jc w:val="center"/>
      </w:pPr>
      <w:r>
        <w:rPr>
          <w:i/>
          <w:iCs/>
          <w:color w:val="8A9AAA"/>
          <w:sz w:val="16"/>
          <w:szCs w:val="16"/>
        </w:rPr>
        <w:t xml:space="preserve">GM Consulting  |  Maritime Cyber Security Division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  <w:lvl w:ilvl="1" w15:tentative="1">
      <w:start w:val="1"/>
      <w:numFmt w:val="bullet"/>
      <w:lvlText w:val="–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2026-07-29T07:28:01.641Z</dcterms:created>
  <dcterms:modified xsi:type="dcterms:W3CDTF">2026-07-29T07:28:01.641Z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