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69577" w14:textId="77777777" w:rsidR="00847B9B" w:rsidRPr="00CF0ADA" w:rsidRDefault="00036EC6">
      <w:pPr>
        <w:rPr>
          <w:b/>
          <w:lang w:val="en-GB"/>
        </w:rPr>
      </w:pPr>
      <w:r w:rsidRPr="00CF0ADA">
        <w:rPr>
          <w:b/>
          <w:lang w:val="en-GB"/>
        </w:rPr>
        <w:t>Communal violence and the legacy of precolonial states</w:t>
      </w:r>
    </w:p>
    <w:p w14:paraId="0F80B7DF" w14:textId="77777777" w:rsidR="00006E1B" w:rsidRDefault="00036EC6" w:rsidP="00006E1B">
      <w:pPr>
        <w:rPr>
          <w:lang w:val="en-GB"/>
        </w:rPr>
      </w:pPr>
      <w:r>
        <w:rPr>
          <w:lang w:val="en-GB"/>
        </w:rPr>
        <w:t>The level of violence in non-state societies is qualitatively different from that of within states</w:t>
      </w:r>
      <w:r w:rsidR="00006E1B">
        <w:rPr>
          <w:lang w:val="en-GB"/>
        </w:rPr>
        <w:t xml:space="preserve"> with rates of violence often being </w:t>
      </w:r>
      <w:r w:rsidR="008B27AF">
        <w:rPr>
          <w:lang w:val="en-GB"/>
        </w:rPr>
        <w:t xml:space="preserve">several orders </w:t>
      </w:r>
      <w:r w:rsidR="00006E1B">
        <w:rPr>
          <w:lang w:val="en-GB"/>
        </w:rPr>
        <w:t xml:space="preserve">magnitude </w:t>
      </w:r>
      <w:r w:rsidR="008B27AF">
        <w:rPr>
          <w:lang w:val="en-GB"/>
        </w:rPr>
        <w:t xml:space="preserve">higher </w:t>
      </w:r>
      <w:r w:rsidR="00006E1B">
        <w:rPr>
          <w:lang w:val="en-GB"/>
        </w:rPr>
        <w:t xml:space="preserve">in the </w:t>
      </w:r>
      <w:r w:rsidR="008B27AF">
        <w:rPr>
          <w:lang w:val="en-GB"/>
        </w:rPr>
        <w:t>former</w:t>
      </w:r>
      <w:r>
        <w:rPr>
          <w:lang w:val="en-GB"/>
        </w:rPr>
        <w:t xml:space="preserve"> (Pinker 2011++). Part of this </w:t>
      </w:r>
      <w:proofErr w:type="gramStart"/>
      <w:r>
        <w:rPr>
          <w:lang w:val="en-GB"/>
        </w:rPr>
        <w:t>can be explained</w:t>
      </w:r>
      <w:proofErr w:type="gramEnd"/>
      <w:r>
        <w:rPr>
          <w:lang w:val="en-GB"/>
        </w:rPr>
        <w:t xml:space="preserve"> by that one of states’ primary objectives and defining characteristics is to solve the security dilemma (Lake and Rotchild 1996; Hobbes Leviathan). </w:t>
      </w:r>
      <w:r w:rsidR="00006E1B">
        <w:rPr>
          <w:lang w:val="en-GB"/>
        </w:rPr>
        <w:t>Several states in contemporary sub-</w:t>
      </w:r>
      <w:r>
        <w:rPr>
          <w:lang w:val="en-GB"/>
        </w:rPr>
        <w:t>S</w:t>
      </w:r>
      <w:r w:rsidR="00006E1B">
        <w:rPr>
          <w:lang w:val="en-GB"/>
        </w:rPr>
        <w:t xml:space="preserve">aharan </w:t>
      </w:r>
      <w:r>
        <w:rPr>
          <w:lang w:val="en-GB"/>
        </w:rPr>
        <w:t>A</w:t>
      </w:r>
      <w:r w:rsidR="00006E1B">
        <w:rPr>
          <w:lang w:val="en-GB"/>
        </w:rPr>
        <w:t>frica</w:t>
      </w:r>
      <w:r>
        <w:rPr>
          <w:lang w:val="en-GB"/>
        </w:rPr>
        <w:t xml:space="preserve"> are judicially effective, but empirically less so </w:t>
      </w:r>
      <w:r w:rsidR="00006E1B">
        <w:rPr>
          <w:lang w:val="en-GB"/>
        </w:rPr>
        <w:t>(</w:t>
      </w:r>
      <w:proofErr w:type="spellStart"/>
      <w:r w:rsidR="00006E1B">
        <w:rPr>
          <w:lang w:val="en-GB"/>
        </w:rPr>
        <w:t>Jakcson</w:t>
      </w:r>
      <w:proofErr w:type="spellEnd"/>
      <w:r w:rsidR="00006E1B">
        <w:rPr>
          <w:lang w:val="en-GB"/>
        </w:rPr>
        <w:t xml:space="preserve"> and </w:t>
      </w:r>
      <w:proofErr w:type="spellStart"/>
      <w:r w:rsidR="00006E1B">
        <w:rPr>
          <w:lang w:val="en-GB"/>
        </w:rPr>
        <w:t>Rosberg</w:t>
      </w:r>
      <w:proofErr w:type="spellEnd"/>
      <w:r w:rsidR="00006E1B">
        <w:rPr>
          <w:lang w:val="en-GB"/>
        </w:rPr>
        <w:t xml:space="preserve"> 1982)</w:t>
      </w:r>
      <w:r>
        <w:rPr>
          <w:lang w:val="en-GB"/>
        </w:rPr>
        <w:t xml:space="preserve">, in particular when it comes to solving the security dilemma. This has resulted in pockets </w:t>
      </w:r>
      <w:r w:rsidR="00006E1B">
        <w:rPr>
          <w:lang w:val="en-GB"/>
        </w:rPr>
        <w:t xml:space="preserve">where </w:t>
      </w:r>
      <w:r w:rsidR="00006E1B" w:rsidRPr="008455EC">
        <w:rPr>
          <w:lang w:val="en-US"/>
        </w:rPr>
        <w:t>resolution of violent conflicts is frequently left to local traditional conflict</w:t>
      </w:r>
      <w:r w:rsidR="00006E1B">
        <w:rPr>
          <w:lang w:val="en-US"/>
        </w:rPr>
        <w:t xml:space="preserve"> resolution</w:t>
      </w:r>
      <w:r w:rsidR="00006E1B" w:rsidRPr="008455EC">
        <w:rPr>
          <w:lang w:val="en-US"/>
        </w:rPr>
        <w:t xml:space="preserve"> </w:t>
      </w:r>
      <w:proofErr w:type="gramStart"/>
      <w:r w:rsidR="00006E1B" w:rsidRPr="008455EC">
        <w:rPr>
          <w:lang w:val="en-US"/>
        </w:rPr>
        <w:t>mechanisms,</w:t>
      </w:r>
      <w:proofErr w:type="gramEnd"/>
      <w:r w:rsidR="00006E1B" w:rsidRPr="008455EC">
        <w:rPr>
          <w:lang w:val="en-US"/>
        </w:rPr>
        <w:t xml:space="preserve"> where there is no neutral arbiter to mediate or enforce peace should things get out of hand</w:t>
      </w:r>
      <w:r>
        <w:rPr>
          <w:lang w:val="en-GB"/>
        </w:rPr>
        <w:t xml:space="preserve">. </w:t>
      </w:r>
      <w:r w:rsidR="00006E1B" w:rsidRPr="008455EC">
        <w:rPr>
          <w:lang w:val="en-US"/>
        </w:rPr>
        <w:t>While most of the time being able to resolve conflicts relatively peacefully, these institutions rely on the very real threat of deadly violence in itself in order to be credible (Fearon and Laitin, 1996; Eaton, 2008</w:t>
      </w:r>
      <w:r w:rsidR="00CF0ADA">
        <w:rPr>
          <w:lang w:val="en-US"/>
        </w:rPr>
        <w:t>a</w:t>
      </w:r>
      <w:proofErr w:type="gramStart"/>
      <w:r w:rsidR="00CF0ADA">
        <w:rPr>
          <w:lang w:val="en-US"/>
        </w:rPr>
        <w:t>,b</w:t>
      </w:r>
      <w:proofErr w:type="gramEnd"/>
      <w:r w:rsidR="00006E1B" w:rsidRPr="008455EC">
        <w:rPr>
          <w:lang w:val="en-US"/>
        </w:rPr>
        <w:t>). In areas where feuding has remained an accepted way of resolving disputes between communities, large-scale inter-ethnic violence is more likely to occur (Witsenburg and Zaal, 2012) as the state is unable to ‘contain fear’ in an effective and unbiased manner (Lake and Rotchild, 1996).</w:t>
      </w:r>
    </w:p>
    <w:p w14:paraId="581A9DFB" w14:textId="77777777" w:rsidR="008B27AF" w:rsidRDefault="00036EC6" w:rsidP="00FE1F8E">
      <w:pPr>
        <w:rPr>
          <w:lang w:val="en-GB"/>
        </w:rPr>
      </w:pPr>
      <w:r>
        <w:rPr>
          <w:lang w:val="en-GB"/>
        </w:rPr>
        <w:t>There might be variations in this</w:t>
      </w:r>
      <w:r w:rsidR="00CF0ADA">
        <w:rPr>
          <w:lang w:val="en-GB"/>
        </w:rPr>
        <w:t xml:space="preserve"> semi-anarchic situation</w:t>
      </w:r>
      <w:r>
        <w:rPr>
          <w:lang w:val="en-GB"/>
        </w:rPr>
        <w:t>, however, as some</w:t>
      </w:r>
      <w:r w:rsidR="00BF46CA">
        <w:rPr>
          <w:lang w:val="en-GB"/>
        </w:rPr>
        <w:t xml:space="preserve"> areas </w:t>
      </w:r>
      <w:r>
        <w:rPr>
          <w:lang w:val="en-GB"/>
        </w:rPr>
        <w:t>have a long pre-colonial legacy of statehood which previously ha</w:t>
      </w:r>
      <w:r w:rsidR="008B27AF">
        <w:rPr>
          <w:lang w:val="en-GB"/>
        </w:rPr>
        <w:t>ve</w:t>
      </w:r>
      <w:r>
        <w:rPr>
          <w:lang w:val="en-GB"/>
        </w:rPr>
        <w:t xml:space="preserve"> addressed the security dilemma between ethnic groups</w:t>
      </w:r>
      <w:r w:rsidR="008B27AF">
        <w:rPr>
          <w:lang w:val="en-GB"/>
        </w:rPr>
        <w:t>. While i</w:t>
      </w:r>
      <w:r w:rsidR="008B27AF" w:rsidRPr="008B27AF">
        <w:rPr>
          <w:lang w:val="en-GB"/>
        </w:rPr>
        <w:t xml:space="preserve">t is an open question </w:t>
      </w:r>
      <w:r w:rsidR="008B27AF">
        <w:rPr>
          <w:lang w:val="en-GB"/>
        </w:rPr>
        <w:t xml:space="preserve">of </w:t>
      </w:r>
      <w:r w:rsidR="008B27AF" w:rsidRPr="008B27AF">
        <w:rPr>
          <w:lang w:val="en-GB"/>
        </w:rPr>
        <w:t xml:space="preserve">how effective </w:t>
      </w:r>
      <w:r w:rsidR="008B27AF">
        <w:rPr>
          <w:lang w:val="en-GB"/>
        </w:rPr>
        <w:t xml:space="preserve">such </w:t>
      </w:r>
      <w:r w:rsidR="008B27AF" w:rsidRPr="008B27AF">
        <w:rPr>
          <w:lang w:val="en-GB"/>
        </w:rPr>
        <w:t>institutions are in resolving disputes that have escalated into violence</w:t>
      </w:r>
      <w:r w:rsidR="008B27AF">
        <w:rPr>
          <w:lang w:val="en-GB"/>
        </w:rPr>
        <w:t xml:space="preserve"> between communities, they have proven effective in reducing the number of less serious disputes that could escalate, </w:t>
      </w:r>
      <w:r w:rsidR="008B27AF" w:rsidRPr="008B27AF">
        <w:rPr>
          <w:lang w:val="en-GB"/>
        </w:rPr>
        <w:t xml:space="preserve">thereby reducing the overall number of disputes that could escalate. </w:t>
      </w:r>
      <w:r w:rsidR="008B27AF">
        <w:rPr>
          <w:lang w:val="en-GB"/>
        </w:rPr>
        <w:t xml:space="preserve">In </w:t>
      </w:r>
      <w:proofErr w:type="gramStart"/>
      <w:r w:rsidR="008B27AF">
        <w:rPr>
          <w:lang w:val="en-GB"/>
        </w:rPr>
        <w:t>general</w:t>
      </w:r>
      <w:proofErr w:type="gramEnd"/>
      <w:r w:rsidR="008B27AF">
        <w:rPr>
          <w:lang w:val="en-GB"/>
        </w:rPr>
        <w:t xml:space="preserve"> therefore, where states existed prior to colonization, the risk of inter-communal violence should be </w:t>
      </w:r>
      <w:commentRangeStart w:id="0"/>
      <w:r w:rsidR="008B27AF">
        <w:rPr>
          <w:lang w:val="en-GB"/>
        </w:rPr>
        <w:t>lower</w:t>
      </w:r>
      <w:commentRangeEnd w:id="0"/>
      <w:r w:rsidR="008B27AF">
        <w:rPr>
          <w:rStyle w:val="Merknadsreferanse"/>
        </w:rPr>
        <w:commentReference w:id="0"/>
      </w:r>
      <w:r w:rsidR="008B27AF">
        <w:rPr>
          <w:lang w:val="en-GB"/>
        </w:rPr>
        <w:t>.</w:t>
      </w:r>
    </w:p>
    <w:p w14:paraId="102B9A53" w14:textId="77777777" w:rsidR="00FE1F8E" w:rsidRPr="00FE1F8E" w:rsidRDefault="008B27AF" w:rsidP="00FE1F8E">
      <w:pPr>
        <w:rPr>
          <w:lang w:val="en-GB"/>
        </w:rPr>
      </w:pPr>
      <w:r>
        <w:rPr>
          <w:lang w:val="en-GB"/>
        </w:rPr>
        <w:t xml:space="preserve">Pre-colonial state-structures can reduce conflict potential in at least </w:t>
      </w:r>
      <w:r w:rsidR="00CF0ADA">
        <w:rPr>
          <w:lang w:val="en-GB"/>
        </w:rPr>
        <w:t xml:space="preserve">three </w:t>
      </w:r>
      <w:r w:rsidR="00FE1F8E">
        <w:rPr>
          <w:lang w:val="en-GB"/>
        </w:rPr>
        <w:t xml:space="preserve">partly separate </w:t>
      </w:r>
      <w:r w:rsidR="00CF0ADA">
        <w:rPr>
          <w:lang w:val="en-GB"/>
        </w:rPr>
        <w:t>ways. First, in some instances [identify examples]</w:t>
      </w:r>
      <w:r w:rsidR="00036EC6">
        <w:rPr>
          <w:lang w:val="en-GB"/>
        </w:rPr>
        <w:t xml:space="preserve"> these institutions are present</w:t>
      </w:r>
      <w:r w:rsidR="00CF0ADA">
        <w:rPr>
          <w:lang w:val="en-GB"/>
        </w:rPr>
        <w:t xml:space="preserve"> in themselves to a greater or lesser extent in modern states, but operate outside formal state structures. This could represent an efficient way of resolving low-level disputes that have escalatory potential</w:t>
      </w:r>
      <w:commentRangeStart w:id="1"/>
      <w:r w:rsidR="00CF0ADA">
        <w:rPr>
          <w:lang w:val="en-GB"/>
        </w:rPr>
        <w:t>.</w:t>
      </w:r>
      <w:r w:rsidR="00FE1F8E">
        <w:rPr>
          <w:lang w:val="en-GB"/>
        </w:rPr>
        <w:t xml:space="preserve"> </w:t>
      </w:r>
      <w:r w:rsidR="00FE1F8E" w:rsidRPr="00FE1F8E">
        <w:rPr>
          <w:highlight w:val="yellow"/>
          <w:lang w:val="en-GB"/>
        </w:rPr>
        <w:t>Case studies from SSA indicate that if a resource dispute arises</w:t>
      </w:r>
      <w:r w:rsidR="00FE1F8E">
        <w:rPr>
          <w:highlight w:val="yellow"/>
          <w:lang w:val="en-GB"/>
        </w:rPr>
        <w:t>…</w:t>
      </w:r>
      <w:r w:rsidR="00FE1F8E" w:rsidRPr="00FE1F8E">
        <w:rPr>
          <w:highlight w:val="yellow"/>
          <w:lang w:val="en-GB"/>
        </w:rPr>
        <w:t>locals prefer to turn first to friends, neighbours and relatives, before resorting to traditional authorities like village elders or a chief (Turner et al., 2012, p. 749f)</w:t>
      </w:r>
      <w:r>
        <w:rPr>
          <w:rStyle w:val="Fotnotereferanse"/>
          <w:highlight w:val="yellow"/>
          <w:lang w:val="en-GB"/>
        </w:rPr>
        <w:footnoteReference w:id="1"/>
      </w:r>
      <w:r w:rsidR="00FE1F8E" w:rsidRPr="00FE1F8E">
        <w:rPr>
          <w:highlight w:val="yellow"/>
          <w:lang w:val="en-GB"/>
        </w:rPr>
        <w:t xml:space="preserve">. Formal institutions are at this stage often shunned. They </w:t>
      </w:r>
      <w:proofErr w:type="gramStart"/>
      <w:r w:rsidR="00FE1F8E" w:rsidRPr="00FE1F8E">
        <w:rPr>
          <w:highlight w:val="yellow"/>
          <w:lang w:val="en-GB"/>
        </w:rPr>
        <w:t>are seen</w:t>
      </w:r>
      <w:proofErr w:type="gramEnd"/>
      <w:r w:rsidR="00FE1F8E" w:rsidRPr="00FE1F8E">
        <w:rPr>
          <w:highlight w:val="yellow"/>
          <w:lang w:val="en-GB"/>
        </w:rPr>
        <w:t xml:space="preserve"> as less in touch with the local context, thus making inflexible judgements; being more costly and corrupt; and creating long-standing grievances between families.</w:t>
      </w:r>
      <w:commentRangeEnd w:id="1"/>
      <w:r w:rsidR="00FE1F8E">
        <w:rPr>
          <w:rStyle w:val="Merknadsreferanse"/>
        </w:rPr>
        <w:commentReference w:id="1"/>
      </w:r>
      <w:r w:rsidR="00FE1F8E">
        <w:rPr>
          <w:lang w:val="en-GB"/>
        </w:rPr>
        <w:t xml:space="preserve">  The presence of pre-colonial institutions today can therefore </w:t>
      </w:r>
      <w:r>
        <w:rPr>
          <w:lang w:val="en-GB"/>
        </w:rPr>
        <w:t xml:space="preserve">represent </w:t>
      </w:r>
      <w:r w:rsidR="00FE1F8E">
        <w:rPr>
          <w:lang w:val="en-GB"/>
        </w:rPr>
        <w:t>a more trusted venue for resolving disputes</w:t>
      </w:r>
      <w:r>
        <w:rPr>
          <w:lang w:val="en-GB"/>
        </w:rPr>
        <w:t>, in turn reducing the pool of incidences</w:t>
      </w:r>
      <w:r w:rsidR="00FE1F8E">
        <w:rPr>
          <w:lang w:val="en-GB"/>
        </w:rPr>
        <w:t xml:space="preserve"> with escalatory potential. </w:t>
      </w:r>
    </w:p>
    <w:p w14:paraId="73CC2A75" w14:textId="77777777" w:rsidR="00CF0ADA" w:rsidRPr="00FE1F8E" w:rsidRDefault="00BF46CA">
      <w:pPr>
        <w:rPr>
          <w:b/>
          <w:lang w:val="en-GB"/>
        </w:rPr>
      </w:pPr>
      <w:commentRangeStart w:id="2"/>
      <w:r>
        <w:rPr>
          <w:lang w:val="en-GB"/>
        </w:rPr>
        <w:t xml:space="preserve">Second, </w:t>
      </w:r>
      <w:r w:rsidR="008B27AF">
        <w:rPr>
          <w:lang w:val="en-GB"/>
        </w:rPr>
        <w:t xml:space="preserve">and partly in contrast to the above hypothesis, </w:t>
      </w:r>
      <w:r>
        <w:rPr>
          <w:lang w:val="en-GB"/>
        </w:rPr>
        <w:t>i</w:t>
      </w:r>
      <w:r w:rsidR="00CF0ADA">
        <w:rPr>
          <w:lang w:val="en-GB"/>
        </w:rPr>
        <w:t xml:space="preserve">n </w:t>
      </w:r>
      <w:r w:rsidR="008B27AF">
        <w:rPr>
          <w:lang w:val="en-GB"/>
        </w:rPr>
        <w:t>some settings</w:t>
      </w:r>
      <w:r w:rsidR="00FE1F8E">
        <w:rPr>
          <w:lang w:val="en-GB"/>
        </w:rPr>
        <w:t xml:space="preserve">, pre-colonial institutions </w:t>
      </w:r>
      <w:proofErr w:type="gramStart"/>
      <w:r w:rsidR="00FE1F8E">
        <w:rPr>
          <w:lang w:val="en-GB"/>
        </w:rPr>
        <w:t>have been</w:t>
      </w:r>
      <w:r w:rsidR="008B27AF">
        <w:rPr>
          <w:lang w:val="en-GB"/>
        </w:rPr>
        <w:t xml:space="preserve"> formally</w:t>
      </w:r>
      <w:r w:rsidR="00FE1F8E">
        <w:rPr>
          <w:lang w:val="en-GB"/>
        </w:rPr>
        <w:t xml:space="preserve"> </w:t>
      </w:r>
      <w:r w:rsidR="00CF0ADA">
        <w:rPr>
          <w:lang w:val="en-GB"/>
        </w:rPr>
        <w:t>integrated</w:t>
      </w:r>
      <w:proofErr w:type="gramEnd"/>
      <w:r w:rsidR="00CF0ADA">
        <w:rPr>
          <w:lang w:val="en-GB"/>
        </w:rPr>
        <w:t xml:space="preserve"> in</w:t>
      </w:r>
      <w:r w:rsidR="008B27AF">
        <w:rPr>
          <w:lang w:val="en-GB"/>
        </w:rPr>
        <w:t>to</w:t>
      </w:r>
      <w:r w:rsidR="00CF0ADA">
        <w:rPr>
          <w:lang w:val="en-GB"/>
        </w:rPr>
        <w:t xml:space="preserve"> the state, the prime example being the integration of chiefs and kingdoms in contemporary Ghana.</w:t>
      </w:r>
      <w:r w:rsidR="00FE1F8E" w:rsidRPr="00FE1F8E">
        <w:rPr>
          <w:lang w:val="en-GB"/>
        </w:rPr>
        <w:t xml:space="preserve"> </w:t>
      </w:r>
      <w:r w:rsidR="00FE1F8E">
        <w:rPr>
          <w:lang w:val="en-GB"/>
        </w:rPr>
        <w:t>S</w:t>
      </w:r>
      <w:r w:rsidR="00FE1F8E" w:rsidRPr="00FE1F8E">
        <w:rPr>
          <w:lang w:val="en-GB"/>
        </w:rPr>
        <w:t>tudies using Afrobarometer da</w:t>
      </w:r>
      <w:r w:rsidR="00FE1F8E">
        <w:rPr>
          <w:lang w:val="en-GB"/>
        </w:rPr>
        <w:t xml:space="preserve">ta </w:t>
      </w:r>
      <w:r w:rsidR="00FE1F8E" w:rsidRPr="00FE1F8E">
        <w:rPr>
          <w:lang w:val="en-GB"/>
        </w:rPr>
        <w:t>show tha</w:t>
      </w:r>
      <w:bookmarkStart w:id="3" w:name="_GoBack"/>
      <w:bookmarkEnd w:id="3"/>
      <w:r w:rsidR="00FE1F8E" w:rsidRPr="00FE1F8E">
        <w:rPr>
          <w:lang w:val="en-GB"/>
        </w:rPr>
        <w:t xml:space="preserve">t trust in traditional institutions translates into trust in modern institutions (Logan, </w:t>
      </w:r>
      <w:commentRangeStart w:id="4"/>
      <w:r w:rsidR="00FE1F8E" w:rsidRPr="00FE1F8E">
        <w:rPr>
          <w:lang w:val="en-GB"/>
        </w:rPr>
        <w:t>2009</w:t>
      </w:r>
      <w:commentRangeEnd w:id="4"/>
      <w:r w:rsidR="00BB2ACF">
        <w:rPr>
          <w:rStyle w:val="Merknadsreferanse"/>
        </w:rPr>
        <w:commentReference w:id="4"/>
      </w:r>
      <w:r w:rsidR="00FE1F8E" w:rsidRPr="00FE1F8E">
        <w:rPr>
          <w:lang w:val="en-GB"/>
        </w:rPr>
        <w:t>). This relation arguably also goes the other way, as informal institutions are more fragile if not recognized by the state (Ostrom, 1990).</w:t>
      </w:r>
      <w:r w:rsidR="00FE1F8E">
        <w:rPr>
          <w:lang w:val="en-GB"/>
        </w:rPr>
        <w:t xml:space="preserve"> As there is some notion of British rule effectively being more indirect (thus not only in name) than former French and Lusophone</w:t>
      </w:r>
      <w:r w:rsidR="00CF0ADA">
        <w:rPr>
          <w:lang w:val="en-GB"/>
        </w:rPr>
        <w:t xml:space="preserve"> </w:t>
      </w:r>
      <w:r w:rsidR="00FE1F8E">
        <w:rPr>
          <w:lang w:val="en-GB"/>
        </w:rPr>
        <w:t xml:space="preserve">colonies and therefore in the former pre-colonial states have been more effectively been incorporated in colonial and post-colonial states. </w:t>
      </w:r>
      <w:commentRangeEnd w:id="2"/>
      <w:r w:rsidR="00FE1F8E">
        <w:rPr>
          <w:rStyle w:val="Merknadsreferanse"/>
        </w:rPr>
        <w:commentReference w:id="2"/>
      </w:r>
    </w:p>
    <w:p w14:paraId="7A85AF34" w14:textId="77777777" w:rsidR="00006E1B" w:rsidRPr="00CF0ADA" w:rsidRDefault="00BF46CA" w:rsidP="00CF0ADA">
      <w:pPr>
        <w:rPr>
          <w:lang w:val="en-US"/>
        </w:rPr>
      </w:pPr>
      <w:r>
        <w:rPr>
          <w:lang w:val="en-GB"/>
        </w:rPr>
        <w:t>Third, pre-colonial states</w:t>
      </w:r>
      <w:r w:rsidR="00CF0ADA">
        <w:rPr>
          <w:lang w:val="en-GB"/>
        </w:rPr>
        <w:t xml:space="preserve"> have left an imprint in terms of norms of intergroup behaviour that is different from areas without a legacy of pre-colonial statehood</w:t>
      </w:r>
      <w:r w:rsidR="00036EC6">
        <w:rPr>
          <w:lang w:val="en-GB"/>
        </w:rPr>
        <w:t xml:space="preserve">. </w:t>
      </w:r>
      <w:r w:rsidR="00CF0ADA">
        <w:rPr>
          <w:lang w:val="en-GB"/>
        </w:rPr>
        <w:t xml:space="preserve">By having reduced the security dilemma in past times, pre-colonial states have often facilitated the co-habitation of different ethnic </w:t>
      </w:r>
      <w:r w:rsidR="00CF0ADA">
        <w:rPr>
          <w:lang w:val="en-GB"/>
        </w:rPr>
        <w:lastRenderedPageBreak/>
        <w:t xml:space="preserve">groups in the same </w:t>
      </w:r>
      <w:commentRangeStart w:id="5"/>
      <w:r w:rsidR="00CF0ADA">
        <w:rPr>
          <w:lang w:val="en-GB"/>
        </w:rPr>
        <w:t>settlements</w:t>
      </w:r>
      <w:commentRangeEnd w:id="5"/>
      <w:r>
        <w:rPr>
          <w:rStyle w:val="Merknadsreferanse"/>
        </w:rPr>
        <w:commentReference w:id="5"/>
      </w:r>
      <w:r w:rsidR="00CF0ADA">
        <w:rPr>
          <w:lang w:val="en-GB"/>
        </w:rPr>
        <w:t>, hence reducing the kind of segmentation often found in feuding societies</w:t>
      </w:r>
      <w:r w:rsidR="00FE1F8E">
        <w:rPr>
          <w:lang w:val="en-GB"/>
        </w:rPr>
        <w:t xml:space="preserve"> (see e.g. Diamond 2012)</w:t>
      </w:r>
      <w:r w:rsidR="00CF0ADA">
        <w:rPr>
          <w:lang w:val="en-GB"/>
        </w:rPr>
        <w:t>.</w:t>
      </w:r>
      <w:r w:rsidR="00CF0ADA">
        <w:rPr>
          <w:rStyle w:val="Fotnotereferanse"/>
          <w:lang w:val="en-GB"/>
        </w:rPr>
        <w:footnoteReference w:id="2"/>
      </w:r>
      <w:r w:rsidR="00CF0ADA">
        <w:rPr>
          <w:lang w:val="en-GB"/>
        </w:rPr>
        <w:t xml:space="preserve"> </w:t>
      </w:r>
      <w:r>
        <w:rPr>
          <w:lang w:val="en-GB"/>
        </w:rPr>
        <w:t>By this states can indirectly facilitate the development of genuine inter-ethnic interaction and subsequent inter-ethnic norms and institutions for resolving disputes as ‘</w:t>
      </w:r>
      <w:commentRangeStart w:id="6"/>
      <w:r w:rsidRPr="00BF46CA">
        <w:rPr>
          <w:highlight w:val="yellow"/>
          <w:lang w:val="en-US"/>
        </w:rPr>
        <w:t>communities</w:t>
      </w:r>
      <w:r w:rsidR="00CF0ADA" w:rsidRPr="00BF46CA">
        <w:rPr>
          <w:highlight w:val="yellow"/>
          <w:lang w:val="en-US"/>
        </w:rPr>
        <w:t xml:space="preserve"> living together over time often establish institutions for dispute settlement and conflict- resolution (Hagberg, 1998). When a new group enters an area, such inter-ethnic institutions are not present and have to </w:t>
      </w:r>
      <w:proofErr w:type="gramStart"/>
      <w:r w:rsidR="00CF0ADA" w:rsidRPr="00BF46CA">
        <w:rPr>
          <w:highlight w:val="yellow"/>
          <w:lang w:val="en-US"/>
        </w:rPr>
        <w:t>be built</w:t>
      </w:r>
      <w:proofErr w:type="gramEnd"/>
      <w:r w:rsidR="00CF0ADA" w:rsidRPr="00BF46CA">
        <w:rPr>
          <w:highlight w:val="yellow"/>
          <w:lang w:val="en-US"/>
        </w:rPr>
        <w:t xml:space="preserve">. Although this can be successful (Bogale and Korf, 2007; Adano </w:t>
      </w:r>
      <w:proofErr w:type="gramStart"/>
      <w:r w:rsidR="00CF0ADA" w:rsidRPr="00BF46CA">
        <w:rPr>
          <w:highlight w:val="yellow"/>
          <w:lang w:val="en-US"/>
        </w:rPr>
        <w:t>et</w:t>
      </w:r>
      <w:proofErr w:type="gramEnd"/>
      <w:r w:rsidR="00CF0ADA" w:rsidRPr="00BF46CA">
        <w:rPr>
          <w:highlight w:val="yellow"/>
          <w:lang w:val="en-US"/>
        </w:rPr>
        <w:t xml:space="preserve"> al.et al., 2012), it is far from certain. Newcomers might challenge local notions of property rights (Feyissa, 2011) or might have less secure claims to land (Turner et al.et al., 2012, p</w:t>
      </w:r>
      <w:proofErr w:type="gramStart"/>
      <w:r w:rsidR="00CF0ADA" w:rsidRPr="00BF46CA">
        <w:rPr>
          <w:highlight w:val="yellow"/>
          <w:lang w:val="en-US"/>
        </w:rPr>
        <w:t>. :</w:t>
      </w:r>
      <w:proofErr w:type="gramEnd"/>
      <w:r w:rsidR="00CF0ADA" w:rsidRPr="00BF46CA">
        <w:rPr>
          <w:highlight w:val="yellow"/>
          <w:lang w:val="en-US"/>
        </w:rPr>
        <w:t>202). In a comparative study of eleven 11 cases of inter-group conflict in arid or semi-arid areas of SSA, Seter et al.et al. (2017) find that in-migration of new ethnic groups without previous relations can create problems over renewable resources</w:t>
      </w:r>
      <w:r w:rsidRPr="00BF46CA">
        <w:rPr>
          <w:highlight w:val="yellow"/>
          <w:lang w:val="en-US"/>
        </w:rPr>
        <w:t xml:space="preserve"> as they have</w:t>
      </w:r>
      <w:r w:rsidR="00CF0ADA" w:rsidRPr="00BF46CA">
        <w:rPr>
          <w:highlight w:val="yellow"/>
          <w:lang w:val="en-US"/>
        </w:rPr>
        <w:t xml:space="preserve"> little previous experience with resource sharing arrangements and conflict management. </w:t>
      </w:r>
      <w:commentRangeStart w:id="7"/>
      <w:proofErr w:type="gramStart"/>
      <w:r w:rsidR="00CF0ADA" w:rsidRPr="00BF46CA">
        <w:rPr>
          <w:highlight w:val="yellow"/>
          <w:lang w:val="en-US"/>
        </w:rPr>
        <w:t xml:space="preserve">Contrasting the peaceful, long-standing co-existence between pastoralist Fulbe and Mossi farmers in the Central Plateau of Burkina Faso </w:t>
      </w:r>
      <w:commentRangeEnd w:id="7"/>
      <w:r w:rsidR="00FE1F8E">
        <w:rPr>
          <w:rStyle w:val="Merknadsreferanse"/>
        </w:rPr>
        <w:commentReference w:id="7"/>
      </w:r>
      <w:r w:rsidR="00CF0ADA" w:rsidRPr="00BF46CA">
        <w:rPr>
          <w:highlight w:val="yellow"/>
          <w:lang w:val="en-US"/>
        </w:rPr>
        <w:t>with the recent in-migration of Fulbe into northern Côte d’Ivoire causing intense violence, Breusers et al.et al. (1998, p. :375) suggest that ‘“…the extent to which the ethnic groups involved have had a “‘common”’ history is probably of the utmost importance’” for how conflicts are resolved.</w:t>
      </w:r>
      <w:r>
        <w:rPr>
          <w:lang w:val="en-US"/>
        </w:rPr>
        <w:t>’</w:t>
      </w:r>
      <w:commentRangeEnd w:id="6"/>
      <w:r>
        <w:rPr>
          <w:rStyle w:val="Merknadsreferanse"/>
        </w:rPr>
        <w:commentReference w:id="6"/>
      </w:r>
      <w:proofErr w:type="gramEnd"/>
      <w:r w:rsidR="008B27AF">
        <w:rPr>
          <w:lang w:val="en-US"/>
        </w:rPr>
        <w:t xml:space="preserve"> </w:t>
      </w:r>
    </w:p>
    <w:p w14:paraId="759F62E3" w14:textId="77777777" w:rsidR="00006E1B" w:rsidRDefault="00006E1B" w:rsidP="00006E1B">
      <w:pPr>
        <w:rPr>
          <w:lang w:val="en-US"/>
        </w:rPr>
      </w:pPr>
      <w:r w:rsidRPr="00006E1B">
        <w:rPr>
          <w:lang w:val="en-US"/>
        </w:rPr>
        <w:t xml:space="preserve">Institutions </w:t>
      </w:r>
      <w:proofErr w:type="gramStart"/>
      <w:r w:rsidRPr="00006E1B">
        <w:rPr>
          <w:lang w:val="en-US"/>
        </w:rPr>
        <w:t>can be defined</w:t>
      </w:r>
      <w:proofErr w:type="gramEnd"/>
      <w:r w:rsidRPr="00006E1B">
        <w:rPr>
          <w:lang w:val="en-US"/>
        </w:rPr>
        <w:t xml:space="preserve"> as ‘stable, valued, recurring patterns of behavior’ (Huntington, 1965, p. 394). A central distinction can be drawn between formal (state-made) and informal (made by non-state actors) institutions.</w:t>
      </w:r>
    </w:p>
    <w:p w14:paraId="7EA1882F" w14:textId="01FB3CFB" w:rsidR="00006E1B" w:rsidRPr="008B27AF" w:rsidRDefault="00483B1C" w:rsidP="008B27AF">
      <w:pPr>
        <w:rPr>
          <w:lang w:val="en-GB"/>
        </w:rPr>
      </w:pPr>
      <w:r>
        <w:rPr>
          <w:lang w:val="en-GB"/>
        </w:rPr>
        <w:t xml:space="preserve">Another selling point: </w:t>
      </w:r>
      <w:r w:rsidR="00BF46CA" w:rsidRPr="008B27AF">
        <w:rPr>
          <w:lang w:val="en-GB"/>
        </w:rPr>
        <w:t>Theories of interethnic cooperation and violence are very often not involving the state directly (Lake and Rotchild 1996; Fearon and Laitin 1996), and to test such mechanisms one should therefore test them on data on inter-group violence.</w:t>
      </w:r>
      <w:r>
        <w:rPr>
          <w:lang w:val="en-GB"/>
        </w:rPr>
        <w:t xml:space="preserve"> Hitherto these theories </w:t>
      </w:r>
      <w:proofErr w:type="gramStart"/>
      <w:r>
        <w:rPr>
          <w:lang w:val="en-GB"/>
        </w:rPr>
        <w:t>have mostly been tested</w:t>
      </w:r>
      <w:proofErr w:type="gramEnd"/>
      <w:r>
        <w:rPr>
          <w:lang w:val="en-GB"/>
        </w:rPr>
        <w:t xml:space="preserve"> on data whereby insurgents challenge the state.</w:t>
      </w:r>
    </w:p>
    <w:sectPr w:rsidR="00006E1B" w:rsidRPr="008B27A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le Magnus Theisen" w:date="2019-11-29T15:11:00Z" w:initials="OMT">
    <w:p w14:paraId="567EEA3A" w14:textId="77777777" w:rsidR="008B27AF" w:rsidRPr="00FE1F8E" w:rsidRDefault="008B27AF" w:rsidP="008B27AF">
      <w:pPr>
        <w:pStyle w:val="Merknadstekst"/>
        <w:rPr>
          <w:lang w:val="en-GB"/>
        </w:rPr>
      </w:pPr>
      <w:r>
        <w:rPr>
          <w:rStyle w:val="Merknadsreferanse"/>
        </w:rPr>
        <w:annotationRef/>
      </w:r>
      <w:r>
        <w:rPr>
          <w:rStyle w:val="Merknadsreferanse"/>
        </w:rPr>
        <w:annotationRef/>
      </w:r>
      <w:r w:rsidRPr="00FE1F8E">
        <w:rPr>
          <w:lang w:val="en-GB"/>
        </w:rPr>
        <w:t xml:space="preserve">Overall </w:t>
      </w:r>
      <w:proofErr w:type="spellStart"/>
      <w:r w:rsidRPr="00FE1F8E">
        <w:rPr>
          <w:lang w:val="en-GB"/>
        </w:rPr>
        <w:t>hyp</w:t>
      </w:r>
      <w:proofErr w:type="spellEnd"/>
      <w:r w:rsidRPr="00FE1F8E">
        <w:rPr>
          <w:lang w:val="en-GB"/>
        </w:rPr>
        <w:t>: pre-colonial states reduce the risk of non-state conflicts.</w:t>
      </w:r>
    </w:p>
    <w:p w14:paraId="5DEC9DFE" w14:textId="77777777" w:rsidR="008B27AF" w:rsidRPr="008B27AF" w:rsidRDefault="008B27AF">
      <w:pPr>
        <w:pStyle w:val="Merknadstekst"/>
        <w:rPr>
          <w:lang w:val="en-GB"/>
        </w:rPr>
      </w:pPr>
    </w:p>
  </w:comment>
  <w:comment w:id="1" w:author="Ole Magnus Theisen" w:date="2019-11-29T14:56:00Z" w:initials="OMT">
    <w:p w14:paraId="5975FAD4" w14:textId="77777777" w:rsidR="00FE1F8E" w:rsidRPr="00BB2ACF" w:rsidRDefault="00FE1F8E">
      <w:pPr>
        <w:pStyle w:val="Merknadstekst"/>
      </w:pPr>
      <w:r>
        <w:rPr>
          <w:rStyle w:val="Merknadsreferanse"/>
        </w:rPr>
        <w:annotationRef/>
      </w:r>
      <w:r>
        <w:rPr>
          <w:rStyle w:val="Merknadsreferanse"/>
        </w:rPr>
        <w:annotationRef/>
      </w:r>
      <w:r w:rsidRPr="00BB2ACF">
        <w:t>Source Smidt &amp; Theisen (2018).</w:t>
      </w:r>
    </w:p>
  </w:comment>
  <w:comment w:id="4" w:author="Ole Magnus Theisen" w:date="2019-11-29T15:17:00Z" w:initials="OMT">
    <w:p w14:paraId="70CC15CD" w14:textId="7757178C" w:rsidR="00BB2ACF" w:rsidRDefault="00BB2ACF">
      <w:pPr>
        <w:pStyle w:val="Merknadstekst"/>
      </w:pPr>
      <w:r>
        <w:rPr>
          <w:rStyle w:val="Merknadsreferanse"/>
        </w:rPr>
        <w:annotationRef/>
      </w:r>
      <w:r>
        <w:t xml:space="preserve">Her må vi passe på at vi ikke </w:t>
      </w:r>
      <w:proofErr w:type="spellStart"/>
      <w:r>
        <w:t>kanibaliserer</w:t>
      </w:r>
      <w:proofErr w:type="spellEnd"/>
      <w:r>
        <w:t xml:space="preserve"> på et </w:t>
      </w:r>
      <w:proofErr w:type="spellStart"/>
      <w:r>
        <w:t>paper</w:t>
      </w:r>
      <w:proofErr w:type="spellEnd"/>
      <w:r>
        <w:t xml:space="preserve"> Karin og jeg tenker å skrive om interetnisk tillit basert på Afrobarometer data.</w:t>
      </w:r>
    </w:p>
  </w:comment>
  <w:comment w:id="2" w:author="Ole Magnus Theisen" w:date="2019-11-29T15:02:00Z" w:initials="OMT">
    <w:p w14:paraId="1E2483E4" w14:textId="77777777" w:rsidR="00FE1F8E" w:rsidRPr="00FE1F8E" w:rsidRDefault="00FE1F8E">
      <w:pPr>
        <w:pStyle w:val="Merknadstekst"/>
        <w:rPr>
          <w:lang w:val="en-GB"/>
        </w:rPr>
      </w:pPr>
      <w:r>
        <w:rPr>
          <w:rStyle w:val="Merknadsreferanse"/>
        </w:rPr>
        <w:annotationRef/>
      </w:r>
      <w:r w:rsidRPr="00FE1F8E">
        <w:rPr>
          <w:lang w:val="en-GB"/>
        </w:rPr>
        <w:t xml:space="preserve">Pot </w:t>
      </w:r>
      <w:proofErr w:type="spellStart"/>
      <w:r w:rsidRPr="00FE1F8E">
        <w:rPr>
          <w:lang w:val="en-GB"/>
        </w:rPr>
        <w:t>hyp</w:t>
      </w:r>
      <w:proofErr w:type="spellEnd"/>
      <w:r w:rsidRPr="00FE1F8E">
        <w:rPr>
          <w:lang w:val="en-GB"/>
        </w:rPr>
        <w:t xml:space="preserve">: The </w:t>
      </w:r>
      <w:r>
        <w:rPr>
          <w:lang w:val="en-GB"/>
        </w:rPr>
        <w:t>peace-inducing effect of pre-colonial states is stronger in ex-British colonies than in other ex-colonies.</w:t>
      </w:r>
    </w:p>
  </w:comment>
  <w:comment w:id="5" w:author="Ole Magnus Theisen" w:date="2019-11-29T14:51:00Z" w:initials="OMT">
    <w:p w14:paraId="79E47261" w14:textId="77777777" w:rsidR="00BF46CA" w:rsidRDefault="00BF46CA">
      <w:pPr>
        <w:pStyle w:val="Merknadstekst"/>
        <w:rPr>
          <w:lang w:val="en-GB"/>
        </w:rPr>
      </w:pPr>
      <w:r>
        <w:rPr>
          <w:rStyle w:val="Merknadsreferanse"/>
        </w:rPr>
        <w:annotationRef/>
      </w:r>
      <w:r w:rsidRPr="00BF46CA">
        <w:rPr>
          <w:lang w:val="en-GB"/>
        </w:rPr>
        <w:t>Potential hypothesis we can test using the SIDE-data: H1:</w:t>
      </w:r>
      <w:r>
        <w:rPr>
          <w:lang w:val="en-GB"/>
        </w:rPr>
        <w:t xml:space="preserve"> In areas with pre-colonial states there is less segmented ethnic settlement patterns.</w:t>
      </w:r>
    </w:p>
    <w:p w14:paraId="4C04E80D" w14:textId="77777777" w:rsidR="00BF46CA" w:rsidRPr="00BF46CA" w:rsidRDefault="00BF46CA">
      <w:pPr>
        <w:pStyle w:val="Merknadstekst"/>
        <w:rPr>
          <w:lang w:val="en-GB"/>
        </w:rPr>
      </w:pPr>
      <w:proofErr w:type="spellStart"/>
      <w:r>
        <w:rPr>
          <w:lang w:val="en-GB"/>
        </w:rPr>
        <w:t>Sub-hyp</w:t>
      </w:r>
      <w:proofErr w:type="gramStart"/>
      <w:r>
        <w:rPr>
          <w:lang w:val="en-GB"/>
        </w:rPr>
        <w:t>:duration</w:t>
      </w:r>
      <w:proofErr w:type="spellEnd"/>
      <w:proofErr w:type="gramEnd"/>
      <w:r>
        <w:rPr>
          <w:lang w:val="en-GB"/>
        </w:rPr>
        <w:t xml:space="preserve"> of colonial and pre-colonial states reduces segmentation.</w:t>
      </w:r>
    </w:p>
  </w:comment>
  <w:comment w:id="7" w:author="Ole Magnus Theisen" w:date="2019-11-29T15:06:00Z" w:initials="OMT">
    <w:p w14:paraId="73471B74" w14:textId="77777777" w:rsidR="00FE1F8E" w:rsidRPr="00FE1F8E" w:rsidRDefault="00FE1F8E">
      <w:pPr>
        <w:pStyle w:val="Merknadstekst"/>
        <w:rPr>
          <w:lang w:val="en-GB"/>
        </w:rPr>
      </w:pPr>
      <w:r>
        <w:rPr>
          <w:rStyle w:val="Merknadsreferanse"/>
        </w:rPr>
        <w:annotationRef/>
      </w:r>
      <w:r w:rsidRPr="00FE1F8E">
        <w:rPr>
          <w:lang w:val="en-GB"/>
        </w:rPr>
        <w:t xml:space="preserve">I think there were pre-colonial state(s) in the </w:t>
      </w:r>
      <w:r>
        <w:rPr>
          <w:lang w:val="en-GB"/>
        </w:rPr>
        <w:t xml:space="preserve">central </w:t>
      </w:r>
      <w:proofErr w:type="spellStart"/>
      <w:r>
        <w:rPr>
          <w:lang w:val="en-GB"/>
        </w:rPr>
        <w:t>plateu</w:t>
      </w:r>
      <w:proofErr w:type="spellEnd"/>
      <w:r>
        <w:rPr>
          <w:lang w:val="en-GB"/>
        </w:rPr>
        <w:t xml:space="preserve"> of BFO, perhaps the </w:t>
      </w:r>
      <w:proofErr w:type="spellStart"/>
      <w:r>
        <w:rPr>
          <w:lang w:val="en-GB"/>
        </w:rPr>
        <w:t>Sokoto</w:t>
      </w:r>
      <w:proofErr w:type="spellEnd"/>
      <w:r>
        <w:rPr>
          <w:lang w:val="en-GB"/>
        </w:rPr>
        <w:t xml:space="preserve"> caliphate?</w:t>
      </w:r>
    </w:p>
  </w:comment>
  <w:comment w:id="6" w:author="Ole Magnus Theisen" w:date="2019-11-29T14:54:00Z" w:initials="OMT">
    <w:p w14:paraId="09F51E17" w14:textId="77777777" w:rsidR="00BF46CA" w:rsidRDefault="00BF46CA">
      <w:pPr>
        <w:pStyle w:val="Merknadstekst"/>
      </w:pPr>
      <w:r>
        <w:rPr>
          <w:rStyle w:val="Merknadsreferanse"/>
        </w:rPr>
        <w:annotationRef/>
      </w:r>
      <w:r>
        <w:t>Source Smidt &amp; Theisen (2018).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EC9DFE" w15:done="0"/>
  <w15:commentEx w15:paraId="5975FAD4" w15:done="0"/>
  <w15:commentEx w15:paraId="70CC15CD" w15:done="0"/>
  <w15:commentEx w15:paraId="1E2483E4" w15:done="0"/>
  <w15:commentEx w15:paraId="4C04E80D" w15:done="0"/>
  <w15:commentEx w15:paraId="73471B74" w15:done="0"/>
  <w15:commentEx w15:paraId="09F51E1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6A40B" w14:textId="77777777" w:rsidR="00CF0ADA" w:rsidRDefault="00CF0ADA" w:rsidP="00CF0ADA">
      <w:pPr>
        <w:spacing w:after="0" w:line="240" w:lineRule="auto"/>
      </w:pPr>
      <w:r>
        <w:separator/>
      </w:r>
    </w:p>
  </w:endnote>
  <w:endnote w:type="continuationSeparator" w:id="0">
    <w:p w14:paraId="7F3DF3CB" w14:textId="77777777" w:rsidR="00CF0ADA" w:rsidRDefault="00CF0ADA" w:rsidP="00CF0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3B4D0" w14:textId="77777777" w:rsidR="00CF0ADA" w:rsidRDefault="00CF0ADA" w:rsidP="00CF0ADA">
      <w:pPr>
        <w:spacing w:after="0" w:line="240" w:lineRule="auto"/>
      </w:pPr>
      <w:r>
        <w:separator/>
      </w:r>
    </w:p>
  </w:footnote>
  <w:footnote w:type="continuationSeparator" w:id="0">
    <w:p w14:paraId="5E7C6A1D" w14:textId="77777777" w:rsidR="00CF0ADA" w:rsidRDefault="00CF0ADA" w:rsidP="00CF0ADA">
      <w:pPr>
        <w:spacing w:after="0" w:line="240" w:lineRule="auto"/>
      </w:pPr>
      <w:r>
        <w:continuationSeparator/>
      </w:r>
    </w:p>
  </w:footnote>
  <w:footnote w:id="1">
    <w:p w14:paraId="4D254433" w14:textId="77777777" w:rsidR="008B27AF" w:rsidRPr="008B27AF" w:rsidRDefault="008B27AF">
      <w:pPr>
        <w:pStyle w:val="Fotnotetekst"/>
        <w:rPr>
          <w:lang w:val="en-GB"/>
        </w:rPr>
      </w:pPr>
      <w:r>
        <w:rPr>
          <w:rStyle w:val="Fotnotereferanse"/>
        </w:rPr>
        <w:footnoteRef/>
      </w:r>
      <w:r w:rsidRPr="008B27AF">
        <w:rPr>
          <w:lang w:val="en-GB"/>
        </w:rPr>
        <w:t xml:space="preserve"> </w:t>
      </w:r>
      <w:r>
        <w:rPr>
          <w:lang w:val="en-GB"/>
        </w:rPr>
        <w:t>Ref to author in-depth interviews in Northern Tanzania fall 2016 and check survey data from ABS.</w:t>
      </w:r>
    </w:p>
  </w:footnote>
  <w:footnote w:id="2">
    <w:p w14:paraId="29B641F4" w14:textId="77777777" w:rsidR="00CF0ADA" w:rsidRPr="00CF0ADA" w:rsidRDefault="00CF0ADA">
      <w:pPr>
        <w:pStyle w:val="Fotnotetekst"/>
        <w:rPr>
          <w:lang w:val="en-GB"/>
        </w:rPr>
      </w:pPr>
      <w:r>
        <w:rPr>
          <w:rStyle w:val="Fotnotereferanse"/>
        </w:rPr>
        <w:footnoteRef/>
      </w:r>
      <w:r w:rsidRPr="00CF0ADA">
        <w:rPr>
          <w:lang w:val="en-GB"/>
        </w:rPr>
        <w:t xml:space="preserve"> Note </w:t>
      </w:r>
      <w:r w:rsidR="00FE1F8E" w:rsidRPr="00CF0ADA">
        <w:rPr>
          <w:lang w:val="en-GB"/>
        </w:rPr>
        <w:t>parallel</w:t>
      </w:r>
      <w:r w:rsidRPr="00CF0ADA">
        <w:rPr>
          <w:lang w:val="en-GB"/>
        </w:rPr>
        <w:t xml:space="preserve"> to the bonding vs bridging debate within political </w:t>
      </w:r>
      <w:r w:rsidR="00FE1F8E" w:rsidRPr="00CF0ADA">
        <w:rPr>
          <w:lang w:val="en-GB"/>
        </w:rPr>
        <w:t>behaviour</w:t>
      </w:r>
      <w:r w:rsidRPr="00CF0ADA">
        <w:rPr>
          <w:lang w:val="en-GB"/>
        </w:rPr>
        <w:t xml:space="preserve"> literature focusing on </w:t>
      </w:r>
      <w:r>
        <w:rPr>
          <w:lang w:val="en-GB"/>
        </w:rPr>
        <w:t>increasing polarization in the West. E.g. Putnam.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04084"/>
    <w:multiLevelType w:val="hybridMultilevel"/>
    <w:tmpl w:val="2DC67E96"/>
    <w:lvl w:ilvl="0" w:tplc="A2DE918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le Magnus Theisen">
    <w15:presenceInfo w15:providerId="AD" w15:userId="S-1-5-21-3959417778-1711865379-3952174976-14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EC6"/>
    <w:rsid w:val="00006E1B"/>
    <w:rsid w:val="00036EC6"/>
    <w:rsid w:val="00483B1C"/>
    <w:rsid w:val="007463E2"/>
    <w:rsid w:val="008B27AF"/>
    <w:rsid w:val="00BB2ACF"/>
    <w:rsid w:val="00BF46CA"/>
    <w:rsid w:val="00C164EB"/>
    <w:rsid w:val="00CF0ADA"/>
    <w:rsid w:val="00FE1F8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A92"/>
  <w15:chartTrackingRefBased/>
  <w15:docId w15:val="{4386AAF8-6CD7-4BA1-B9D1-F60ED6ED3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06E1B"/>
    <w:pPr>
      <w:ind w:left="720"/>
      <w:contextualSpacing/>
    </w:pPr>
  </w:style>
  <w:style w:type="paragraph" w:styleId="Fotnotetekst">
    <w:name w:val="footnote text"/>
    <w:basedOn w:val="Normal"/>
    <w:link w:val="FotnotetekstTegn"/>
    <w:uiPriority w:val="99"/>
    <w:semiHidden/>
    <w:unhideWhenUsed/>
    <w:rsid w:val="00CF0ADA"/>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CF0ADA"/>
    <w:rPr>
      <w:sz w:val="20"/>
      <w:szCs w:val="20"/>
    </w:rPr>
  </w:style>
  <w:style w:type="character" w:styleId="Fotnotereferanse">
    <w:name w:val="footnote reference"/>
    <w:basedOn w:val="Standardskriftforavsnitt"/>
    <w:uiPriority w:val="99"/>
    <w:semiHidden/>
    <w:unhideWhenUsed/>
    <w:rsid w:val="00CF0ADA"/>
    <w:rPr>
      <w:vertAlign w:val="superscript"/>
    </w:rPr>
  </w:style>
  <w:style w:type="character" w:styleId="Merknadsreferanse">
    <w:name w:val="annotation reference"/>
    <w:basedOn w:val="Standardskriftforavsnitt"/>
    <w:uiPriority w:val="99"/>
    <w:semiHidden/>
    <w:unhideWhenUsed/>
    <w:rsid w:val="00BF46CA"/>
    <w:rPr>
      <w:sz w:val="16"/>
      <w:szCs w:val="16"/>
    </w:rPr>
  </w:style>
  <w:style w:type="paragraph" w:styleId="Merknadstekst">
    <w:name w:val="annotation text"/>
    <w:basedOn w:val="Normal"/>
    <w:link w:val="MerknadstekstTegn"/>
    <w:uiPriority w:val="99"/>
    <w:semiHidden/>
    <w:unhideWhenUsed/>
    <w:rsid w:val="00BF46CA"/>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F46CA"/>
    <w:rPr>
      <w:sz w:val="20"/>
      <w:szCs w:val="20"/>
    </w:rPr>
  </w:style>
  <w:style w:type="paragraph" w:styleId="Kommentaremne">
    <w:name w:val="annotation subject"/>
    <w:basedOn w:val="Merknadstekst"/>
    <w:next w:val="Merknadstekst"/>
    <w:link w:val="KommentaremneTegn"/>
    <w:uiPriority w:val="99"/>
    <w:semiHidden/>
    <w:unhideWhenUsed/>
    <w:rsid w:val="00BF46CA"/>
    <w:rPr>
      <w:b/>
      <w:bCs/>
    </w:rPr>
  </w:style>
  <w:style w:type="character" w:customStyle="1" w:styleId="KommentaremneTegn">
    <w:name w:val="Kommentaremne Tegn"/>
    <w:basedOn w:val="MerknadstekstTegn"/>
    <w:link w:val="Kommentaremne"/>
    <w:uiPriority w:val="99"/>
    <w:semiHidden/>
    <w:rsid w:val="00BF46CA"/>
    <w:rPr>
      <w:b/>
      <w:bCs/>
      <w:sz w:val="20"/>
      <w:szCs w:val="20"/>
    </w:rPr>
  </w:style>
  <w:style w:type="paragraph" w:styleId="Bobletekst">
    <w:name w:val="Balloon Text"/>
    <w:basedOn w:val="Normal"/>
    <w:link w:val="BobletekstTegn"/>
    <w:uiPriority w:val="99"/>
    <w:semiHidden/>
    <w:unhideWhenUsed/>
    <w:rsid w:val="00BF46CA"/>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F46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13684-E131-43EA-BF75-42BD7F49E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994</Words>
  <Characters>5272</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NTNU</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Magnus Theisen</dc:creator>
  <cp:keywords/>
  <dc:description/>
  <cp:lastModifiedBy>Ole Magnus Theisen</cp:lastModifiedBy>
  <cp:revision>4</cp:revision>
  <dcterms:created xsi:type="dcterms:W3CDTF">2019-11-29T13:14:00Z</dcterms:created>
  <dcterms:modified xsi:type="dcterms:W3CDTF">2019-11-29T14:18:00Z</dcterms:modified>
</cp:coreProperties>
</file>