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GB"/>
        </w:rPr>
      </w:pPr>
      <w:r>
        <w:rPr>
          <w:lang w:val="en-GB"/>
        </w:rPr>
        <w:t>Communal violence and the legacy of precolonial states</w:t>
      </w:r>
    </w:p>
    <w:p>
      <w:pPr>
        <w:pStyle w:val="TextBody"/>
        <w:rPr>
          <w:lang w:val="en-GB"/>
        </w:rPr>
      </w:pPr>
      <w:r>
        <w:rPr>
          <w:lang w:val="en-GB"/>
        </w:rPr>
        <w:t xml:space="preserve">The level of violence in non-state societies is qualitatively different from that within states with rates of violence often being several orders magnitude higher in the former (Pinker 2011++; LeBlanc 2003; Diamond </w:t>
      </w:r>
      <w:commentRangeStart w:id="0"/>
      <w:r>
        <w:rPr>
          <w:lang w:val="en-GB"/>
        </w:rPr>
        <w:t>2012</w:t>
      </w:r>
      <w:r>
        <w:rPr>
          <w:lang w:val="en-GB"/>
        </w:rPr>
      </w:r>
      <w:commentRangeEnd w:id="0"/>
      <w:r>
        <w:commentReference w:id="0"/>
      </w:r>
      <w:r>
        <w:rPr>
          <w:lang w:val="en-GB"/>
        </w:rPr>
        <w:t xml:space="preserve">). Part of this can be explained by that states’ primary objective and defining characteristic is to solve the security dilemma (Lake and Rotchild 1996; Hobbes Leviathan). Several states in contemporary sub-Saharan Africa are judicially effective, but empirically less so (Jackson and Rosberg 1982). This has resulted in pockets where </w:t>
      </w:r>
      <w:r>
        <w:rPr>
          <w:lang w:val="en-US"/>
        </w:rPr>
        <w:t>resolution of violent conflicts is mainly left to local traditional mechanisms without a neutral arbiter to mediate or enforce peace should things get out of hand</w:t>
      </w:r>
      <w:r>
        <w:rPr>
          <w:lang w:val="en-GB"/>
        </w:rPr>
        <w:t xml:space="preserve">. There might be important variations in this semi-anarchic situation, however, as some areas have a long pre-colonial legacy of statehood which previously addressed the security dilemma between ethnic groups. Some claim that the existence of precolonial states has caused legal ambiguities that are important causes of intergroup violence </w:t>
      </w:r>
      <w:r>
        <w:fldChar w:fldCharType="begin"/>
      </w:r>
      <w:r>
        <w:rPr>
          <w:lang w:val="en-GB"/>
        </w:rPr>
        <w:instrText>ADDIN ZOTERO_ITEM CSL_CITATION {"citationID":"54bDzOdw","properties":{"formattedCitation":"(Eck, 2014)","plainCitation":"(Eck, 2014)","noteIndex":0},"citationItems":[{"id":887,"uris":["http://zotero.org/groups/1795726/items/CXWJIXPV"],"uri":["http://zotero.org/groups/1795726/items/CXWJIXPV"],"itemData":{"id":887,"type":"article-journal","abstract":"Common notions about the source of communal land conflict in Africa have long explained it as growing out of conditions of environmental scarcity. This article argues instead that the institutional structure of the legal system is central to understanding which countries are prone to experience communal land conflict. When competing customary and modern jurisdictions coexist in countries inhabited by mixed identity groups, the conflicting sources of legal authority lead to insecurity about which source of law will prevail. Because the source of law is contested, conflict parties cannot trust the legal system to predictably adjudicate disputes, which encourages the use of extrajudicial vigilante measures. Using new data on communal violence in West Africa, this argument is examined for the period 1990–2009. The results show that in countries where competing jurisdictions exist, communal land conflict is 200–350% more likely. These findings suggest that researchers should consider the role of legal institutions and processes in relation to social unrest and collective violence.","container-title":"Journal of Peace Research","DOI":"10.1177/0022343314522257","issue":"4","journalAbbreviation":"Journal of Peace Research","page":"441-454","title":"The law of the land: Communal conflict and legal authority","volume":"51","author":[{"family":"Eck","given":"Kristine"}],"issued":{"date-parts":[["2014",7,1]]}}}],"schema":"https://github.com/citation-style-language/schema/raw/master/csl-citation.json"}</w:instrText>
      </w:r>
      <w:r>
        <w:rPr>
          <w:lang w:val="en-GB"/>
        </w:rPr>
      </w:r>
      <w:r>
        <w:rPr>
          <w:lang w:val="en-GB"/>
        </w:rPr>
        <w:fldChar w:fldCharType="separate"/>
      </w:r>
      <w:r>
        <w:rPr>
          <w:lang w:val="en-GB"/>
        </w:rPr>
      </w:r>
      <w:r>
        <w:rPr>
          <w:rFonts w:cs="Calibri"/>
          <w:lang w:val="en-US"/>
        </w:rPr>
        <w:t>(Eck, 2014)</w:t>
      </w:r>
      <w:r>
        <w:rPr>
          <w:lang w:val="en-GB"/>
        </w:rPr>
      </w:r>
      <w:r>
        <w:rPr>
          <w:lang w:val="en-GB"/>
        </w:rPr>
        <w:fldChar w:fldCharType="end"/>
      </w:r>
      <w:r>
        <w:rPr>
          <w:lang w:val="en-GB"/>
        </w:rPr>
        <w:t xml:space="preserve">, others hold that remnants of precolonial institutions directly </w:t>
      </w:r>
      <w:r>
        <w:fldChar w:fldCharType="begin"/>
      </w:r>
      <w:r>
        <w:rPr>
          <w:lang w:val="en-GB"/>
        </w:rPr>
        <w:instrText>ADDIN ZOTERO_ITEM CSL_CITATION {"citationID":"0TnuRd1W","properties":{"formattedCitation":"(Herbst, 2015; Wig &amp; Kromrey, 2018)","plainCitation":"(Herbst, 2015; Wig &amp; Kromrey, 2018)","noteIndex":0},"citationItems":[{"id":5335,"uris":["http://zotero.org/groups/1795726/items/JW8PZ62A"],"uri":["http://zotero.org/groups/1795726/items/JW8PZ62A"],"itemData":{"id":5335,"type":"book","edition":"Second","event-place":"Princeton, NJ","ISBN":"978-0-691-16413-7","language":"en","publisher":"Princeton University Press","publisher-place":"Princeton, NJ","source":"press.princeton.edu","title":"States and Power in Africa","author":[{"family":"Herbst","given":"Jeffrey"}],"issued":{"date-parts":[["2015"]]}}},{"id":1423,"uris":["http://zotero.org/groups/1795726/items/AGTAS64Q"],"uri":["http://zotero.org/groups/1795726/items/AGTAS64Q"],"itemData":{"id":1423,"type":"article-journal","abstract":"Why are some ethnic groups embroiled in communal conflicts while others are comparably peaceful? We explore the group-specific correlates of communal conflicts in Africa by utilizing a novel dataset combining ethnographic information on group characteristics with conflict data. Specifically, we investigate whether features of the customary political institutions of ethnic groups matter for their communal-conflict involvement. We show how institutional explanations for conflict, developed to explain state-based wars, can be successfully applied to the customary institutions of ethnic groups. We argue that customary institutions can pacify through facilitating credible nonviolent bargaining. Studying 143 ethnic groups, we provide large-N evidence for such an ?ethnic civil peace?, showing that groups with a higher number of formalized customary institutions, like houses of chiefs, courts and legislatures, are less prone to communal conflict, both internally and with other groups. We also find some evidence, although slightly weaker, that groups with more inclusive or ?democratic? customary institutions are less prone to communal conflicts.","container-title":"Journal of Peace Research","DOI":"10.1177/0022343317740416","ISSN":"0022-3433","issue":"4","journalAbbreviation":"Journal of Peace Research","page":"415-429","title":"Which groups fight? Customary institutions and communal conflicts in Africa","volume":"55","author":[{"family":"Wig","given":"Tore"},{"family":"Kromrey","given":"Daniela"}],"issued":{"date-parts":[["2018",1,31]]}}}],"schema":"https://github.com/citation-style-language/schema/raw/master/csl-citation.json"}</w:instrText>
      </w:r>
      <w:r>
        <w:rPr>
          <w:lang w:val="en-GB"/>
        </w:rPr>
      </w:r>
      <w:r>
        <w:rPr>
          <w:lang w:val="en-GB"/>
        </w:rPr>
        <w:fldChar w:fldCharType="separate"/>
      </w:r>
      <w:r>
        <w:rPr>
          <w:lang w:val="en-GB"/>
        </w:rPr>
      </w:r>
      <w:r>
        <w:rPr>
          <w:rFonts w:cs="Calibri"/>
          <w:lang w:val="en-US"/>
        </w:rPr>
        <w:t>(Herbst, 2015; Wig &amp; Kromrey, 2018)</w:t>
      </w:r>
      <w:r>
        <w:rPr>
          <w:lang w:val="en-GB"/>
        </w:rPr>
      </w:r>
      <w:r>
        <w:rPr>
          <w:lang w:val="en-GB"/>
        </w:rPr>
        <w:fldChar w:fldCharType="end"/>
      </w:r>
      <w:r>
        <w:rPr>
          <w:lang w:val="en-GB"/>
        </w:rPr>
        <w:t xml:space="preserve"> or indirectly reduce the overall number of inter-ethnic (non-state) conflicts. </w:t>
      </w:r>
    </w:p>
    <w:p>
      <w:pPr>
        <w:pStyle w:val="Heading2"/>
        <w:rPr>
          <w:lang w:val="en-GB"/>
        </w:rPr>
      </w:pPr>
      <w:r>
        <w:rPr>
          <w:lang w:val="en-GB"/>
        </w:rPr>
        <w:t>Exising quantitative litt., should we have some on cases as well?</w:t>
      </w:r>
    </w:p>
    <w:p>
      <w:pPr>
        <w:pStyle w:val="TextBody"/>
        <w:rPr>
          <w:lang w:val="en-US"/>
        </w:rPr>
      </w:pPr>
      <w:r>
        <w:rPr>
          <w:lang w:val="en-US"/>
        </w:rPr>
        <w:t>(Eck, 2014; Wig, 2016 (civil conflict); Wig &amp; Kromrey, 2018; Elvfersson; Fjelde &amp; Østby; Hillesund studies on weather?); should we have something on the general developmental consequences of precolonial states as well?</w:t>
      </w:r>
    </w:p>
    <w:p>
      <w:pPr>
        <w:pStyle w:val="Heading2"/>
        <w:rPr>
          <w:lang w:val="en-GB"/>
        </w:rPr>
      </w:pPr>
      <w:r>
        <w:rPr>
          <w:lang w:val="en-GB"/>
        </w:rPr>
        <w:t>Precolonial institutions existing informally</w:t>
      </w:r>
    </w:p>
    <w:p>
      <w:pPr>
        <w:pStyle w:val="Heading1"/>
        <w:numPr>
          <w:ilvl w:val="0"/>
          <w:numId w:val="3"/>
        </w:numPr>
        <w:rPr>
          <w:lang w:val="en-GB"/>
        </w:rPr>
      </w:pPr>
      <w:r>
        <w:rPr>
          <w:lang w:val="en-GB"/>
        </w:rPr>
        <w:t>How conflicts are prevented or resolved without the state:</w:t>
      </w:r>
    </w:p>
    <w:p>
      <w:pPr>
        <w:pStyle w:val="ListContinue"/>
        <w:ind w:left="0" w:hanging="0"/>
        <w:rPr>
          <w:lang w:val="en-GB"/>
        </w:rPr>
      </w:pPr>
      <w:r>
        <w:rPr>
          <w:lang w:val="en-GB"/>
        </w:rPr>
        <w:t xml:space="preserve">In order to explain how areas where pre-colonial states existed reduce communal violence today, we first outline mechanisms regulating inter-communal conflicts in contexts of weak statehood, before we investigate how precolonial states might moderate these. While the literature has focused much on the type of issues that can trigger conflict between groups </w:t>
      </w:r>
      <w:r>
        <w:fldChar w:fldCharType="begin"/>
      </w:r>
      <w:r>
        <w:rPr>
          <w:lang w:val="en-GB"/>
        </w:rPr>
        <w:instrText>ADDIN ZOTERO_ITEM CSL_CITATION {"citationID":"KTsgNdJz","properties":{"formattedCitation":"(D\\uc0\\u246{}ring, 2020; Eck, 2014; Elfversson, 2015; Fjelde &amp; \\uc0\\u216{}stby, 2014; Fjelde &amp; von Uexkull, 2012; Hillesund, 2019; Theisen, 2012)","plainCitation":"(Döring, 2020; Eck, 2014; Elfversson, 2015; Fjelde &amp; Østby, 2014; Fjelde &amp; von Uexkull, 2012; Hillesund, 2019; Theisen, 2012)","noteIndex":0},"citationItems":[{"id":2686,"uris":["http://zotero.org/groups/1795726/items/N8XSJQ27"],"uri":["http://zotero.org/groups/1795726/items/N8XSJQ27"],"itemData":{"id":2686,"type":"article-journal","abstract":"This article empirically analyzes the relationship between groundwater scarcity and incidences of communal violence. Case studies suggest that appropriating water is more likely when resource scarcities are not effectively mitigated and where property rights are disputed. Yet, covering water more broadly remains piecemeal in quantitative research on communal conflict. While water scarcity features in large-N literature on climate variability and nonstate conflicts, such studies rely heavily on rainfall data which covers only one aspect of the hydrological cycle. Employing precipitation data alone neglects the use of groundwater, an important factor for drought resilience and the source for 50% of global drinking water. While rainfall remains key for agriculture, pastoralists and smallscale farmers in particular rely on groundwater as a buffer during dry periods. Thus, analyses on water scarcity and conflict ought to combine measures for groundwater, surface water, and precipitation. While controlling for other sources of water, the lack of groundwater access is hypothesized to increase incidences of violent communal conflict. The effect of groundwater on communal violence is also argued to vary with the presence of drought, low rainfall, in densely populated areas, and with state presence. These propositions are tested through large-N analyses using previously not utilized data on water availability with incidence data on violent conflict for Africa and the Middle East (1990–2014). The results show that lacking access to groundwater is associated with a higher risk of communal violence. Further, the effect of groundwater access on communal violence is conditioned by precipitation levels as well as population density. The results also suggest that the effect of groundwater on violence is smaller in areas with higher state presence.","container-title":"Political Geography","DOI":"10.1016/j.polgeo.2019.102073","ISSN":"0962-6298","journalAbbreviation":"Political Geography","page":"102073","title":"Come rain, or come wells: How access to groundwater affects communal violence","volume":"76","author":[{"family":"Döring","given":"Stefan"}],"issued":{"date-parts":[["2020",1,1]]}}},{"id":887,"uris":["http://zotero.org/groups/1795726/items/CXWJIXPV"],"uri":["http://zotero.org/groups/1795726/items/CXWJIXPV"],"itemData":{"id":887,"type":"article-journal","abstract":"Common notions about the source of communal land conflict in Africa have long explained it as growing out of conditions of environmental scarcity. This article argues instead that the institutional structure of the legal system is central to understanding which countries are prone to experience communal land conflict. When competing customary and modern jurisdictions coexist in countries inhabited by mixed identity groups, the conflicting sources of legal authority lead to insecurity about which source of law will prevail. Because the source of law is contested, conflict parties cannot trust the legal system to predictably adjudicate disputes, which encourages the use of extrajudicial vigilante measures. Using new data on communal violence in West Africa, this argument is examined for the period 1990–2009. The results show that in countries where competing jurisdictions exist, communal land conflict is 200–350% more likely. These findings suggest that researchers should consider the role of legal institutions and processes in relation to social unrest and collective violence.","container-title":"Journal of Peace Research","DOI":"10.1177/0022343314522257","issue":"4","journalAbbreviation":"Journal of Peace Research","page":"441-454","title":"The law of the land: Communal conflict and legal authority","volume":"51","author":[{"family":"Eck","given":"Kristine"}],"issued":{"date-parts":[["2014",7,1]]}}},{"id":1040,"uris":["http://zotero.org/groups/1795726/items/VCMRC9RM"],"uri":["http://zotero.org/groups/1795726/items/VCMRC9RM"],"itemData":{"id":1040,"type":"article-journal","abstract":"What factors drive governments’ decisions to intervene in local conflicts within their borders? Communal conflict – that is, organized violence between non-state groups that are mobilized along a shared communal identity – kills thousands each year and severely impacts local livelihoods, at times threatening to spread and affect entire regions. Given the state’s assumed monopoly over the legitimate use of force, we should expect the concerned governments to be critical actors of the overall effort to restore peace in cases of local communal conflict, but empirical evidence indicates that central states tend to only intervene in some cases but not in others. This phenomenon has so far been understudied and the variations in states’ efforts to manage these conflicts remain unexplained. This article presents the first quantitative study of state intervention in communal conflicts. Building on existing scholarly work, I argue that state intervention is explained by a combination of strategic interests and state capacity, and that interests related to ethnic constituencies and land control play an important part in explaining governments’ strategies. These propositions find support in a statistical analysis covering sub-Saharan Africa from 1989 to 2010.","container-title":"Journal of Peace Research","issue":"6","journalAbbreviation":"Journal of Peace Research","page":"791-805","title":"Providing security or protecting interests? Government interventions in violent communal conflicts in Africa","volume":"52","author":[{"family":"Elfversson","given":"Emma"}],"issued":{"date-parts":[["2015",11,1]]}}},{"id":960,"uris":["http://zotero.org/groups/1795726/items/AP54CVUI"],"uri":["http://zotero.org/groups/1795726/items/AP54CVUI"],"itemData":{"id":960,"type":"article-journal","abstract":"This article examines the role of economic inequality in influencing the risk of armed conflict between communal groups in Sub-Saharan Africa. We argue that socioeconomic inequality can generate intergroup grievances, which, due to the exclusionary legitimacy of the African state and elite incentives to engage in competitive mobilization of communal groups, precipitate violent communal conflict. To examine this argument, we rely on a series of household surveys to construct subnational inequality measures. For each region, we calculate measures of inequality in terms of household welfare and education between individuals (vertical inequality) and between ethnic groups (horizontal inequality). Combining the inequality data with new georeferenced data on communal conflict in Sub-Saharan Africa for the period 1990?2008, we find that regions with strong socioeconomic inequalities?both vertical and horizontal?are significantly more exposed to violent communal conflicts. More specifically, regions in which the largest ethnic group is severely disadvantaged compared to other groups are particularly prone to experience communal conflict.","container-title":"International Interactions","DOI":"10.1080/03050629.2014.917373","ISSN":"0305-0629","issue":"5","journalAbbreviation":"International Interactions","page":"737-762","title":"Socioeconomic Inequality and Communal Conflict: A Disaggregated Analysis of Sub-Saharan Africa, 1990–2008","volume":"40","author":[{"family":"Fjelde","given":"Hanne"},{"family":"Østby","given":"Gudrun"}],"issued":{"date-parts":[["2014",10,20]]}}},{"id":578,"uris":["http://zotero.org/groups/1795726/items/WZ6PBGPX"],"uri":["http://zotero.org/groups/1795726/items/WZ6PBGPX"],"itemData":{"id":578,"type":"article-journal","container-title":"Political Geography","DOI":"10.1016/j.polgeo.2012.08.004","ISSN":"0962-6298","issue":"7","journalAbbreviation":"Political Geography","page":"444-453","title":"Climate triggers: Rainfall anomalies, vulnerability and communal conflict in Sub-Saharan Africa","volume":"31","author":[{"family":"Fjelde","given":"Hanne"},{"family":"Uexkull","given":"Nina","non-dropping-particle":"von"}],"issued":{"date-parts":[["2012",9]]}}},{"id":5362,"uris":["http://zotero.org/groups/1795726/items/GYI2AV3M"],"uri":["http://zotero.org/groups/1795726/items/GYI2AV3M"],"itemData":{"id":5362,"type":"article-journal","abstract":"Do different types of inequality spur violence with different targets? This article explores whom violent movements choose to target when they take to arms, by comparing civil conflicts, which target the state, to communal conflicts, which target other ethnic groups. Different types of ethnic group disadvantage relate to conflict through different mechanisms. Political exclusion is expected to promote the choice to target the central government rather than other ethnic groups, while economic disadvantages should increase the risk of both civil and communal conflicts. The different expectations stem from two important differences between political and economic horizontal inequalities: only the government has the authority to change the political distribution, while there can be many avenues to economic redistribution; and blame is more straightforwardly assigned to the government for political than for economic disadvantages. Statistical analysis of 155 politically relevant ethnic groups in Africa (1991–2009) provides support for both propositions.","container-title":"Journal of Conflict Resolution","DOI":"10.1177/0022002717734286","ISSN":"0022-0027","issue":"2","journalAbbreviation":"Journal of Conflict Resolution","language":"en","note":"publisher: SAGE Publications Inc","page":"528-554","source":"SAGE Journals","title":"Choosing Whom to Target: Horizontal Inequality and the Risk of Civil and Communal Violence","title-short":"Choosing Whom to Target","volume":"63","author":[{"family":"Hillesund","given":"Solveig"}],"issued":{"date-parts":[["2019",2,1]]}}},{"id":590,"uris":["http://zotero.org/groups/1795726/items/HJ6LZSSP"],"uri":["http://zotero.org/groups/1795726/items/HJ6LZSSP"],"itemData":{"id":590,"type":"article-journal","abstract":"The evidence of coming climate change has generated catastrophe-like statements of a future where a warmer, wetter, and wilder climate leads to a surge in migrant streams and gives rise to new wars. Although highly popular in policy circles, few of these claims are based on systematic evidence. Using a most-likely case design on Kenya 1989–2004, with new geographically disaggregated data on armed conflicts below the common civil conflict level, this study finds that climatic factors do influence the risk of conflicts and violent events. The effect is opposite to what should be expected from much of the international relations literature; rather, it supports the observations made by recent anthropological studies. Years with below average rainfall tend to have a peaceful effect on the following year and less robustly so for the current year as well. Little support is found for the notion that scarcity of farmland fuels violence in itself or in election years. More densely populated areas – not areas with a low land per capita ratio – run a higher risk of conflict. Election years systematically see more violence, however. The findings therefore support the notion that large-scale intergroup violence is driven by calculation and political gain rather than desperate scrambles for scarce land, pasture, and water resources.","container-title":"Journal of Peace Research","DOI":"10.1177/0022343311425842","issue":"1","journalAbbreviation":"Journal of Peace Research","page":"81-96","title":"Climate clashes? Weather variability, land pressure, and organized violence in Kenya, 1989–2004","volume":"49","author":[{"family":"Theisen","given":"Ole Magnus"}],"issued":{"date-parts":[["2012",1,1]]}}}],"schema":"https://github.com/citation-style-language/schema/raw/master/csl-citation.json"}</w:instrText>
      </w:r>
      <w:r>
        <w:rPr>
          <w:lang w:val="en-GB"/>
        </w:rPr>
      </w:r>
      <w:r>
        <w:rPr>
          <w:lang w:val="en-GB"/>
        </w:rPr>
        <w:fldChar w:fldCharType="separate"/>
      </w:r>
      <w:r>
        <w:rPr>
          <w:lang w:val="en-GB"/>
        </w:rPr>
      </w:r>
      <w:r>
        <w:rPr>
          <w:rFonts w:cs="Calibri"/>
          <w:szCs w:val="24"/>
          <w:lang w:val="en-GB"/>
        </w:rPr>
        <w:t>(Döring, 2020; Eck, 2014; Elfversson, 2015; Fjelde &amp; Østby, 2014; Fjelde &amp; von Uexkull, 2012; Hillesund, 2019; Theisen, 2012)</w:t>
      </w:r>
      <w:r>
        <w:rPr>
          <w:lang w:val="en-GB"/>
        </w:rPr>
      </w:r>
      <w:r>
        <w:rPr>
          <w:lang w:val="en-GB"/>
        </w:rPr>
        <w:fldChar w:fldCharType="end"/>
      </w:r>
      <w:r>
        <w:rPr>
          <w:lang w:val="en-GB"/>
        </w:rPr>
        <w:t xml:space="preserve">, we believe that a deeper understanding of the structural characteristics of the state is central, some of which the existence of precolonial states affect. With the lack of an overarching authority to arbitrate between groups or provide physical security, strategic interaction between groups arises in which physical security is paramount. Problems related to interpersonal crime or competition over resources are ubiquitous both within and between groups, but such banalities are often the trigger of communal conflicts. Strategic interactions make otherwise mundane problems of criminal punishment or competing policy preferences potential triggers of intergroup violence </w:t>
      </w:r>
      <w:r>
        <w:fldChar w:fldCharType="begin"/>
      </w:r>
      <w:r>
        <w:rPr>
          <w:lang w:val="en-GB"/>
        </w:rPr>
        <w:instrText>ADDIN ZOTERO_ITEM CSL_CITATION {"citationID":"YrgZdRCQ","properties":{"formattedCitation":"(Diamond, 2012; Eaton, 2008; Fearon, 1995; Fearon &amp; Laitin, 1996; Lake &amp; Rothchild, 1996)","plainCitation":"(Diamond, 2012; Eaton, 2008; Fearon, 1995; Fearon &amp; Laitin, 1996; Lake &amp; Rothchild, 1996)","noteIndex":0},"citationItems":[{"id":5365,"uris":["http://zotero.org/groups/1795726/items/2DC5HQP4"],"uri":["http://zotero.org/groups/1795726/items/2DC5HQP4"],"itemData":{"id":5365,"type":"book","event-place":"New York","publisher":"Viking Press","publisher-place":"New York","title":"The World Until Yesterday","author":[{"family":"Diamond","given":"Jared"}],"issued":{"date-parts":[["2012"]]}}},{"id":5346,"uris":["http://zotero.org/groups/1795726/items/NDXL35MN"],"uri":["http://zotero.org/groups/1795726/items/NDXL35MN"],"itemData":{"id":5346,"type":"article-journal","abstract":"Peace-building NGOs are frequently at work along the Kenya–Uganda border. But in this desolate region, results have been extremely sparse. This article contends that this is due to the inadequacies of contemporary understandings of cattle raiding. Most NGOs and many academics ascribe cattle raids to a familiar array of factors such as resource scarcity, small arms proliferation, and generational conflict. While each issue is obviously of some relevance, such explanations are too cumbersome to really enhance our knowledge of cattle raiding. This article proposes a new approach to the problem by utilizing popular conceptions of ethnicity and criminal responsibility for raids. Given that most major raids originally stem from seemingly insignificant thefts, the process of retaliation is seen as crucial to understanding why violence escalates in certain situations and defuses in others. The failure of NGOs engaged in peace work to address this important issue in a meaningful way is the reason they have failed to achieve much success along the Kenya–Uganda border. This is in turn responsible for the widespread cynicism and corruption that has crept into their work, and is the subject of the second part of this article.","container-title":"African Affairs","DOI":"10.1093/afraf/adm085","ISSN":"0001-9909","issue":"426","journalAbbreviation":"African Affairs","page":"89-110","source":"Silverchair","title":"The Business of Peace: Raiding and Peace Work Along the Kenya–Uganda Border (Part I)","title-short":"The Business of Peace","volume":"107","author":[{"family":"Eaton","given":"Dave"}],"issued":{"date-parts":[["2008",1,1]]}}},{"id":1021,"uris":["http://zotero.org/groups/1795726/items/ZDTV4VFS"],"uri":["http://zotero.org/groups/1795726/items/ZDTV4VFS"],"itemData":{"id":1021,"type":"article-journal","abstract":"Realist and other scholars commonly hold that rationally led states can and sometimes do fight when no peaceful bargains exist that both would prefer to war. Against this view, I show that under very broad conditions there will exist negotiated settlements that genuinely rational states would mutually prefer to a risky and costly fight. Popular rationalist and realist explanations for war fail either to address or to explain adequately what would prevent leaders from locating a less costly bargain. Essentially just two mechanisms can resolve this puzzle on strictly rationalist terms. The first turns on the fact that states have both private information about capabilities and resolve and the incentive to misrepresent it. The second turns on the fact that in specific strategic contexts states may be unable credibly to commit to uphold a mutually preferable bargain. Historical examples suggest that both mechanisms are empirically plausible.","container-title":"International Organization","DOI":"10.2307/2706903","ISSN":"00208183","issue":"3","journalAbbreviation":"International Organization","page":"379-414","title":"Rationalist Explanations for War","volume":"49","author":[{"family":"Fearon","given":"James D."}],"issued":{"date-parts":[["1995",7,1]]}}},{"id":5313,"uris":["http://zotero.org/groups/1795726/items/KIYXSC4R"],"uri":["http://zotero.org/groups/1795726/items/KIYXSC4R"],"itemData":{"id":5313,"type":"article-journal","abstract":"Though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D."}],"issued":{"date-parts":[["1996",12]]}}},{"id":547,"uris":["http://zotero.org/groups/1795726/items/ZAYWJY9T"],"uri":["http://zotero.org/groups/1795726/items/ZAYWJY9T"],"itemData":{"id":547,"type":"article-journal","container-title":"International Security","DOI":"10.1162/isec.21.2.41","ISSN":"0162-2889","issue":"2","journalAbbreviation":"International Security","page":"41-75","title":"Containing Fear: The Origins and Management of Ethnic Conflict","volume":"21","author":[{"family":"Lake","given":"David A."},{"family":"Rothchild","given":"Donald"}],"issued":{"date-parts":[["1996",10,1]]}}}],"schema":"https://github.com/citation-style-language/schema/raw/master/csl-citation.json"}</w:instrText>
      </w:r>
      <w:r>
        <w:rPr>
          <w:lang w:val="en-GB"/>
        </w:rPr>
      </w:r>
      <w:r>
        <w:rPr>
          <w:lang w:val="en-GB"/>
        </w:rPr>
        <w:fldChar w:fldCharType="separate"/>
      </w:r>
      <w:r>
        <w:rPr>
          <w:lang w:val="en-GB"/>
        </w:rPr>
      </w:r>
      <w:r>
        <w:rPr>
          <w:rFonts w:cs="Calibri"/>
          <w:lang w:val="en-GB"/>
        </w:rPr>
        <w:t>(Diamond, 2012; Eaton, 2008; Fearon, 1995; Fearon &amp; Laitin, 1996; Lake &amp; Rothchild, 1996)</w:t>
      </w:r>
      <w:r>
        <w:rPr>
          <w:lang w:val="en-GB"/>
        </w:rPr>
      </w:r>
      <w:r>
        <w:rPr>
          <w:lang w:val="en-GB"/>
        </w:rPr>
        <w:fldChar w:fldCharType="end"/>
      </w:r>
      <w:r>
        <w:rPr>
          <w:lang w:val="en-GB"/>
        </w:rPr>
        <w:t xml:space="preserve">. </w:t>
      </w:r>
      <w:r>
        <w:rPr/>
        <w:commentReference w:id="1"/>
      </w:r>
      <w:r>
        <w:rPr>
          <w:lang w:val="en-GB"/>
        </w:rPr>
        <w:t xml:space="preserve">Since conflict is costly, however, there should be a rational interest in a bargained solution short of violence </w:t>
      </w:r>
      <w:r>
        <w:fldChar w:fldCharType="begin"/>
      </w:r>
      <w:r>
        <w:rPr>
          <w:lang w:val="en-GB"/>
        </w:rPr>
        <w:instrText>ADDIN ZOTERO_ITEM CSL_CITATION {"citationID":"wWWCInJH","properties":{"formattedCitation":"(Fearon, 1995)","plainCitation":"(Fearon, 1995)","noteIndex":0},"citationItems":[{"id":1021,"uris":["http://zotero.org/groups/1795726/items/ZDTV4VFS"],"uri":["http://zotero.org/groups/1795726/items/ZDTV4VFS"],"itemData":{"id":1021,"type":"article-journal","abstract":"Realist and other scholars commonly hold that rationally led states can and sometimes do fight when no peaceful bargains exist that both would prefer to war. Against this view, I show that under very broad conditions there will exist negotiated settlements that genuinely rational states would mutually prefer to a risky and costly fight. Popular rationalist and realist explanations for war fail either to address or to explain adequately what would prevent leaders from locating a less costly bargain. Essentially just two mechanisms can resolve this puzzle on strictly rationalist terms. The first turns on the fact that states have both private information about capabilities and resolve and the incentive to misrepresent it. The second turns on the fact that in specific strategic contexts states may be unable credibly to commit to uphold a mutually preferable bargain. Historical examples suggest that both mechanisms are empirically plausible.","container-title":"International Organization","DOI":"10.2307/2706903","ISSN":"00208183","issue":"3","journalAbbreviation":"International Organization","page":"379-414","title":"Rationalist Explanations for War","volume":"49","author":[{"family":"Fearon","given":"James D."}],"issued":{"date-parts":[["1995",7,1]]}}}],"schema":"https://github.com/citation-style-language/schema/raw/master/csl-citation.json"}</w:instrText>
      </w:r>
      <w:r>
        <w:rPr>
          <w:lang w:val="en-GB"/>
        </w:rPr>
      </w:r>
      <w:r>
        <w:rPr>
          <w:lang w:val="en-GB"/>
        </w:rPr>
        <w:fldChar w:fldCharType="separate"/>
      </w:r>
      <w:r>
        <w:rPr>
          <w:lang w:val="en-GB"/>
        </w:rPr>
      </w:r>
      <w:r>
        <w:rPr>
          <w:rFonts w:cs="Calibri"/>
          <w:lang w:val="en-GB"/>
        </w:rPr>
        <w:t>(Fearon, 1995)</w:t>
      </w:r>
      <w:r>
        <w:rPr>
          <w:lang w:val="en-GB"/>
        </w:rPr>
      </w:r>
      <w:r>
        <w:rPr>
          <w:lang w:val="en-GB"/>
        </w:rPr>
        <w:fldChar w:fldCharType="end"/>
      </w:r>
      <w:r>
        <w:rPr>
          <w:lang w:val="en-GB"/>
        </w:rPr>
        <w:t xml:space="preserve">, but the problem is, when strategic dilemmas arise, such bargained solutions are hard to establish and uphold. Three related phenomena – information problems, commitment problems, and the security dilemma – are each sufficient in causing armed conflict, but very frequently co-occur </w:t>
      </w:r>
      <w:r>
        <w:fldChar w:fldCharType="begin"/>
      </w:r>
      <w:r>
        <w:rPr>
          <w:lang w:val="en-GB"/>
        </w:rPr>
        <w:instrText>ADDIN ZOTERO_ITEM CSL_CITATION {"citationID":"CvQjJSwY","properties":{"formattedCitation":"(Lake &amp; Rothchild, 1996, p. 46)","plainCitation":"(Lake &amp; Rothchild, 1996, p. 46)","noteIndex":0},"citationItems":[{"id":547,"uris":["http://zotero.org/groups/1795726/items/ZAYWJY9T"],"uri":["http://zotero.org/groups/1795726/items/ZAYWJY9T"],"itemData":{"id":547,"type":"article-journal","container-title":"International Security","DOI":"10.1162/isec.21.2.41","ISSN":"0162-2889","issue":"2","journalAbbreviation":"International Security","page":"41-75","title":"Containing Fear: The Origins and Management of Ethnic Conflict","volume":"21","author":[{"family":"Lake","given":"David A."},{"family":"Rothchild","given":"Donald"}],"issued":{"date-parts":[["1996",10,1]]}},"locator":"46"}],"schema":"https://github.com/citation-style-language/schema/raw/master/csl-citation.json"}</w:instrText>
      </w:r>
      <w:r>
        <w:rPr>
          <w:lang w:val="en-GB"/>
        </w:rPr>
      </w:r>
      <w:r>
        <w:rPr>
          <w:lang w:val="en-GB"/>
        </w:rPr>
        <w:fldChar w:fldCharType="separate"/>
      </w:r>
      <w:r>
        <w:rPr>
          <w:lang w:val="en-GB"/>
        </w:rPr>
      </w:r>
      <w:r>
        <w:rPr>
          <w:rFonts w:cs="Calibri"/>
          <w:lang w:val="en-GB"/>
        </w:rPr>
        <w:t>(Lake &amp; Rothchild, 1996, p. 46)</w:t>
      </w:r>
      <w:r>
        <w:rPr>
          <w:lang w:val="en-GB"/>
        </w:rPr>
      </w:r>
      <w:r>
        <w:rPr>
          <w:lang w:val="en-GB"/>
        </w:rPr>
        <w:fldChar w:fldCharType="end"/>
      </w:r>
      <w:r>
        <w:rPr>
          <w:lang w:val="en-GB"/>
        </w:rPr>
        <w:t xml:space="preserve">. </w:t>
      </w:r>
    </w:p>
    <w:p>
      <w:pPr>
        <w:pStyle w:val="Heading2"/>
        <w:rPr>
          <w:lang w:val="en-GB"/>
        </w:rPr>
      </w:pPr>
      <w:r>
        <w:rPr>
          <w:rStyle w:val="Overskrift2Tegn"/>
          <w:lang w:val="en-US"/>
        </w:rPr>
        <w:t>The problem of information when resolving interethnic conflicts</w:t>
      </w:r>
    </w:p>
    <w:p>
      <w:pPr>
        <w:pStyle w:val="TextBody"/>
        <w:rPr>
          <w:lang w:val="en-GB"/>
        </w:rPr>
      </w:pPr>
      <w:commentRangeStart w:id="2"/>
      <w:r>
        <w:rPr>
          <w:lang w:val="en-GB"/>
        </w:rPr>
        <w:t xml:space="preserve">Within ethnic groups, dense networks facilitate the exchange of information through gossip, rumour and formal (e.g. churches) or informal institutions. This prevents opportunistic behaviour towards kin, as individuals can be identified and punished </w:t>
      </w:r>
      <w:r>
        <w:fldChar w:fldCharType="begin"/>
      </w:r>
      <w:r>
        <w:rPr>
          <w:lang w:val="en-GB"/>
        </w:rPr>
        <w:instrText>ADDIN ZOTERO_ITEM CSL_CITATION {"citationID":"hfRFCIgG","properties":{"formattedCitation":"(Fearon &amp; Laitin, 1996, p. 719)","plainCitation":"(Fearon &amp; Laitin, 1996, p. 719)","noteIndex":0},"citationItems":[{"id":5313,"uris":["http://zotero.org/groups/1795726/items/KIYXSC4R"],"uri":["http://zotero.org/groups/1795726/items/KIYXSC4R"],"itemData":{"id":5313,"type":"article-journal","abstract":"Though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D."}],"issued":{"date-parts":[["1996",12]]}},"locator":"719"}],"schema":"https://github.com/citation-style-language/schema/raw/master/csl-citation.json"}</w:instrText>
      </w:r>
      <w:r>
        <w:rPr>
          <w:lang w:val="en-GB"/>
        </w:rPr>
      </w:r>
      <w:r>
        <w:rPr>
          <w:lang w:val="en-GB"/>
        </w:rPr>
        <w:fldChar w:fldCharType="separate"/>
      </w:r>
      <w:r>
        <w:rPr>
          <w:lang w:val="en-GB"/>
        </w:rPr>
      </w:r>
      <w:r>
        <w:rPr>
          <w:rFonts w:cs="Calibri"/>
          <w:lang w:val="en-US"/>
        </w:rPr>
        <w:t>(Fearon &amp; Laitin, 1996, p. 719)</w:t>
      </w:r>
      <w:r>
        <w:rPr>
          <w:lang w:val="en-GB"/>
        </w:rPr>
      </w:r>
      <w:r>
        <w:rPr>
          <w:lang w:val="en-GB"/>
        </w:rPr>
        <w:fldChar w:fldCharType="end"/>
      </w:r>
      <w:r>
        <w:rPr>
          <w:lang w:val="en-GB"/>
        </w:rPr>
        <w:t>. In cross-ethnic interactions, identifying individuals is often much harder due to less frequent interactions, thinner networks, and cultural differences that makes it harder to identify opportunists than among coethnics.</w:t>
      </w:r>
      <w:r>
        <w:rPr>
          <w:rStyle w:val="FootnoteAnchor"/>
          <w:lang w:val="en-GB"/>
        </w:rPr>
        <w:footnoteReference w:id="2"/>
      </w:r>
      <w:r>
        <w:rPr>
          <w:lang w:val="en-GB"/>
        </w:rPr>
        <w:t xml:space="preserve"> </w:t>
      </w:r>
      <w:commentRangeStart w:id="3"/>
      <w:r>
        <w:rPr>
          <w:lang w:val="en-GB"/>
        </w:rPr>
        <w:t>The cross-ethnic information problem renders individual punishment of non-coethnic criminals difficult. Similarly, while it may be collectively rational to reveal private information to counterparts as part of a bargain to avoid conflict, groups can have strategic incentives to withhold, information particularly if revealing it make them vulnerable to an early confrontation from the other group</w:t>
      </w:r>
      <w:r>
        <w:rPr>
          <w:rStyle w:val="FootnoteAnchor"/>
          <w:lang w:val="en-GB"/>
        </w:rPr>
        <w:footnoteReference w:id="3"/>
      </w:r>
      <w:r>
        <w:rPr>
          <w:lang w:val="en-GB"/>
        </w:rPr>
        <w:t xml:space="preserve"> or make them more vulnerable in the future. </w:t>
      </w:r>
      <w:r>
        <w:rPr>
          <w:lang w:val="en-GB"/>
        </w:rPr>
        <w:commentReference w:id="4"/>
      </w:r>
      <w:r>
        <w:rPr>
          <w:lang w:val="en-GB"/>
        </w:rPr>
        <w:t xml:space="preserve">This can cause bargaining to crash and conflict to start. Generally, information problems tend to grow more acute with increasing state weakness </w:t>
      </w:r>
      <w:r>
        <w:fldChar w:fldCharType="begin"/>
      </w:r>
      <w:r>
        <w:rPr>
          <w:lang w:val="en-GB"/>
        </w:rPr>
        <w:instrText>ADDIN ZOTERO_ITEM CSL_CITATION {"citationID":"BFbIVD5K","properties":{"formattedCitation":"(Fearon, 1995; Lake &amp; Rothchild, 1996, p. 46f)","plainCitation":"(Fearon, 1995; Lake &amp; Rothchild, 1996, p. 46f)","noteIndex":0},"citationItems":[{"id":1021,"uris":["http://zotero.org/groups/1795726/items/ZDTV4VFS"],"uri":["http://zotero.org/groups/1795726/items/ZDTV4VFS"],"itemData":{"id":1021,"type":"article-journal","abstract":"Realist and other scholars commonly hold that rationally led states can and sometimes do fight when no peaceful bargains exist that both would prefer to war. Against this view, I show that under very broad conditions there will exist negotiated settlements that genuinely rational states would mutually prefer to a risky and costly fight. Popular rationalist and realist explanations for war fail either to address or to explain adequately what would prevent leaders from locating a less costly bargain. Essentially just two mechanisms can resolve this puzzle on strictly rationalist terms. The first turns on the fact that states have both private information about capabilities and resolve and the incentive to misrepresent it. The second turns on the fact that in specific strategic contexts states may be unable credibly to commit to uphold a mutually preferable bargain. Historical examples suggest that both mechanisms are empirically plausible.","container-title":"International Organization","DOI":"10.2307/2706903","ISSN":"00208183","issue":"3","journalAbbreviation":"International Organization","page":"379-414","title":"Rationalist Explanations for War","volume":"49","author":[{"family":"Fearon","given":"James D."}],"issued":{"date-parts":[["1995",7,1]]}}},{"id":547,"uris":["http://zotero.org/groups/1795726/items/ZAYWJY9T"],"uri":["http://zotero.org/groups/1795726/items/ZAYWJY9T"],"itemData":{"id":547,"type":"article-journal","container-title":"International Security","DOI":"10.1162/isec.21.2.41","ISSN":"0162-2889","issue":"2","journalAbbreviation":"International Security","page":"41-75","title":"Containing Fear: The Origins and Management of Ethnic Conflict","volume":"21","author":[{"family":"Lake","given":"David A."},{"family":"Rothchild","given":"Donald"}],"issued":{"date-parts":[["1996",10,1]]}},"locator":"46f"}],"schema":"https://github.com/citation-style-language/schema/raw/master/csl-citation.json"}</w:instrText>
      </w:r>
      <w:r>
        <w:rPr>
          <w:lang w:val="en-GB"/>
        </w:rPr>
      </w:r>
      <w:r>
        <w:rPr>
          <w:lang w:val="en-GB"/>
        </w:rPr>
        <w:fldChar w:fldCharType="separate"/>
      </w:r>
      <w:r>
        <w:rPr>
          <w:lang w:val="en-GB"/>
        </w:rPr>
      </w:r>
      <w:r>
        <w:rPr>
          <w:rFonts w:cs="Calibri"/>
          <w:lang w:val="en-GB"/>
        </w:rPr>
        <w:t>(Fearon, 1995; Lake &amp; Rothchild, 1996, p. 46f)</w:t>
      </w:r>
      <w:r>
        <w:rPr>
          <w:lang w:val="en-GB"/>
        </w:rPr>
      </w:r>
      <w:r>
        <w:rPr>
          <w:lang w:val="en-GB"/>
        </w:rPr>
        <w:fldChar w:fldCharType="end"/>
      </w:r>
      <w:r>
        <w:rPr>
          <w:lang w:val="en-GB"/>
        </w:rPr>
        <w:t>.</w:t>
      </w:r>
    </w:p>
    <w:p>
      <w:pPr>
        <w:pStyle w:val="Heading2"/>
        <w:rPr>
          <w:lang w:val="en-GB"/>
        </w:rPr>
      </w:pPr>
      <w:r>
        <w:rPr>
          <w:lang w:val="en-GB"/>
        </w:rPr>
        <w:t>The commitment problem</w:t>
      </w:r>
    </w:p>
    <w:p>
      <w:pPr>
        <w:pStyle w:val="Normal"/>
        <w:rPr>
          <w:lang w:val="en-GB"/>
        </w:rPr>
      </w:pPr>
      <w:r>
        <w:rPr>
          <w:lang w:val="en-GB"/>
        </w:rPr>
        <w:t xml:space="preserve">A second problem is that ethnic groups cannot credibly commit to mutually beneficial agreements. At least they cannot be certain that other groups stay true to their promises. The fear of being cheated against may make </w:t>
      </w:r>
      <w:commentRangeStart w:id="5"/>
      <w:r>
        <w:rPr>
          <w:lang w:val="en-GB"/>
        </w:rPr>
        <w:t xml:space="preserve">groups </w:t>
      </w:r>
      <w:r>
        <w:rPr>
          <w:lang w:val="en-GB"/>
        </w:rPr>
      </w:r>
      <w:commentRangeEnd w:id="5"/>
      <w:r>
        <w:commentReference w:id="5"/>
      </w:r>
      <w:r>
        <w:rPr>
          <w:lang w:val="en-GB"/>
        </w:rPr>
        <w:t xml:space="preserve">prefer to attack early than being victimized at a later </w:t>
      </w:r>
      <w:commentRangeStart w:id="6"/>
      <w:r>
        <w:rPr>
          <w:lang w:val="en-GB"/>
        </w:rPr>
        <w:t>occasion</w:t>
      </w:r>
      <w:r>
        <w:rPr>
          <w:lang w:val="en-GB"/>
        </w:rPr>
      </w:r>
      <w:commentRangeEnd w:id="6"/>
      <w:r>
        <w:commentReference w:id="6"/>
      </w:r>
      <w:r>
        <w:rPr>
          <w:lang w:val="en-GB"/>
        </w:rPr>
        <w:t xml:space="preserve">. Thus, formal or informal agreements between ethnic groups are often premised on a supra-ethnic authority and they are often initiated by the weaker group that have most to fear from unregulated interaction (see below on intragroup policing as an example) </w:t>
      </w:r>
      <w:r>
        <w:fldChar w:fldCharType="begin"/>
      </w:r>
      <w:r>
        <w:rPr>
          <w:lang w:val="en-GB"/>
        </w:rPr>
        <w:instrText>ADDIN ZOTERO_ITEM CSL_CITATION {"citationID":"CJVtYv3H","properties":{"formattedCitation":"(Lake &amp; Rothchild, 1996, p. 50f)","plainCitation":"(Lake &amp; Rothchild, 1996, p. 50f)","noteIndex":0},"citationItems":[{"id":547,"uris":["http://zotero.org/groups/1795726/items/ZAYWJY9T"],"uri":["http://zotero.org/groups/1795726/items/ZAYWJY9T"],"itemData":{"id":547,"type":"article-journal","container-title":"International Security","DOI":"10.1162/isec.21.2.41","ISSN":"0162-2889","issue":"2","journalAbbreviation":"International Security","page":"41-75","title":"Containing Fear: The Origins and Management of Ethnic Conflict","volume":"21","author":[{"family":"Lake","given":"David A."},{"family":"Rothchild","given":"Donald"}],"issued":{"date-parts":[["1996",10,1]]}},"locator":"50f"}],"schema":"https://github.com/citation-style-language/schema/raw/master/csl-citation.json"}</w:instrText>
      </w:r>
      <w:r>
        <w:rPr>
          <w:lang w:val="en-GB"/>
        </w:rPr>
      </w:r>
      <w:r>
        <w:rPr>
          <w:lang w:val="en-GB"/>
        </w:rPr>
        <w:fldChar w:fldCharType="separate"/>
      </w:r>
      <w:r>
        <w:rPr>
          <w:lang w:val="en-GB"/>
        </w:rPr>
      </w:r>
      <w:r>
        <w:rPr>
          <w:rFonts w:cs="Calibri"/>
          <w:lang w:val="en-GB"/>
        </w:rPr>
        <w:t>(Lake &amp; Rothchild, 1996, p. 50f)</w:t>
      </w:r>
      <w:r>
        <w:rPr>
          <w:lang w:val="en-GB"/>
        </w:rPr>
      </w:r>
      <w:r>
        <w:rPr>
          <w:lang w:val="en-GB"/>
        </w:rPr>
        <w:fldChar w:fldCharType="end"/>
      </w:r>
      <w:r>
        <w:rPr>
          <w:lang w:val="en-GB"/>
        </w:rPr>
        <w:t xml:space="preserve">. In the absence of such working arrangements, the information problem causes chronic insecurity about the other group’s intentions with conflict representing a realistic alternative </w:t>
      </w:r>
      <w:r>
        <w:fldChar w:fldCharType="begin"/>
      </w:r>
      <w:r>
        <w:rPr>
          <w:lang w:val="en-GB"/>
        </w:rPr>
        <w:instrText>ADDIN ZOTERO_ITEM CSL_CITATION {"citationID":"finVhz9A","properties":{"formattedCitation":"(Lake &amp; Rothchild, 1996, p. 51)","plainCitation":"(Lake &amp; Rothchild, 1996, p. 51)","noteIndex":0},"citationItems":[{"id":547,"uris":["http://zotero.org/groups/1795726/items/ZAYWJY9T"],"uri":["http://zotero.org/groups/1795726/items/ZAYWJY9T"],"itemData":{"id":547,"type":"article-journal","container-title":"International Security","DOI":"10.1162/isec.21.2.41","ISSN":"0162-2889","issue":"2","journalAbbreviation":"International Security","page":"41-75","title":"Containing Fear: The Origins and Management of Ethnic Conflict","volume":"21","author":[{"family":"Lake","given":"David A."},{"family":"Rothchild","given":"Donald"}],"issued":{"date-parts":[["1996",10,1]]}},"locator":"51"}],"schema":"https://github.com/citation-style-language/schema/raw/master/csl-citation.json"}</w:instrText>
      </w:r>
      <w:r>
        <w:rPr>
          <w:lang w:val="en-GB"/>
        </w:rPr>
      </w:r>
      <w:r>
        <w:rPr>
          <w:lang w:val="en-GB"/>
        </w:rPr>
        <w:fldChar w:fldCharType="separate"/>
      </w:r>
      <w:r>
        <w:rPr>
          <w:lang w:val="en-GB"/>
        </w:rPr>
      </w:r>
      <w:r>
        <w:rPr>
          <w:rFonts w:cs="Calibri"/>
          <w:lang w:val="en-GB"/>
        </w:rPr>
        <w:t>(Lake &amp; Rothchild, 1996, p. 51)</w:t>
      </w:r>
      <w:r>
        <w:rPr>
          <w:lang w:val="en-GB"/>
        </w:rPr>
      </w:r>
      <w:r>
        <w:rPr>
          <w:lang w:val="en-GB"/>
        </w:rPr>
        <w:fldChar w:fldCharType="end"/>
      </w:r>
      <w:r>
        <w:rPr>
          <w:lang w:val="en-GB"/>
        </w:rPr>
        <w:t>.</w:t>
      </w:r>
    </w:p>
    <w:p>
      <w:pPr>
        <w:pStyle w:val="Heading2"/>
        <w:rPr>
          <w:lang w:val="en-GB"/>
        </w:rPr>
      </w:pPr>
      <w:r>
        <w:rPr>
          <w:lang w:val="en-GB"/>
        </w:rPr>
        <w:t>The security dilemma</w:t>
      </w:r>
    </w:p>
    <w:p>
      <w:pPr>
        <w:pStyle w:val="Normal"/>
        <w:rPr/>
      </w:pPr>
      <w:r>
        <w:rPr>
          <w:lang w:val="en-GB"/>
        </w:rPr>
        <w:t>The semi-anarchic situation found in areas of weak statehood induces groups to apply self-help strategies, as they cannot credibly commit to agreements of not applying force to each other. The information problem renders groups chronically uncertain about others’ true intentions, making defensive moves by one group look suspicious causing other groups to safeguard themselves. Subsequently this makes all groups less safe, in particular when there are clear advantages to use pre-emptive tactics</w:t>
      </w:r>
      <w:r>
        <w:rPr>
          <w:rStyle w:val="FootnoteAnchor"/>
          <w:lang w:val="en-GB"/>
        </w:rPr>
        <w:footnoteReference w:id="4"/>
      </w:r>
      <w:r>
        <w:rPr>
          <w:lang w:val="en-GB"/>
        </w:rPr>
        <w:t xml:space="preserve">, as Lake and Rotchild puts it ‘Fearful that the other might preempt, a group has an incentive to strike first and negotiate later’ </w:t>
      </w:r>
      <w:r>
        <w:fldChar w:fldCharType="begin"/>
      </w:r>
      <w:r>
        <w:rPr>
          <w:lang w:val="en-GB"/>
        </w:rPr>
        <w:instrText>vnd.oasis.opendocument.field.UNHANDLED</w:instrText>
      </w:r>
      <w:r>
        <w:rPr>
          <w:lang w:val="en-GB"/>
        </w:rPr>
      </w:r>
      <w:r>
        <w:rPr>
          <w:lang w:val="en-GB"/>
        </w:rPr>
        <w:fldChar w:fldCharType="separate"/>
      </w:r>
      <w:r>
        <w:rPr>
          <w:lang w:val="en-GB"/>
        </w:rPr>
      </w:r>
      <w:r>
        <w:rPr>
          <w:rFonts w:cs="Calibri"/>
          <w:lang w:val="en-GB"/>
        </w:rPr>
        <w:t>(Lake &amp; Rothchild, 1996, p. 53)</w:t>
      </w:r>
      <w:r>
        <w:rPr>
          <w:rFonts w:cs="Calibri"/>
          <w:lang w:val="en-GB"/>
        </w:rPr>
      </w:r>
      <w:r>
        <w:rPr>
          <w:rFonts w:cs="Calibri"/>
          <w:lang w:val="en-GB"/>
        </w:rPr>
        <w:fldChar w:fldCharType="end"/>
      </w:r>
      <w:r>
        <w:rPr>
          <w:lang w:val="en-GB"/>
        </w:rPr>
        <w:t xml:space="preserve">. </w:t>
      </w:r>
    </w:p>
    <w:p>
      <w:pPr>
        <w:pStyle w:val="Heading2"/>
        <w:rPr>
          <w:lang w:val="en-GB"/>
        </w:rPr>
      </w:pPr>
      <w:r>
        <w:rPr>
          <w:lang w:val="en-GB"/>
        </w:rPr>
        <w:t>In-group policing</w:t>
      </w:r>
    </w:p>
    <w:p>
      <w:pPr>
        <w:pStyle w:val="BodyTextFirstIndent2"/>
        <w:ind w:left="0" w:hanging="0"/>
        <w:jc w:val="left"/>
        <w:rPr>
          <w:lang w:val="en-GB"/>
        </w:rPr>
      </w:pPr>
      <w:r>
        <w:rPr>
          <w:lang w:val="en-GB"/>
        </w:rPr>
        <w:t>Since</w:t>
      </w:r>
      <w:commentRangeStart w:id="7"/>
      <w:r>
        <w:rPr>
          <w:lang w:val="en-GB"/>
        </w:rPr>
        <w:t xml:space="preserve"> minor frictions can cause costly interethnic violence, attempts at creating inter-ethnic institutions are quite prevalent, despite problems of credible commitment. Under </w:t>
      </w:r>
      <w:r>
        <w:rPr>
          <w:lang w:val="en-GB"/>
        </w:rPr>
      </w:r>
      <w:commentRangeEnd w:id="7"/>
      <w:r>
        <w:commentReference w:id="7"/>
      </w:r>
      <w:r>
        <w:rPr>
          <w:lang w:val="en-GB"/>
        </w:rPr>
        <w:t xml:space="preserve">so-called in-group policing (IGP) </w:t>
      </w:r>
      <w:r>
        <w:fldChar w:fldCharType="begin"/>
      </w:r>
      <w:r>
        <w:rPr>
          <w:lang w:val="en-GB"/>
        </w:rPr>
        <w:instrText>ADDIN ZOTERO_ITEM CSL_CITATION {"citationID":"AYGexoLU","properties":{"formattedCitation":"(Fearon &amp; Laitin, 1996, p. 723)","plainCitation":"(Fearon &amp; Laitin, 1996, p. 723)","noteIndex":0},"citationItems":[{"id":5313,"uris":["http://zotero.org/groups/1795726/items/KIYXSC4R"],"uri":["http://zotero.org/groups/1795726/items/KIYXSC4R"],"itemData":{"id":5313,"type":"article-journal","abstract":"Though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D."}],"issued":{"date-parts":[["1996",12]]}},"locator":"723"}],"schema":"https://github.com/citation-style-language/schema/raw/master/csl-citation.json"}</w:instrText>
      </w:r>
      <w:r>
        <w:rPr>
          <w:lang w:val="en-GB"/>
        </w:rPr>
      </w:r>
      <w:r>
        <w:rPr>
          <w:lang w:val="en-GB"/>
        </w:rPr>
        <w:fldChar w:fldCharType="separate"/>
      </w:r>
      <w:r>
        <w:rPr>
          <w:lang w:val="en-GB"/>
        </w:rPr>
      </w:r>
      <w:r>
        <w:rPr>
          <w:rFonts w:cs="Calibri"/>
          <w:lang w:val="en-US"/>
        </w:rPr>
        <w:t>(Fearon &amp; Laitin, 1996, p. 723)</w:t>
      </w:r>
      <w:r>
        <w:rPr>
          <w:lang w:val="en-GB"/>
        </w:rPr>
      </w:r>
      <w:r>
        <w:rPr>
          <w:lang w:val="en-GB"/>
        </w:rPr>
        <w:fldChar w:fldCharType="end"/>
      </w:r>
      <w:r>
        <w:rPr>
          <w:lang w:val="en-GB"/>
        </w:rPr>
        <w:commentReference w:id="8"/>
      </w:r>
      <w:r>
        <w:rPr>
          <w:lang w:val="en-GB"/>
        </w:rPr>
        <w:t xml:space="preserve">, groups use their superior within-group information to punish individuals in their own ranks that have committed crimes against outsiders. The victim’s group refrain from collective reprisals, as they are reasonably certain of internal punishment, making the institution quite robust to smaller infringements. For IGP to be effective, the information about punishment must be received by the offended group. This both signals that the reciprocal agreement of punishing one’s own bad apples is upheld, but also good intentions by taking punishment seriously </w:t>
      </w:r>
      <w:r>
        <w:fldChar w:fldCharType="begin"/>
      </w:r>
      <w:r>
        <w:rPr>
          <w:lang w:val="en-GB"/>
        </w:rPr>
        <w:instrText>ADDIN ZOTERO_ITEM CSL_CITATION {"citationID":"aNLlPYTz","properties":{"formattedCitation":"(Fearon &amp; Laitin, 1996)","plainCitation":"(Fearon &amp; Laitin, 1996)","noteIndex":0},"citationItems":[{"id":5313,"uris":["http://zotero.org/groups/1795726/items/KIYXSC4R"],"uri":["http://zotero.org/groups/1795726/items/KIYXSC4R"],"itemData":{"id":5313,"type":"article-journal","abstract":"Though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D."}],"issued":{"date-parts":[["1996",12]]}}}],"schema":"https://github.com/citation-style-language/schema/raw/master/csl-citation.json"}</w:instrText>
      </w:r>
      <w:r>
        <w:rPr>
          <w:lang w:val="en-GB"/>
        </w:rPr>
      </w:r>
      <w:r>
        <w:rPr>
          <w:lang w:val="en-GB"/>
        </w:rPr>
        <w:fldChar w:fldCharType="separate"/>
      </w:r>
      <w:r>
        <w:rPr>
          <w:lang w:val="en-GB"/>
        </w:rPr>
      </w:r>
      <w:r>
        <w:rPr>
          <w:rFonts w:cs="Calibri"/>
          <w:lang w:val="en-US"/>
        </w:rPr>
        <w:t>(Fearon &amp; Laitin, 1996)</w:t>
      </w:r>
      <w:r>
        <w:rPr>
          <w:lang w:val="en-GB"/>
        </w:rPr>
      </w:r>
      <w:r>
        <w:rPr>
          <w:lang w:val="en-GB"/>
        </w:rPr>
        <w:fldChar w:fldCharType="end"/>
      </w:r>
      <w:r>
        <w:rPr>
          <w:lang w:val="en-GB"/>
        </w:rPr>
        <w:t xml:space="preserve">. An alternative to IGP, is when the perpetrator’s group help the victim’s group apprehend the culprit or simply hand him over [insert from Eaton on this]. More institutionalized forms of IGP is frequently found where some form of overarching authority is present, such as in premodern Europe and empires </w:t>
      </w:r>
      <w:r>
        <w:fldChar w:fldCharType="begin"/>
      </w:r>
      <w:r>
        <w:rPr>
          <w:lang w:val="en-GB"/>
        </w:rPr>
        <w:instrText>ADDIN ZOTERO_ITEM CSL_CITATION {"citationID":"CI3cgtN2","properties":{"formattedCitation":"(Fearon &amp; Laitin, 1996, p. 728)","plainCitation":"(Fearon &amp; Laitin, 1996, p. 728)","noteIndex":0},"citationItems":[{"id":5313,"uris":["http://zotero.org/groups/1795726/items/KIYXSC4R"],"uri":["http://zotero.org/groups/1795726/items/KIYXSC4R"],"itemData":{"id":5313,"type":"article-journal","abstract":"Though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D."}],"issued":{"date-parts":[["1996",12]]}},"locator":"728"}],"schema":"https://github.com/citation-style-language/schema/raw/master/csl-citation.json"}</w:instrText>
      </w:r>
      <w:r>
        <w:rPr>
          <w:lang w:val="en-GB"/>
        </w:rPr>
      </w:r>
      <w:r>
        <w:rPr>
          <w:lang w:val="en-GB"/>
        </w:rPr>
        <w:fldChar w:fldCharType="separate"/>
      </w:r>
      <w:r>
        <w:rPr>
          <w:lang w:val="en-GB"/>
        </w:rPr>
      </w:r>
      <w:r>
        <w:rPr>
          <w:rFonts w:cs="Calibri"/>
          <w:lang w:val="en-US"/>
        </w:rPr>
        <w:t>(Fearon &amp; Laitin, 1996, p. 728)</w:t>
      </w:r>
      <w:r>
        <w:rPr>
          <w:lang w:val="en-GB"/>
        </w:rPr>
      </w:r>
      <w:r>
        <w:rPr>
          <w:lang w:val="en-GB"/>
        </w:rPr>
        <w:fldChar w:fldCharType="end"/>
      </w:r>
      <w:r>
        <w:rPr>
          <w:lang w:val="en-GB"/>
        </w:rPr>
        <w:t xml:space="preserve">. Independent of this, when relations between groups are particularly important, such as when trade ties are central, IGP is also more likely and those dependent on them have a particular interest in developing IGP to prevent conflict </w:t>
      </w:r>
      <w:r>
        <w:fldChar w:fldCharType="begin"/>
      </w:r>
      <w:r>
        <w:rPr>
          <w:lang w:val="en-GB"/>
        </w:rPr>
        <w:instrText>ADDIN ZOTERO_ITEM CSL_CITATION {"citationID":"pf9DIjen","properties":{"formattedCitation":"(Fearon &amp; Laitin, 1996, p. 730)","plainCitation":"(Fearon &amp; Laitin, 1996, p. 730)","noteIndex":0},"citationItems":[{"id":5313,"uris":["http://zotero.org/groups/1795726/items/KIYXSC4R"],"uri":["http://zotero.org/groups/1795726/items/KIYXSC4R"],"itemData":{"id":5313,"type":"article-journal","abstract":"Though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D."}],"issued":{"date-parts":[["1996",12]]}},"locator":"730"}],"schema":"https://github.com/citation-style-language/schema/raw/master/csl-citation.json"}</w:instrText>
      </w:r>
      <w:r>
        <w:rPr>
          <w:lang w:val="en-GB"/>
        </w:rPr>
      </w:r>
      <w:r>
        <w:rPr>
          <w:lang w:val="en-GB"/>
        </w:rPr>
        <w:fldChar w:fldCharType="separate"/>
      </w:r>
      <w:r>
        <w:rPr>
          <w:lang w:val="en-GB"/>
        </w:rPr>
      </w:r>
      <w:r>
        <w:rPr>
          <w:rFonts w:cs="Calibri"/>
          <w:lang w:val="en-US"/>
        </w:rPr>
        <w:t>(Fearon &amp; Laitin, 1996, p. 730)</w:t>
      </w:r>
      <w:r>
        <w:rPr>
          <w:lang w:val="en-GB"/>
        </w:rPr>
      </w:r>
      <w:r>
        <w:rPr>
          <w:lang w:val="en-GB"/>
        </w:rPr>
        <w:fldChar w:fldCharType="end"/>
      </w:r>
      <w:r>
        <w:rPr>
          <w:lang w:val="en-GB"/>
        </w:rPr>
        <w:t>.</w:t>
      </w:r>
    </w:p>
    <w:p>
      <w:pPr>
        <w:pStyle w:val="Heading2"/>
        <w:rPr>
          <w:lang w:val="en-GB"/>
        </w:rPr>
      </w:pPr>
      <w:r>
        <w:rPr>
          <w:lang w:val="en-GB"/>
        </w:rPr>
        <w:t xml:space="preserve">Peace in the threat of </w:t>
      </w:r>
      <w:commentRangeStart w:id="9"/>
      <w:r>
        <w:rPr>
          <w:lang w:val="en-GB"/>
        </w:rPr>
        <w:t xml:space="preserve">feud </w:t>
      </w:r>
      <w:commentRangeEnd w:id="9"/>
      <w:r>
        <w:commentReference w:id="9"/>
      </w:r>
      <w:r>
        <w:rPr>
          <w:lang w:val="en-GB"/>
        </w:rPr>
      </w:r>
    </w:p>
    <w:p>
      <w:pPr>
        <w:pStyle w:val="TextBody"/>
        <w:rPr>
          <w:lang w:val="en-GB"/>
        </w:rPr>
      </w:pPr>
      <w:r>
        <w:rPr>
          <w:lang w:val="en-GB"/>
        </w:rPr>
        <w:t>IGP has often evolved as a consequence of another conflict preventing mechanism – the sheer fear of feuding.</w:t>
      </w:r>
      <w:commentRangeStart w:id="10"/>
      <w:r>
        <w:rPr>
          <w:lang w:val="en-GB"/>
        </w:rPr>
        <w:t xml:space="preserve"> Here if outsiders commit </w:t>
      </w:r>
      <w:commentRangeStart w:id="11"/>
      <w:r>
        <w:rPr>
          <w:lang w:val="en-GB"/>
        </w:rPr>
        <w:t>crimes</w:t>
      </w:r>
      <w:r>
        <w:rPr>
          <w:lang w:val="en-GB"/>
        </w:rPr>
      </w:r>
      <w:commentRangeEnd w:id="11"/>
      <w:r>
        <w:commentReference w:id="11"/>
      </w:r>
      <w:r>
        <w:rPr>
          <w:lang w:val="en-GB"/>
        </w:rPr>
        <w:t>, the victim’s group applies violent reprisals in which all members of the perpetrator’s group are legitimate targets.</w:t>
      </w:r>
      <w:r>
        <w:rPr>
          <w:rStyle w:val="FootnoteAnchor"/>
          <w:lang w:val="en-GB"/>
        </w:rPr>
        <w:footnoteReference w:id="5"/>
      </w:r>
      <w:r>
        <w:rPr>
          <w:lang w:val="en-GB"/>
        </w:rPr>
        <w:t xml:space="preserve"> Its indiscriminate nature and likelihood of triggering counter-reprisals from the other group makes it apparently irrational, but with the information-problem preventing individual punishment, the alternative to collective retaliation to infringements by individual (or collectives of) outsiders is no punishment at all signalling an inability or unwillingness to </w:t>
      </w:r>
      <w:commentRangeStart w:id="12"/>
      <w:r>
        <w:rPr>
          <w:lang w:val="en-GB"/>
        </w:rPr>
        <w:t xml:space="preserve">defend </w:t>
      </w:r>
      <w:r>
        <w:rPr>
          <w:lang w:val="en-GB"/>
        </w:rPr>
      </w:r>
      <w:commentRangeEnd w:id="12"/>
      <w:r>
        <w:commentReference w:id="12"/>
      </w:r>
      <w:r>
        <w:rPr>
          <w:lang w:val="en-GB"/>
        </w:rPr>
        <w:t xml:space="preserve">group </w:t>
      </w:r>
      <w:commentRangeStart w:id="13"/>
      <w:r>
        <w:rPr>
          <w:lang w:val="en-GB"/>
        </w:rPr>
        <w:t>members</w:t>
      </w:r>
      <w:r>
        <w:rPr>
          <w:lang w:val="en-GB"/>
        </w:rPr>
      </w:r>
      <w:commentRangeEnd w:id="13"/>
      <w:r>
        <w:commentReference w:id="13"/>
      </w:r>
      <w:r>
        <w:rPr>
          <w:lang w:val="en-GB"/>
        </w:rPr>
        <w:t xml:space="preserve">. Collective retaliation must be sufficiently likely and brutal to work as a credible deterrent, making this mechanism of fear much less robust to smaller incidents </w:t>
      </w:r>
      <w:r>
        <w:fldChar w:fldCharType="begin"/>
      </w:r>
      <w:r>
        <w:rPr>
          <w:lang w:val="en-GB"/>
        </w:rPr>
        <w:instrText>ADDIN ZOTERO_ITEM CSL_CITATION {"citationID":"SNE9lHcT","properties":{"formattedCitation":"(Fearon &amp; Laitin, 1996)","plainCitation":"(Fearon &amp; Laitin, 1996)","noteIndex":0},"citationItems":[{"id":5313,"uris":["http://zotero.org/groups/1795726/items/KIYXSC4R"],"uri":["http://zotero.org/groups/1795726/items/KIYXSC4R"],"itemData":{"id":5313,"type":"article-journal","abstract":"Though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D."}],"issued":{"date-parts":[["1996",12]]}}}],"schema":"https://github.com/citation-style-language/schema/raw/master/csl-citation.json"}</w:instrText>
      </w:r>
      <w:r>
        <w:rPr>
          <w:lang w:val="en-GB"/>
        </w:rPr>
      </w:r>
      <w:r>
        <w:rPr>
          <w:lang w:val="en-GB"/>
        </w:rPr>
        <w:fldChar w:fldCharType="separate"/>
      </w:r>
      <w:r>
        <w:rPr>
          <w:lang w:val="en-GB"/>
        </w:rPr>
      </w:r>
      <w:r>
        <w:rPr>
          <w:rFonts w:cs="Calibri"/>
          <w:lang w:val="en-US"/>
        </w:rPr>
        <w:t>(Fearon &amp; Laitin, 1996)</w:t>
      </w:r>
      <w:r>
        <w:rPr>
          <w:lang w:val="en-GB"/>
        </w:rPr>
      </w:r>
      <w:r>
        <w:rPr>
          <w:lang w:val="en-GB"/>
        </w:rPr>
        <w:fldChar w:fldCharType="end"/>
      </w:r>
      <w:r>
        <w:rPr>
          <w:lang w:val="en-GB"/>
        </w:rPr>
        <w:t xml:space="preserve">. An earned reputation for ruthlessness, even in the face of superior groups, can therefore work to uphold the peace [insert brief example from Omo where an inferior group launched a suicidal attack in order to make the peace pact more credible]   </w:t>
      </w:r>
      <w:commentRangeEnd w:id="10"/>
      <w:r>
        <w:commentReference w:id="10"/>
      </w:r>
      <w:r>
        <w:rPr>
          <w:lang w:val="en-GB"/>
        </w:rPr>
      </w:r>
    </w:p>
    <w:p>
      <w:pPr>
        <w:pStyle w:val="Heading2"/>
        <w:rPr>
          <w:lang w:val="en-GB"/>
        </w:rPr>
      </w:pPr>
      <w:r>
        <w:rPr>
          <w:lang w:val="en-GB"/>
        </w:rPr>
        <w:t>Blood money</w:t>
      </w:r>
    </w:p>
    <w:p>
      <w:pPr>
        <w:pStyle w:val="TextBody"/>
        <w:rPr>
          <w:lang w:val="en-GB"/>
        </w:rPr>
      </w:pPr>
      <w:commentRangeStart w:id="14"/>
      <w:r>
        <w:rPr>
          <w:lang w:val="en-GB"/>
        </w:rPr>
        <w:t>One way of further raising the costs of spiralling and thereby adding to its deterrence, is very high compensation rates once parties to the conflict finally agree to end the violence</w:t>
      </w:r>
      <w:r>
        <w:rPr>
          <w:lang w:val="en-GB"/>
        </w:rPr>
      </w:r>
      <w:commentRangeEnd w:id="14"/>
      <w:r>
        <w:commentReference w:id="14"/>
      </w:r>
      <w:r>
        <w:rPr>
          <w:lang w:val="en-GB"/>
        </w:rPr>
        <w:t xml:space="preserve">. When as much as 50-100 heads of cattle is required for compensating the killing of one man [insert refs to this for Somali and Ateker </w:t>
      </w:r>
      <w:commentRangeStart w:id="15"/>
      <w:r>
        <w:rPr>
          <w:lang w:val="en-GB"/>
        </w:rPr>
        <w:t>clusters</w:t>
      </w:r>
      <w:r>
        <w:rPr>
          <w:lang w:val="en-GB"/>
        </w:rPr>
      </w:r>
      <w:commentRangeEnd w:id="15"/>
      <w:r>
        <w:commentReference w:id="15"/>
      </w:r>
      <w:r>
        <w:rPr>
          <w:lang w:val="en-GB"/>
        </w:rPr>
        <w:t xml:space="preserve">] or [insert example from Papua New Guinea in Diamond], it requires a collective effort to pay, in which many members of society have to contribute. This makes the commitment both more credible but also </w:t>
      </w:r>
      <w:r>
        <w:rPr>
          <w:i/>
          <w:iCs/>
          <w:lang w:val="en-GB"/>
        </w:rPr>
        <w:t>signalling</w:t>
      </w:r>
      <w:r>
        <w:rPr>
          <w:lang w:val="en-GB"/>
        </w:rPr>
        <w:t xml:space="preserve"> a collective</w:t>
      </w:r>
      <w:r>
        <w:rPr>
          <w:i/>
          <w:iCs/>
          <w:lang w:val="en-GB"/>
        </w:rPr>
        <w:t xml:space="preserve"> </w:t>
      </w:r>
      <w:r>
        <w:rPr>
          <w:lang w:val="en-GB"/>
        </w:rPr>
        <w:t xml:space="preserve">will to break the spiral and uphold peace. Thus, prospective collective compensation costs create an additional incentive to prevent small misunderstandings, offenses, and other minor infringements that often cause spiralling. </w:t>
      </w:r>
    </w:p>
    <w:p>
      <w:pPr>
        <w:pStyle w:val="Heading2"/>
        <w:rPr>
          <w:lang w:val="en-GB"/>
        </w:rPr>
      </w:pPr>
      <w:r>
        <w:rPr>
          <w:lang w:val="en-GB"/>
        </w:rPr>
        <w:t>An example from East Africa</w:t>
      </w:r>
    </w:p>
    <w:p>
      <w:pPr>
        <w:pStyle w:val="TextBody"/>
        <w:rPr>
          <w:lang w:val="en-GB"/>
        </w:rPr>
      </w:pPr>
      <w:commentRangeStart w:id="16"/>
      <w:r>
        <w:rPr>
          <w:lang w:val="en-GB"/>
        </w:rPr>
        <w:t xml:space="preserve">Societies where the threat of spiralling is ubiquitous create security dilemmas even at the individual level with ‘a large temptation to defect on purpose since a breakdown is likely anyway’ </w:t>
      </w:r>
      <w:r>
        <w:fldChar w:fldCharType="begin"/>
      </w:r>
      <w:r>
        <w:rPr>
          <w:lang w:val="en-GB"/>
        </w:rPr>
        <w:instrText>ADDIN ZOTERO_ITEM CSL_CITATION {"citationID":"ks8LOa8y","properties":{"formattedCitation":"(Fearon &amp; Laitin, 1996, p. 724)","plainCitation":"(Fearon &amp; Laitin, 1996, p. 724)","noteIndex":0},"citationItems":[{"id":5313,"uris":["http://zotero.org/groups/1795726/items/KIYXSC4R"],"uri":["http://zotero.org/groups/1795726/items/KIYXSC4R"],"itemData":{"id":5313,"type":"article-journal","abstract":"Though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D."}],"issued":{"date-parts":[["1996",12]]}},"locator":"724"}],"schema":"https://github.com/citation-style-language/schema/raw/master/csl-citation.json"}</w:instrText>
      </w:r>
      <w:r>
        <w:rPr>
          <w:lang w:val="en-GB"/>
        </w:rPr>
      </w:r>
      <w:r>
        <w:rPr>
          <w:lang w:val="en-GB"/>
        </w:rPr>
        <w:fldChar w:fldCharType="separate"/>
      </w:r>
      <w:r>
        <w:rPr>
          <w:lang w:val="en-GB"/>
        </w:rPr>
      </w:r>
      <w:r>
        <w:rPr>
          <w:rFonts w:cs="Calibri"/>
          <w:lang w:val="en-GB"/>
        </w:rPr>
        <w:t>(Fearon &amp; Laitin, 1996, p. 724)</w:t>
      </w:r>
      <w:r>
        <w:rPr>
          <w:lang w:val="en-GB"/>
        </w:rPr>
      </w:r>
      <w:r>
        <w:rPr>
          <w:lang w:val="en-GB"/>
        </w:rPr>
        <w:fldChar w:fldCharType="end"/>
      </w:r>
      <w:r>
        <w:rPr>
          <w:lang w:val="en-GB"/>
        </w:rPr>
        <w:t xml:space="preserve">. </w:t>
      </w:r>
      <w:commentRangeStart w:id="17"/>
      <w:r>
        <w:rPr>
          <w:lang w:val="en-GB"/>
        </w:rPr>
        <w:t xml:space="preserve">Frequent cattle-raiding between pastoral societies in Eastern Africa is a case in </w:t>
      </w:r>
      <w:commentRangeStart w:id="18"/>
      <w:r>
        <w:rPr>
          <w:lang w:val="en-GB"/>
        </w:rPr>
        <w:t>point</w:t>
      </w:r>
      <w:r>
        <w:rPr>
          <w:lang w:val="en-GB"/>
        </w:rPr>
      </w:r>
      <w:commentRangeEnd w:id="18"/>
      <w:r>
        <w:commentReference w:id="18"/>
      </w:r>
      <w:r>
        <w:rPr>
          <w:lang w:val="en-GB"/>
        </w:rPr>
        <w:t>. Most groups rely on quite similar livelihoods, with limited mutual benefits from economic exchange. Typically, the majority favours peace, but individuals can benefit substantially in the short term from taking the cattle (violently or not) from outsiders. However, this jeopardizes the peace. The victims can choose to ignore the infringement knowing that redress is difficult, or ask the locals where tracks are found for help. If this entails asking for help in a different community, chances are low, as groups practice ‘</w:t>
      </w:r>
      <w:commentRangeStart w:id="19"/>
      <w:r>
        <w:rPr>
          <w:lang w:val="en-GB"/>
        </w:rPr>
        <w:t>kimuk ekile’ covering their man, thus, even thieves normally despised of, when having stolen cattle from another community, are covered</w:t>
      </w:r>
      <w:r>
        <w:rPr>
          <w:lang w:val="en-GB"/>
        </w:rPr>
      </w:r>
      <w:commentRangeEnd w:id="19"/>
      <w:r>
        <w:commentReference w:id="19"/>
      </w:r>
      <w:r>
        <w:rPr>
          <w:lang w:val="en-GB"/>
        </w:rPr>
        <w:t xml:space="preserve">. Due to insecurity, language issues, and a lack of information, the pursuers are likely unsuccessful on their own. If assisted and apprehending the cattle or getting compensation, then peace will hold. This represents a very crude parallel to IGP. When not granted help, the situation is ripe for asymmetric retaliation against anyone in the thief’s community, which in turn is likely to spiral </w:t>
      </w:r>
      <w:r>
        <w:fldChar w:fldCharType="begin"/>
      </w:r>
      <w:r>
        <w:rPr>
          <w:lang w:val="en-GB"/>
        </w:rPr>
        <w:instrText>ADDIN ZOTERO_ITEM CSL_CITATION {"citationID":"w2J8d4l5","properties":{"formattedCitation":"(Eaton, 2008, p. 104ff)","plainCitation":"(Eaton, 2008, p. 104ff)","noteIndex":0},"citationItems":[{"id":5346,"uris":["http://zotero.org/groups/1795726/items/NDXL35MN"],"uri":["http://zotero.org/groups/1795726/items/NDXL35MN"],"itemData":{"id":5346,"type":"article-journal","abstract":"Peace-building NGOs are frequently at work along the Kenya–Uganda border. But in this desolate region, results have been extremely sparse. This article contends that this is due to the inadequacies of contemporary understandings of cattle raiding. Most NGOs and many academics ascribe cattle raids to a familiar array of factors such as resource scarcity, small arms proliferation, and generational conflict. While each issue is obviously of some relevance, such explanations are too cumbersome to really enhance our knowledge of cattle raiding. This article proposes a new approach to the problem by utilizing popular conceptions of ethnicity and criminal responsibility for raids. Given that most major raids originally stem from seemingly insignificant thefts, the process of retaliation is seen as crucial to understanding why violence escalates in certain situations and defuses in others. The failure of NGOs engaged in peace work to address this important issue in a meaningful way is the reason they have failed to achieve much success along the Kenya–Uganda border. This is in turn responsible for the widespread cynicism and corruption that has crept into their work, and is the subject of the second part of this article.","container-title":"African Affairs","DOI":"10.1093/afraf/adm085","ISSN":"0001-9909","issue":"426","journalAbbreviation":"African Affairs","page":"89-110","source":"Silverchair","title":"The Business of Peace: Raiding and Peace Work Along the Kenya–Uganda Border (Part I)","title-short":"The Business of Peace","volume":"107","author":[{"family":"Eaton","given":"Dave"}],"issued":{"date-parts":[["2008",1,1]]}},"locator":"104ff"}],"schema":"https://github.com/citation-style-language/schema/raw/master/csl-citation.json"}</w:instrText>
      </w:r>
      <w:r>
        <w:rPr>
          <w:lang w:val="en-GB"/>
        </w:rPr>
      </w:r>
      <w:r>
        <w:rPr>
          <w:lang w:val="en-GB"/>
        </w:rPr>
        <w:fldChar w:fldCharType="separate"/>
      </w:r>
      <w:r>
        <w:rPr>
          <w:lang w:val="en-GB"/>
        </w:rPr>
      </w:r>
      <w:r>
        <w:rPr>
          <w:rFonts w:cs="Calibri"/>
          <w:lang w:val="en-GB"/>
        </w:rPr>
        <w:t>(Eaton, 2008, p. 104ff)</w:t>
      </w:r>
      <w:r>
        <w:rPr>
          <w:lang w:val="en-GB"/>
        </w:rPr>
      </w:r>
      <w:r>
        <w:rPr>
          <w:lang w:val="en-GB"/>
        </w:rPr>
        <w:fldChar w:fldCharType="end"/>
      </w:r>
      <w:r>
        <w:rPr>
          <w:lang w:val="en-GB"/>
        </w:rPr>
        <w:t>. When the threat of raids from outsiders driven by sheer opportunism looms large, even should one’s coethnics uphold the peace, expected future gains of peaceful relations are reduced and so is the inclination to uphold them. High benefits of defection, a substantive risk of the other group opportunistically breaking the peace combined with the low level of economic interdependence between groups could go some way in explaining the higher frequency of communal violence in this region. This also illustrates that for spiralling to deter defection, interethnic interaction cannot be too infrequent and/or too superficial relative to the costs of defection, lest there is simply less to lose from defection</w:t>
      </w:r>
      <w:r>
        <w:rPr>
          <w:lang w:val="en-GB"/>
        </w:rPr>
        <w:commentReference w:id="20"/>
      </w:r>
      <w:r>
        <w:rPr>
          <w:lang w:val="en-GB"/>
        </w:rPr>
      </w:r>
      <w:commentRangeEnd w:id="17"/>
      <w:r>
        <w:commentReference w:id="17"/>
      </w:r>
      <w:r>
        <w:rPr>
          <w:lang w:val="en-GB"/>
        </w:rPr>
        <w:t xml:space="preserve"> </w:t>
      </w:r>
      <w:r>
        <w:fldChar w:fldCharType="begin"/>
      </w:r>
      <w:r>
        <w:rPr>
          <w:lang w:val="en-GB"/>
        </w:rPr>
        <w:instrText>ADDIN ZOTERO_ITEM CSL_CITATION {"citationID":"ZknEnhzL","properties":{"formattedCitation":"(Fearon &amp; Laitin, 1996)","plainCitation":"(Fearon &amp; Laitin, 1996)","noteIndex":0},"citationItems":[{"id":5313,"uris":["http://zotero.org/groups/1795726/items/KIYXSC4R"],"uri":["http://zotero.org/groups/1795726/items/KIYXSC4R"],"itemData":{"id":5313,"type":"article-journal","abstract":"Though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D."}],"issued":{"date-parts":[["1996",12]]}}}],"schema":"https://github.com/citation-style-language/schema/raw/master/csl-citation.json"}</w:instrText>
      </w:r>
      <w:r>
        <w:rPr>
          <w:lang w:val="en-GB"/>
        </w:rPr>
      </w:r>
      <w:r>
        <w:rPr>
          <w:lang w:val="en-GB"/>
        </w:rPr>
        <w:fldChar w:fldCharType="separate"/>
      </w:r>
      <w:r>
        <w:rPr>
          <w:lang w:val="en-GB"/>
        </w:rPr>
      </w:r>
      <w:r>
        <w:rPr>
          <w:rFonts w:cs="Calibri"/>
          <w:lang w:val="en-GB"/>
        </w:rPr>
        <w:t>(Fearon &amp; Laitin, 1996)</w:t>
      </w:r>
      <w:r>
        <w:rPr>
          <w:lang w:val="en-GB"/>
        </w:rPr>
      </w:r>
      <w:r>
        <w:rPr>
          <w:lang w:val="en-GB"/>
        </w:rPr>
        <w:fldChar w:fldCharType="end"/>
      </w:r>
      <w:r>
        <w:rPr>
          <w:lang w:val="en-GB"/>
        </w:rPr>
        <w:t>.</w:t>
      </w:r>
      <w:commentRangeEnd w:id="16"/>
      <w:r>
        <w:commentReference w:id="16"/>
      </w:r>
      <w:r>
        <w:rPr>
          <w:lang w:val="en-GB"/>
        </w:rPr>
      </w:r>
    </w:p>
    <w:p>
      <w:pPr>
        <w:pStyle w:val="TextBody"/>
        <w:rPr>
          <w:lang w:val="en-GB"/>
        </w:rPr>
      </w:pPr>
      <w:r>
        <w:rPr>
          <w:lang w:val="en-GB"/>
        </w:rPr>
        <w:t xml:space="preserve">[add examples from Papua New Guinea, the Amazon and other places to show generality]. </w:t>
      </w:r>
    </w:p>
    <w:p>
      <w:pPr>
        <w:pStyle w:val="TextBody"/>
        <w:rPr>
          <w:lang w:val="en-GB"/>
        </w:rPr>
      </w:pPr>
      <w:r>
        <w:rPr>
          <w:lang w:val="en-GB"/>
        </w:rPr>
      </w:r>
    </w:p>
    <w:p>
      <w:pPr>
        <w:pStyle w:val="BodyTextFirstIndent2"/>
        <w:ind w:left="0" w:hanging="0"/>
        <w:rPr>
          <w:lang w:val="en-GB"/>
        </w:rPr>
      </w:pPr>
      <w:r>
        <w:rPr>
          <w:lang w:val="en-GB"/>
        </w:rPr>
      </w:r>
    </w:p>
    <w:p>
      <w:pPr>
        <w:pStyle w:val="Normal"/>
        <w:rPr>
          <w:lang w:val="en-GB"/>
        </w:rPr>
      </w:pPr>
      <w:r>
        <w:rPr>
          <w:lang w:val="en-GB"/>
        </w:rPr>
      </w:r>
    </w:p>
    <w:p>
      <w:pPr>
        <w:pStyle w:val="Heading1"/>
        <w:rPr>
          <w:lang w:val="en-GB"/>
        </w:rPr>
      </w:pPr>
      <w:r>
        <w:rPr>
          <w:lang w:val="en-GB"/>
        </w:rPr>
        <w:t>What lingering effects to precolonial states have today?</w:t>
      </w:r>
    </w:p>
    <w:p>
      <w:pPr>
        <w:pStyle w:val="Normal"/>
        <w:rPr>
          <w:lang w:val="en-GB"/>
        </w:rPr>
      </w:pPr>
      <w:r>
        <w:rPr>
          <w:lang w:val="en-GB"/>
        </w:rPr>
        <w:t xml:space="preserve">States tend to assimilate populations through state-building </w:t>
      </w:r>
      <w:r>
        <w:fldChar w:fldCharType="begin"/>
      </w:r>
      <w:r>
        <w:rPr>
          <w:lang w:val="en-GB"/>
        </w:rPr>
        <w:instrText>ADDIN ZOTERO_ITEM CSL_CITATION {"citationID":"rsjViaDL","properties":{"formattedCitation":"(Anderson, 2006)","plainCitation":"(Anderson, 2006)","noteIndex":0},"citationItems":[{"id":5370,"uris":["http://zotero.org/groups/1795726/items/YSK83U5X"],"uri":["http://zotero.org/groups/1795726/items/YSK83U5X"],"itemData":{"id":5370,"type":"book","edition":"Second Edition","event-place":"London","publisher":"Verso","publisher-place":"London","title":"Imagined Communities","author":[{"family":"Anderson","given":"Benedict"}],"issued":{"date-parts":[["2006"]]}}}],"schema":"https://github.com/citation-style-language/schema/raw/master/csl-citation.json"}</w:instrText>
      </w:r>
      <w:r>
        <w:rPr>
          <w:lang w:val="en-GB"/>
        </w:rPr>
      </w:r>
      <w:r>
        <w:rPr>
          <w:lang w:val="en-GB"/>
        </w:rPr>
        <w:fldChar w:fldCharType="separate"/>
      </w:r>
      <w:r>
        <w:rPr>
          <w:lang w:val="en-GB"/>
        </w:rPr>
      </w:r>
      <w:r>
        <w:rPr>
          <w:rFonts w:cs="Calibri"/>
          <w:lang w:val="en-GB"/>
        </w:rPr>
        <w:t>(Anderson, 2006)</w:t>
      </w:r>
      <w:r>
        <w:rPr>
          <w:lang w:val="en-GB"/>
        </w:rPr>
      </w:r>
      <w:r>
        <w:rPr>
          <w:lang w:val="en-GB"/>
        </w:rPr>
        <w:fldChar w:fldCharType="end"/>
      </w:r>
      <w:r>
        <w:rPr>
          <w:lang w:val="en-GB"/>
        </w:rPr>
        <w:t>. In some cases this results in the consolidation of new ethnic groups, but in other instances it serves to make the boundaries between ethnic groups softer facilitating increased peaceful interaction in the form of trade, mixed settlements, and increased cross-group marriages</w:t>
      </w:r>
      <w:bookmarkStart w:id="0" w:name="_GoBack"/>
      <w:bookmarkEnd w:id="0"/>
      <w:r>
        <w:rPr>
          <w:lang w:val="en-GB"/>
        </w:rPr>
        <w:t>. These effects of previous statehood have a conflict-dampening effect on the mechanisms described above.</w:t>
      </w:r>
    </w:p>
    <w:p>
      <w:pPr>
        <w:pStyle w:val="Normal"/>
        <w:rPr>
          <w:lang w:val="en-GB"/>
        </w:rPr>
      </w:pPr>
      <w:r>
        <w:rPr>
          <w:lang w:val="en-GB"/>
        </w:rPr>
        <w:t>- interethnic interaction</w:t>
      </w:r>
    </w:p>
    <w:p>
      <w:pPr>
        <w:pStyle w:val="Normal"/>
        <w:rPr>
          <w:lang w:val="en-GB"/>
        </w:rPr>
      </w:pPr>
      <w:r>
        <w:rPr>
          <w:lang w:val="en-GB"/>
        </w:rPr>
        <w:t>- mixed settlements</w:t>
      </w:r>
    </w:p>
    <w:p>
      <w:pPr>
        <w:pStyle w:val="Normal"/>
        <w:rPr>
          <w:lang w:val="en-GB"/>
        </w:rPr>
      </w:pPr>
      <w:r>
        <w:rPr>
          <w:lang w:val="en-GB"/>
        </w:rPr>
        <w:t>- decreasing the information problem</w:t>
      </w:r>
    </w:p>
    <w:p>
      <w:pPr>
        <w:pStyle w:val="Normal"/>
        <w:rPr>
          <w:lang w:val="en-GB"/>
        </w:rPr>
      </w:pPr>
      <w:r>
        <w:rPr>
          <w:lang w:val="en-GB"/>
        </w:rPr>
        <w:tab/>
        <w:t>- individual reputation</w:t>
      </w:r>
    </w:p>
    <w:p>
      <w:pPr>
        <w:pStyle w:val="Normal"/>
        <w:rPr>
          <w:lang w:val="en-GB"/>
        </w:rPr>
      </w:pPr>
      <w:r>
        <w:rPr>
          <w:lang w:val="en-GB"/>
        </w:rPr>
        <w:tab/>
        <w:t>- understanding of cultural codes</w:t>
      </w:r>
    </w:p>
    <w:p>
      <w:pPr>
        <w:pStyle w:val="Normal"/>
        <w:rPr>
          <w:lang w:val="en-GB"/>
        </w:rPr>
      </w:pPr>
      <w:r>
        <w:rPr>
          <w:lang w:val="en-GB"/>
        </w:rPr>
        <w:t>- economic development</w:t>
      </w:r>
    </w:p>
    <w:p>
      <w:pPr>
        <w:pStyle w:val="Normal"/>
        <w:rPr>
          <w:lang w:val="en-GB"/>
        </w:rPr>
      </w:pPr>
      <w:r>
        <w:rPr>
          <w:lang w:val="en-GB"/>
        </w:rPr>
        <w:t>- precolonial structures made it easier for colonial masters to successfully integrate and develop colonized areas through more effective indirect rule</w:t>
      </w:r>
    </w:p>
    <w:p>
      <w:pPr>
        <w:pStyle w:val="Normal"/>
        <w:rPr>
          <w:lang w:val="en-GB"/>
        </w:rPr>
      </w:pPr>
      <w:r>
        <w:rPr>
          <w:lang w:val="en-GB"/>
        </w:rPr>
        <w:tab/>
        <w:t>- the lack of statehood and subsequent development I South Sudan</w:t>
      </w:r>
    </w:p>
    <w:p>
      <w:pPr>
        <w:pStyle w:val="Normal"/>
        <w:rPr>
          <w:lang w:val="en-GB"/>
        </w:rPr>
      </w:pPr>
      <w:r>
        <w:rPr>
          <w:lang w:val="en-GB"/>
        </w:rPr>
        <w:tab/>
        <w:t>- the lack of a head chief prevented land rights for certain groups in Darfur, causing trouble when ecological changes forced these groups to stay longer on others’ lands (as they had no land on their own)</w:t>
      </w:r>
    </w:p>
    <w:p>
      <w:pPr>
        <w:pStyle w:val="Normal"/>
        <w:rPr>
          <w:lang w:val="en-GB"/>
        </w:rPr>
      </w:pPr>
      <w:r>
        <w:rPr>
          <w:lang w:val="en-GB"/>
        </w:rPr>
      </w:r>
    </w:p>
    <w:p>
      <w:pPr>
        <w:pStyle w:val="Heading1"/>
        <w:rPr>
          <w:lang w:val="en-GB"/>
        </w:rPr>
      </w:pPr>
      <w:r>
        <w:rPr>
          <w:lang w:val="en-GB"/>
        </w:rPr>
        <w:t>Parameters in interethnic institutions that are affected by precolonial states</w:t>
      </w:r>
    </w:p>
    <w:p>
      <w:pPr>
        <w:pStyle w:val="Normal"/>
        <w:rPr>
          <w:lang w:val="en-GB"/>
        </w:rPr>
      </w:pPr>
      <w:r>
        <w:rPr>
          <w:lang w:val="en-GB"/>
        </w:rPr>
      </w:r>
    </w:p>
    <w:p>
      <w:pPr>
        <w:pStyle w:val="Heading2"/>
        <w:rPr>
          <w:lang w:val="en-GB"/>
        </w:rPr>
      </w:pPr>
      <w:r>
        <w:rPr>
          <w:lang w:val="en-GB"/>
        </w:rPr>
        <w:t>Frequency of interethnic interaction</w:t>
      </w:r>
    </w:p>
    <w:p>
      <w:pPr>
        <w:pStyle w:val="TextBody"/>
        <w:rPr>
          <w:lang w:val="en-GB"/>
        </w:rPr>
      </w:pPr>
      <w:commentRangeStart w:id="21"/>
      <w:r>
        <w:rPr>
          <w:lang w:val="en-GB"/>
        </w:rPr>
        <w:t xml:space="preserve">For both mechanisms to work, </w:t>
      </w:r>
      <w:r>
        <w:rPr>
          <w:i/>
          <w:iCs/>
          <w:lang w:val="en-GB"/>
        </w:rPr>
        <w:t>intra</w:t>
      </w:r>
      <w:r>
        <w:rPr>
          <w:lang w:val="en-GB"/>
        </w:rPr>
        <w:t xml:space="preserve">-ethnic cooperation must be sufficient to ensure collective action. Both the incentive to defect against coethnics must be low, and those who do defect against coethnics must have an incentive to accept their punishment. Furthermore, relatively frequent intraethnic relative to inter-ethnic encounters must take place for group cohesiveness to be sufficiently strong for intraethnic sanctions to work. </w:t>
      </w:r>
      <w:commentRangeStart w:id="22"/>
      <w:r>
        <w:rPr>
          <w:lang w:val="en-GB"/>
        </w:rPr>
        <w:t xml:space="preserve">Consequently, ethnic groups often have ways of deterring too much mingling with outsiders, such as taboos on cross-ethnic marriages, and strong norms on intragroup </w:t>
      </w:r>
      <w:commentRangeStart w:id="23"/>
      <w:r>
        <w:rPr>
          <w:lang w:val="en-GB"/>
        </w:rPr>
        <w:t>behavior</w:t>
      </w:r>
      <w:r>
        <w:rPr>
          <w:lang w:val="en-GB"/>
        </w:rPr>
      </w:r>
      <w:commentRangeEnd w:id="23"/>
      <w:r>
        <w:commentReference w:id="23"/>
      </w:r>
      <w:r>
        <w:rPr>
          <w:lang w:val="en-GB"/>
        </w:rPr>
        <w:t xml:space="preserve">.  For instance, Bollig </w:t>
      </w:r>
      <w:r>
        <w:fldChar w:fldCharType="begin"/>
      </w:r>
      <w:r>
        <w:rPr>
          <w:lang w:val="en-GB"/>
        </w:rPr>
        <w:instrText>ADDIN ZOTERO_ITEM CSL_CITATION {"citationID":"XRAAgv2P","properties":{"formattedCitation":"(1993, p. 177)","plainCitation":"(1993, p. 177)","noteIndex":0},"citationItems":[{"id":5312,"uris":["http://zotero.org/groups/1795726/items/87UMX6I5"],"uri":["http://zotero.org/groups/1795726/items/87UMX6I5"],"itemData":{"id":5312,"type":"article-journal","container-title":"Anthropos","ISSN":"0257-9774","issue":"1/3","note":"publisher: Anthropos Institut","page":"176-184","source":"JSTOR","title":"Intra-and Interethnic Conflict in Northwest Kenya. A Multicausal Analysis of Conflict Behaviour","volume":"88","author":[{"family":"Bollig","given":"Michael"}],"issued":{"date-parts":[["1993"]]}},"locator":"177","suppress-author":true}],"schema":"https://github.com/citation-style-language/schema/raw/master/csl-citation.json"}</w:instrText>
      </w:r>
      <w:r>
        <w:rPr>
          <w:lang w:val="en-GB"/>
        </w:rPr>
      </w:r>
      <w:r>
        <w:rPr>
          <w:lang w:val="en-GB"/>
        </w:rPr>
        <w:fldChar w:fldCharType="separate"/>
      </w:r>
      <w:r>
        <w:rPr>
          <w:lang w:val="en-GB"/>
        </w:rPr>
      </w:r>
      <w:r>
        <w:rPr>
          <w:rFonts w:cs="Calibri"/>
          <w:lang w:val="en-US"/>
        </w:rPr>
        <w:t>(1993, p. 177)</w:t>
      </w:r>
      <w:r>
        <w:rPr>
          <w:lang w:val="en-GB"/>
        </w:rPr>
      </w:r>
      <w:r>
        <w:rPr>
          <w:lang w:val="en-GB"/>
        </w:rPr>
        <w:fldChar w:fldCharType="end"/>
      </w:r>
      <w:r>
        <w:rPr>
          <w:lang w:val="en-GB"/>
        </w:rPr>
        <w:t xml:space="preserve"> reports that in Pokot society, there are strong norms for solving intraethnic conflicts peacefully to the extent that strong words are discouraged. Over a forty-year period, he recorded two murders for a group of 10-20,000 persons, constituting a murder rate (0.33) lower than all but a few contemporary Western societies – in striking contrast to their very violent relations with neighbouring groups.</w:t>
      </w:r>
      <w:r>
        <w:rPr>
          <w:lang w:val="en-GB"/>
        </w:rPr>
      </w:r>
      <w:commentRangeEnd w:id="21"/>
      <w:r>
        <w:commentReference w:id="21"/>
      </w:r>
      <w:commentRangeEnd w:id="22"/>
      <w:r>
        <w:commentReference w:id="22"/>
      </w:r>
      <w:r>
        <w:rPr>
          <w:lang w:val="en-GB"/>
        </w:rPr>
      </w:r>
    </w:p>
    <w:p>
      <w:pPr>
        <w:pStyle w:val="TextBody"/>
        <w:rPr>
          <w:lang w:val="en-GB"/>
        </w:rPr>
      </w:pPr>
      <w:commentRangeStart w:id="24"/>
      <w:r>
        <w:rPr>
          <w:lang w:val="en-GB"/>
        </w:rPr>
        <w:t xml:space="preserve">For persons to behave nicely against outsiders, the threat of some form of punishment must be present, or (and often less likely) the long-term </w:t>
      </w:r>
      <w:r>
        <w:rPr>
          <w:i/>
          <w:lang w:val="en-GB"/>
        </w:rPr>
        <w:t>individual</w:t>
      </w:r>
      <w:r>
        <w:rPr>
          <w:lang w:val="en-GB"/>
        </w:rPr>
        <w:t xml:space="preserve"> gains for cross-ethnic cooperation must be higher than the </w:t>
      </w:r>
      <w:r>
        <w:rPr>
          <w:i/>
          <w:lang w:val="en-GB"/>
        </w:rPr>
        <w:t>individual</w:t>
      </w:r>
      <w:r>
        <w:rPr>
          <w:lang w:val="en-GB"/>
        </w:rPr>
        <w:t xml:space="preserve"> gains from defecting today. </w:t>
      </w:r>
      <w:r>
        <w:rPr>
          <w:lang w:val="en-GB"/>
        </w:rPr>
      </w:r>
      <w:commentRangeEnd w:id="2"/>
      <w:r>
        <w:commentReference w:id="2"/>
      </w:r>
      <w:r>
        <w:rPr>
          <w:lang w:val="en-GB"/>
        </w:rPr>
        <w:t xml:space="preserve">The frequency of interethnic interaction affects the proclivity to behave nicely towards outsiders </w:t>
      </w:r>
      <w:r>
        <w:fldChar w:fldCharType="begin"/>
      </w:r>
      <w:r>
        <w:rPr>
          <w:lang w:val="en-GB"/>
        </w:rPr>
        <w:instrText>ADDIN ZOTERO_ITEM CSL_CITATION {"citationID":"uaNlBo9w","properties":{"formattedCitation":"(Fearon &amp; Laitin, 1996, p. 721)","plainCitation":"(Fearon &amp; Laitin, 1996, p. 721)","noteIndex":0},"citationItems":[{"id":5313,"uris":["http://zotero.org/groups/1795726/items/KIYXSC4R"],"uri":["http://zotero.org/groups/1795726/items/KIYXSC4R"],"itemData":{"id":5313,"type":"article-journal","abstract":"Though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D."}],"issued":{"date-parts":[["1996",12]]}},"locator":"721"}],"schema":"https://github.com/citation-style-language/schema/raw/master/csl-citation.json"}</w:instrText>
      </w:r>
      <w:r>
        <w:rPr>
          <w:lang w:val="en-GB"/>
        </w:rPr>
      </w:r>
      <w:r>
        <w:rPr>
          <w:lang w:val="en-GB"/>
        </w:rPr>
        <w:fldChar w:fldCharType="separate"/>
      </w:r>
      <w:r>
        <w:rPr>
          <w:lang w:val="en-GB"/>
        </w:rPr>
      </w:r>
      <w:r>
        <w:rPr>
          <w:rFonts w:cs="Calibri"/>
          <w:lang w:val="en-US"/>
        </w:rPr>
        <w:t>(Fearon &amp; Laitin, 1996, p. 721)</w:t>
      </w:r>
      <w:r>
        <w:rPr>
          <w:lang w:val="en-GB"/>
        </w:rPr>
      </w:r>
      <w:r>
        <w:rPr>
          <w:lang w:val="en-GB"/>
        </w:rPr>
        <w:fldChar w:fldCharType="end"/>
      </w:r>
      <w:r>
        <w:rPr>
          <w:lang w:val="en-GB"/>
        </w:rPr>
        <w:t xml:space="preserve">, as more (less) frequent cross-ethnic interaction implies more (less) chances of building an individual reputation for trust; more (less) to gain from trade; and less (more) effective anonymity for outsiders of one’s own ethnic community. </w:t>
      </w:r>
      <w:commentRangeEnd w:id="3"/>
      <w:r>
        <w:commentReference w:id="3"/>
      </w:r>
      <w:r>
        <w:rPr>
          <w:lang w:val="en-GB"/>
        </w:rPr>
      </w:r>
    </w:p>
    <w:p>
      <w:pPr>
        <w:pStyle w:val="BodyTextFirstIndent2"/>
        <w:ind w:left="0" w:hanging="0"/>
        <w:rPr>
          <w:lang w:val="en-GB"/>
        </w:rPr>
      </w:pPr>
      <w:r>
        <w:rPr>
          <w:lang w:val="en-GB"/>
        </w:rPr>
      </w:r>
      <w:commentRangeEnd w:id="24"/>
      <w:r>
        <w:commentReference w:id="24"/>
      </w:r>
      <w:r>
        <w:rPr>
          <w:lang w:val="en-GB"/>
        </w:rPr>
        <w:t xml:space="preserve">Similar as to under the spiralling mechanism, interethnic relations cannot be too frequent for IGP to work as this would reduce group’s ability to punish coethnics (see also below/transition to the point below). </w:t>
      </w:r>
    </w:p>
    <w:p>
      <w:pPr>
        <w:pStyle w:val="Heading2"/>
        <w:rPr>
          <w:lang w:val="en-GB"/>
        </w:rPr>
      </w:pPr>
      <w:r>
        <w:rPr/>
        <w:t>Economic dependence</w:t>
      </w:r>
      <w:r>
        <w:rPr>
          <w:lang w:val="en-GB"/>
        </w:rPr>
        <w:t xml:space="preserve"> </w:t>
      </w:r>
    </w:p>
    <w:p>
      <w:pPr>
        <w:pStyle w:val="TextBody"/>
        <w:rPr>
          <w:lang w:val="en-GB"/>
        </w:rPr>
      </w:pPr>
      <w:commentRangeStart w:id="25"/>
      <w:r>
        <w:rPr>
          <w:lang w:val="en-GB"/>
        </w:rPr>
        <w:t xml:space="preserve">For the fear of spiralling to be effective, immediate gains from cheating must be lower than (potentially lost) future gains from cooperating. Conversely, substantial immediate individual gains from cheating outsiders and limited future gains from cooperation, increases the risk of cheating. For instance, Olsson argues that three decades of drying removed the basis for trade between different livelihood groups in Darfur causing markets to collapse. As groups became more autarkic, the division of resources became less mutually beneficial and more conflictual, laying the ground for appropriative conflicts from the mid-1980s onwards </w:t>
      </w:r>
      <w:r>
        <w:fldChar w:fldCharType="begin"/>
      </w:r>
      <w:r>
        <w:rPr>
          <w:lang w:val="en-GB"/>
        </w:rPr>
        <w:instrText>ADDIN ZOTERO_ITEM CSL_CITATION {"citationID":"hxoMtbNg","properties":{"formattedCitation":"(Olsson, 2016)","plainCitation":"(Olsson, 2016)","noteIndex":0},"citationItems":[{"id":4644,"uris":["http://zotero.org/groups/1795726/items/FLWSWF6Z"],"uri":["http://zotero.org/groups/1795726/items/FLWSWF6Z"],"itemData":{"id":4644,"type":"article-journal","abstract":"A recurring argument in the global debate is that climate deterioration is likely to make social conflicts over diminishing natural resources more common in the future. The exact mechanism behind such a development has so far not been successfully characterized in the literature. In this paper, we present a general model of a community populated by farmers and herders who can either divide up land in a market economy or in autarky. The key insight from our model is that decreasing resources can make trade between the two groups collapse, which in turn makes each group’s welfare independent of that of the other. Predictions from the model are then applied to the conflict in Darfur. Our analysis suggests that three decades of drought in the area can at least partially explain the observed disintegration of markets and the subsequent rise of social tensions.","container-title":"Games","DOI":"10.3390/g7010009","issue":"1","language":"en","note":"number: 1\npublisher: Multidisciplinary Digital Publishing Institute","page":"9","source":"www.mdpi.com","title":"Climate Change and Market Collapse: A Model Applied to Darfur","title-short":"Climate Change and Market Collapse","volume":"7","author":[{"family":"Olsson","given":"Ola"}],"issued":{"date-parts":[["2016",3]]}}}],"schema":"https://github.com/citation-style-language/schema/raw/master/csl-citation.json"}</w:instrText>
      </w:r>
      <w:r>
        <w:rPr>
          <w:lang w:val="en-GB"/>
        </w:rPr>
      </w:r>
      <w:r>
        <w:rPr>
          <w:lang w:val="en-GB"/>
        </w:rPr>
        <w:fldChar w:fldCharType="separate"/>
      </w:r>
      <w:r>
        <w:rPr>
          <w:lang w:val="en-GB"/>
        </w:rPr>
      </w:r>
      <w:r>
        <w:rPr>
          <w:rFonts w:cs="Calibri"/>
          <w:lang w:val="en-US"/>
        </w:rPr>
        <w:t>(Olsson, 2016)</w:t>
      </w:r>
      <w:r>
        <w:rPr>
          <w:lang w:val="en-GB"/>
        </w:rPr>
      </w:r>
      <w:r>
        <w:rPr>
          <w:lang w:val="en-GB"/>
        </w:rPr>
        <w:fldChar w:fldCharType="end"/>
      </w:r>
      <w:r>
        <w:rPr>
          <w:lang w:val="en-GB"/>
        </w:rPr>
        <w:t xml:space="preserve">.  </w:t>
      </w:r>
      <w:commentRangeEnd w:id="25"/>
      <w:r>
        <w:commentReference w:id="25"/>
      </w:r>
      <w:r>
        <w:rPr>
          <w:lang w:val="en-GB"/>
        </w:rPr>
      </w:r>
    </w:p>
    <w:p>
      <w:pPr>
        <w:pStyle w:val="Heading2"/>
        <w:rPr>
          <w:lang w:val="en-GB"/>
        </w:rPr>
      </w:pPr>
      <w:r>
        <w:rPr>
          <w:lang w:val="en-GB"/>
        </w:rPr>
        <w:t>Abnorm hospitality but also conformism in nonstate societies</w:t>
      </w:r>
    </w:p>
    <w:p>
      <w:pPr>
        <w:pStyle w:val="TextBody"/>
        <w:rPr>
          <w:lang w:val="en-GB"/>
        </w:rPr>
      </w:pPr>
      <w:r>
        <w:rPr>
          <w:lang w:val="en-GB"/>
        </w:rPr>
        <w:t xml:space="preserve">This creates cultures that encourage nosiness in coethnics affairs, and norms of thick-skinnedness, extreme self-restraint, generosity, hospitality and </w:t>
      </w:r>
      <w:commentRangeStart w:id="26"/>
      <w:commentRangeStart w:id="27"/>
      <w:r>
        <w:rPr>
          <w:lang w:val="en-GB"/>
        </w:rPr>
        <w:t xml:space="preserve">politeness </w:t>
      </w:r>
      <w:r>
        <w:rPr>
          <w:lang w:val="en-GB"/>
        </w:rPr>
      </w:r>
      <w:commentRangeEnd w:id="27"/>
      <w:r>
        <w:commentReference w:id="27"/>
      </w:r>
      <w:r>
        <w:rPr>
          <w:lang w:val="en-GB"/>
        </w:rPr>
      </w:r>
      <w:commentRangeEnd w:id="26"/>
      <w:r>
        <w:commentReference w:id="26"/>
      </w:r>
      <w:r>
        <w:rPr>
          <w:lang w:val="en-GB"/>
        </w:rPr>
        <w:t>towards outsiders</w:t>
      </w:r>
      <w:r>
        <w:rPr>
          <w:rStyle w:val="FootnoteAnchor"/>
          <w:lang w:val="en-GB"/>
        </w:rPr>
        <w:footnoteReference w:id="6"/>
      </w:r>
      <w:r>
        <w:rPr>
          <w:lang w:val="en-GB"/>
        </w:rPr>
        <w:t xml:space="preserve">, and strongly </w:t>
      </w:r>
      <w:commentRangeStart w:id="28"/>
      <w:r>
        <w:rPr>
          <w:lang w:val="en-GB"/>
        </w:rPr>
        <w:t>discourage hot-headedness</w:t>
      </w:r>
      <w:r>
        <w:rPr>
          <w:lang w:val="en-GB"/>
        </w:rPr>
      </w:r>
      <w:commentRangeEnd w:id="28"/>
      <w:r>
        <w:commentReference w:id="28"/>
      </w:r>
      <w:r>
        <w:rPr>
          <w:lang w:val="en-GB"/>
        </w:rPr>
        <w:t xml:space="preserve">. In the words of Colson </w:t>
      </w:r>
      <w:r>
        <w:fldChar w:fldCharType="begin"/>
      </w:r>
      <w:r>
        <w:rPr>
          <w:lang w:val="en-GB"/>
        </w:rPr>
        <w:instrText>ADDIN ZOTERO_ITEM CSL_CITATION {"citationID":"xKExvaxD","properties":{"formattedCitation":"(Cohen &amp; Vandello, 2004, p. 199f; 1975, p. 37 cited in )","plainCitation":"(Cohen &amp; Vandello, 2004, p. 199f; 1975, p. 37 cited in )","noteIndex":0},"citationItems":[{"id":5342,"uris":["http://zotero.org/groups/1795726/items/CUKXMV98"],"uri":["http://zotero.org/groups/1795726/items/CUKXMV98"],"itemData":{"id":5342,"type":"chapter","container-title":"Cultural Shaping of Violence","event-place":"West Lafayette, IN","page":"119-132","publisher":"Purdue University Press","publisher-place":"West Lafayette, IN","title":"The paradox of politeness","author":[{"family":"Cohen","given":"Dov"},{"family":"Vandello","given":"Joe"}],"issued":{"date-parts":[["2004"]]}},"locator":"199f"},{"id":5343,"uris":["http://zotero.org/groups/1795726/items/ZZ994EYZ"],"uri":["http://zotero.org/groups/1795726/items/ZZ994EYZ"],"itemData":{"id":5343,"type":"book","event-place":"Chicago, IL","publisher":"Aldine","publisher-place":"Chicago, IL","title":"Tradition and Contract","author":[{"family":"Colson","given":"Elizabeth"}],"issued":{"date-parts":[["1975"]]}},"locator":"37","suppress-author":true,"suffix":"cited in "}],"schema":"https://github.com/citation-style-language/schema/raw/master/csl-citation.json"}</w:instrText>
      </w:r>
      <w:r>
        <w:rPr>
          <w:lang w:val="en-GB"/>
        </w:rPr>
      </w:r>
      <w:r>
        <w:rPr>
          <w:lang w:val="en-GB"/>
        </w:rPr>
        <w:fldChar w:fldCharType="separate"/>
      </w:r>
      <w:r>
        <w:rPr>
          <w:lang w:val="en-GB"/>
        </w:rPr>
      </w:r>
      <w:r>
        <w:rPr>
          <w:rFonts w:cs="Calibri"/>
          <w:lang w:val="en-US"/>
        </w:rPr>
        <w:t>(Cohen &amp; Vandello, 2004, p. 199f; 1975, p. 37 cited in )</w:t>
      </w:r>
      <w:r>
        <w:rPr>
          <w:lang w:val="en-GB"/>
        </w:rPr>
      </w:r>
      <w:r>
        <w:rPr>
          <w:lang w:val="en-GB"/>
        </w:rPr>
        <w:fldChar w:fldCharType="end"/>
      </w:r>
      <w:r>
        <w:rPr>
          <w:lang w:val="en-GB"/>
        </w:rPr>
        <w:t xml:space="preserve"> ‘people live in what appears to be a Rousseauian paradise because they take a Hobbesian view of their situation…’ going out of their way to avoid those single acts of aggression they fear will cause long spirals of </w:t>
      </w:r>
      <w:commentRangeStart w:id="29"/>
      <w:r>
        <w:rPr>
          <w:lang w:val="en-GB"/>
        </w:rPr>
        <w:t>violence</w:t>
      </w:r>
      <w:r>
        <w:rPr>
          <w:lang w:val="en-GB"/>
        </w:rPr>
      </w:r>
      <w:commentRangeEnd w:id="29"/>
      <w:r>
        <w:commentReference w:id="29"/>
      </w:r>
      <w:r>
        <w:rPr>
          <w:lang w:val="en-GB"/>
        </w:rPr>
        <w:t xml:space="preserve">. However, and as the strong emphasis on norms of ‘niceness’ towards outsiders in peacetime reflects, these societies are found to be much less effective at containing violence once cross-ethnic disputes occur as the failure to retaliate violently would reduce the credibility of this deterrent strategy </w:t>
      </w:r>
      <w:r>
        <w:fldChar w:fldCharType="begin"/>
      </w:r>
      <w:r>
        <w:rPr>
          <w:lang w:val="en-GB"/>
        </w:rPr>
        <w:instrText>ADDIN ZOTERO_ITEM CSL_CITATION {"citationID":"YLV3luRe","properties":{"formattedCitation":"(Fearon &amp; Laitin, 1996, p. 723f)","plainCitation":"(Fearon &amp; Laitin, 1996, p. 723f)","noteIndex":0},"citationItems":[{"id":5313,"uris":["http://zotero.org/groups/1795726/items/KIYXSC4R"],"uri":["http://zotero.org/groups/1795726/items/KIYXSC4R"],"itemData":{"id":5313,"type":"article-journal","abstract":"Though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D."}],"issued":{"date-parts":[["1996",12]]}},"locator":"723f"}],"schema":"https://github.com/citation-style-language/schema/raw/master/csl-citation.json"}</w:instrText>
      </w:r>
      <w:r>
        <w:rPr>
          <w:lang w:val="en-GB"/>
        </w:rPr>
      </w:r>
      <w:r>
        <w:rPr>
          <w:lang w:val="en-GB"/>
        </w:rPr>
        <w:fldChar w:fldCharType="separate"/>
      </w:r>
      <w:r>
        <w:rPr>
          <w:lang w:val="en-GB"/>
        </w:rPr>
      </w:r>
      <w:r>
        <w:rPr>
          <w:rFonts w:cs="Calibri"/>
          <w:lang w:val="en-US"/>
        </w:rPr>
        <w:t>(Fearon &amp; Laitin, 1996, p. 723f)</w:t>
      </w:r>
      <w:r>
        <w:rPr>
          <w:lang w:val="en-GB"/>
        </w:rPr>
      </w:r>
      <w:r>
        <w:rPr>
          <w:lang w:val="en-GB"/>
        </w:rPr>
        <w:fldChar w:fldCharType="end"/>
      </w:r>
      <w:r>
        <w:rPr>
          <w:lang w:val="en-GB"/>
        </w:rPr>
        <w:t xml:space="preserve">. </w:t>
      </w:r>
    </w:p>
    <w:p>
      <w:pPr>
        <w:pStyle w:val="TextBody"/>
        <w:rPr>
          <w:lang w:val="en-GB"/>
        </w:rPr>
      </w:pPr>
      <w:r>
        <w:rPr>
          <w:lang w:val="en-GB"/>
        </w:rPr>
      </w:r>
    </w:p>
    <w:p>
      <w:pPr>
        <w:pStyle w:val="Heading2"/>
        <w:rPr>
          <w:lang w:val="en-GB"/>
        </w:rPr>
      </w:pPr>
      <w:r>
        <w:rPr>
          <w:lang w:val="en-GB"/>
        </w:rPr>
        <w:t xml:space="preserve">END INTEGRATED SECTION </w:t>
      </w:r>
    </w:p>
    <w:p>
      <w:pPr>
        <w:pStyle w:val="TextBody"/>
        <w:rPr>
          <w:lang w:val="en-GB"/>
        </w:rPr>
      </w:pPr>
      <w:r>
        <w:rPr>
          <w:lang w:val="en-GB"/>
        </w:rPr>
      </w:r>
    </w:p>
    <w:p>
      <w:pPr>
        <w:pStyle w:val="ListParagraph"/>
        <w:numPr>
          <w:ilvl w:val="2"/>
          <w:numId w:val="2"/>
        </w:numPr>
        <w:rPr>
          <w:i/>
          <w:i/>
          <w:iCs/>
          <w:lang w:val="en-GB"/>
        </w:rPr>
      </w:pPr>
      <w:r>
        <w:rPr>
          <w:i/>
          <w:iCs/>
          <w:lang w:val="en-GB"/>
        </w:rPr>
        <w:t>Factors in above mechanisms that the legacy of precolonial states could affect</w:t>
      </w:r>
    </w:p>
    <w:p>
      <w:pPr>
        <w:pStyle w:val="ListParagraph"/>
        <w:numPr>
          <w:ilvl w:val="3"/>
          <w:numId w:val="2"/>
        </w:numPr>
        <w:rPr>
          <w:lang w:val="en-GB"/>
        </w:rPr>
      </w:pPr>
      <w:r>
        <w:rPr>
          <w:lang w:val="en-GB"/>
        </w:rPr>
        <w:t>For groups that previously constituted a state:</w:t>
      </w:r>
    </w:p>
    <w:p>
      <w:pPr>
        <w:pStyle w:val="ListParagraph"/>
        <w:numPr>
          <w:ilvl w:val="4"/>
          <w:numId w:val="2"/>
        </w:numPr>
        <w:rPr>
          <w:lang w:val="en-GB"/>
        </w:rPr>
      </w:pPr>
      <w:r>
        <w:rPr>
          <w:lang w:val="en-GB"/>
        </w:rPr>
        <w:t>In the case groups are the direct successors of precolonial states, they also often inherit formalized institutions, very often the kind of institutions found in precolonial states in sSA (though not necessarily recognized by the current state). By giving political authority a clear centre it makes these groups better at collective action, rendering the likelihood of defection and spoiler behaviour lower and increasing trustworthiness by ensuring all group members pulling in the same direction. These factors in combination with the predictability that comes with long-lasting institutions enhances outsiders’ ability to judge likely future behaviour, particularly if institutions are formalized in a way that makes understanding cultural codes less crucial. In essence, this reduces the information problem that permeates interethnic relations. [TRY TO FIND EXAMPLE] The stronger internal coherence should also make in-group policing be more effective, and therefore also more credible, reducing the chances that cross-ethnic individual disputes spiral into violence [TRY TO FIND EXAMPLE]. A stronger potential for collective action should also enhance the deterrent effect of the threat of feuding.</w:t>
      </w:r>
      <w:r>
        <w:rPr>
          <w:lang w:val="en-GB"/>
        </w:rPr>
        <w:commentReference w:id="30"/>
      </w:r>
      <w:r>
        <w:rPr>
          <w:lang w:val="en-GB"/>
        </w:rPr>
        <w:t xml:space="preserve">  In addition to reducing both the information and spoiler problems, inheritor groups have other ways of making it more credible that they uphold contracts. They can tie an agreement to its own institutions, the breaking of which would weaken/jeopardize the institutions themselves or, if tied to formal (though not necessarily state recognized) institutions, contract-breaking would require that the very same institution overturns its own previous decisions.  These effects make inheritor groups more credible </w:t>
      </w:r>
      <w:commentRangeStart w:id="31"/>
      <w:r>
        <w:rPr>
          <w:lang w:val="en-GB"/>
        </w:rPr>
        <w:t>partners</w:t>
      </w:r>
      <w:r>
        <w:rPr>
          <w:lang w:val="en-GB"/>
        </w:rPr>
      </w:r>
      <w:commentRangeEnd w:id="31"/>
      <w:r>
        <w:commentReference w:id="31"/>
      </w:r>
      <w:r>
        <w:rPr>
          <w:lang w:val="en-GB"/>
        </w:rPr>
        <w:t xml:space="preserve"> </w:t>
      </w:r>
      <w:r>
        <w:fldChar w:fldCharType="begin"/>
      </w:r>
      <w:r>
        <w:rPr>
          <w:lang w:val="en-GB"/>
        </w:rPr>
        <w:instrText>ADDIN ZOTERO_ITEM CSL_CITATION {"citationID":"33Xw7pBK","properties":{"formattedCitation":"(Wig &amp; Kromrey, 2018)","plainCitation":"(Wig &amp; Kromrey, 2018)","noteIndex":0},"citationItems":[{"id":1423,"uris":["http://zotero.org/groups/1795726/items/AGTAS64Q"],"uri":["http://zotero.org/groups/1795726/items/AGTAS64Q"],"itemData":{"id":1423,"type":"article-journal","abstract":"Why are some ethnic groups embroiled in communal conflicts while others are comparably peaceful? We explore the group-specific correlates of communal conflicts in Africa by utilizing a novel dataset combining ethnographic information on group characteristics with conflict data. Specifically, we investigate whether features of the customary political institutions of ethnic groups matter for their communal-conflict involvement. We show how institutional explanations for conflict, developed to explain state-based wars, can be successfully applied to the customary institutions of ethnic groups. We argue that customary institutions can pacify through facilitating credible nonviolent bargaining. Studying 143 ethnic groups, we provide large-N evidence for such an ?ethnic civil peace?, showing that groups with a higher number of formalized customary institutions, like houses of chiefs, courts and legislatures, are less prone to communal conflict, both internally and with other groups. We also find some evidence, although slightly weaker, that groups with more inclusive or ?democratic? customary institutions are less prone to communal conflicts.","container-title":"Journal of Peace Research","DOI":"10.1177/0022343317740416","ISSN":"0022-3433","issue":"4","journalAbbreviation":"Journal of Peace Research","page":"415-429","title":"Which groups fight? Customary institutions and communal conflicts in Africa","volume":"55","author":[{"family":"Wig","given":"Tore"},{"family":"Kromrey","given":"Daniela"}],"issued":{"date-parts":[["2018",1,31]]}}}],"schema":"https://github.com/citation-style-language/schema/raw/master/csl-citation.json"}</w:instrText>
      </w:r>
      <w:r>
        <w:rPr>
          <w:lang w:val="en-GB"/>
        </w:rPr>
      </w:r>
      <w:r>
        <w:rPr>
          <w:lang w:val="en-GB"/>
        </w:rPr>
        <w:fldChar w:fldCharType="separate"/>
      </w:r>
      <w:r>
        <w:rPr>
          <w:lang w:val="en-GB"/>
        </w:rPr>
      </w:r>
      <w:r>
        <w:rPr>
          <w:rFonts w:cs="Calibri"/>
          <w:lang w:val="en-US"/>
        </w:rPr>
        <w:t>(Wig &amp; Kromrey, 2018)</w:t>
      </w:r>
      <w:r>
        <w:rPr>
          <w:lang w:val="en-GB"/>
        </w:rPr>
      </w:r>
      <w:r>
        <w:rPr>
          <w:lang w:val="en-GB"/>
        </w:rPr>
        <w:fldChar w:fldCharType="end"/>
      </w:r>
      <w:r>
        <w:rPr>
          <w:lang w:val="en-GB"/>
        </w:rPr>
        <w:t xml:space="preserve">. [TRY TO FIND EXAMPLE] </w:t>
      </w:r>
    </w:p>
    <w:p>
      <w:pPr>
        <w:pStyle w:val="ListParagraph"/>
        <w:numPr>
          <w:ilvl w:val="3"/>
          <w:numId w:val="2"/>
        </w:numPr>
        <w:rPr>
          <w:lang w:val="en-GB"/>
        </w:rPr>
      </w:pPr>
      <w:r>
        <w:rPr>
          <w:lang w:val="en-GB"/>
        </w:rPr>
        <w:t xml:space="preserve">Another important fault-line of communal violence is that which occurs between different clans or communities within the same ethnic group. Prominent examples include the wars between different Nuer-subgroups in current day South Sudan (UCDP; Johnson) or between different Somali clans and subclans. In the presence of state or statelike supra-ethnic institutions – which the abovementioned cases have very little of – a common authority structure helps settle disputes peacefully or even de-escalate violent encounters </w:t>
      </w:r>
      <w:r>
        <w:fldChar w:fldCharType="begin"/>
      </w:r>
      <w:r>
        <w:rPr>
          <w:lang w:val="en-GB"/>
        </w:rPr>
        <w:instrText>ADDIN ZOTERO_ITEM CSL_CITATION {"citationID":"dZYpDyCW","properties":{"formattedCitation":"(Wig &amp; Kromrey, 2018, p. 5)","plainCitation":"(Wig &amp; Kromrey, 2018, p. 5)","dontUpdate":true,"noteIndex":0},"citationItems":[{"id":1423,"uris":["http://zotero.org/groups/1795726/items/AGTAS64Q"],"uri":["http://zotero.org/groups/1795726/items/AGTAS64Q"],"itemData":{"id":1423,"type":"article-journal","abstract":"Why are some ethnic groups embroiled in communal conflicts while others are comparably peaceful? We explore the group-specific correlates of communal conflicts in Africa by utilizing a novel dataset combining ethnographic information on group characteristics with conflict data. Specifically, we investigate whether features of the customary political institutions of ethnic groups matter for their communal-conflict involvement. We show how institutional explanations for conflict, developed to explain state-based wars, can be successfully applied to the customary institutions of ethnic groups. We argue that customary institutions can pacify through facilitating credible nonviolent bargaining. Studying 143 ethnic groups, we provide large-N evidence for such an ?ethnic civil peace?, showing that groups with a higher number of formalized customary institutions, like houses of chiefs, courts and legislatures, are less prone to communal conflict, both internally and with other groups. We also find some evidence, although slightly weaker, that groups with more inclusive or ?democratic? customary institutions are less prone to communal conflicts.","container-title":"Journal of Peace Research","DOI":"10.1177/0022343317740416","ISSN":"0022-3433","issue":"4","journalAbbreviation":"Journal of Peace Research","page":"415-429","title":"Which groups fight? Customary institutions and communal conflicts in Africa","volume":"55","author":[{"family":"Wig","given":"Tore"},{"family":"Kromrey","given":"Daniela"}],"issued":{"date-parts":[["2018",1,31]]}},"locator":"5"}],"schema":"https://github.com/citation-style-language/schema/raw/master/csl-citation.json"}</w:instrText>
      </w:r>
      <w:r>
        <w:rPr>
          <w:lang w:val="en-GB"/>
        </w:rPr>
      </w:r>
      <w:r>
        <w:rPr>
          <w:lang w:val="en-GB"/>
        </w:rPr>
        <w:fldChar w:fldCharType="separate"/>
      </w:r>
      <w:r>
        <w:rPr>
          <w:lang w:val="en-GB"/>
        </w:rPr>
        <w:t xml:space="preserve">through both mediation and credible enforcement mechanisms. Wig and Kromrey </w:t>
      </w:r>
      <w:r>
        <w:rPr>
          <w:rFonts w:cs="Calibri"/>
          <w:lang w:val="en-GB"/>
        </w:rPr>
        <w:t>(Wig &amp; Kromrey, 2018, p. 5)</w:t>
      </w:r>
      <w:r>
        <w:rPr>
          <w:lang w:val="en-GB"/>
        </w:rPr>
      </w:r>
      <w:r>
        <w:rPr>
          <w:lang w:val="en-GB"/>
        </w:rPr>
        <w:fldChar w:fldCharType="end"/>
      </w:r>
      <w:r>
        <w:rPr>
          <w:lang w:val="en-GB"/>
        </w:rPr>
        <w:t xml:space="preserve"> as well as Zartman argue that particularly customary courts are particularly efficient in resolving conflicts in that they enhance the legitimacy of settlements </w:t>
      </w:r>
      <w:r>
        <w:fldChar w:fldCharType="begin"/>
      </w:r>
      <w:r>
        <w:rPr>
          <w:lang w:val="en-GB"/>
        </w:rPr>
        <w:instrText>ADDIN ZOTERO_ITEM CSL_CITATION {"citationID":"Y8eNUOEw","properties":{"formattedCitation":"(Zartman, 2000)","plainCitation":"(Zartman, 2000)","noteIndex":0},"citationItems":[{"id":5329,"uris":["http://zotero.org/groups/1795726/items/696HVARV"],"uri":["http://zotero.org/groups/1795726/items/696HVARV"],"itemData":{"id":5329,"type":"book","abstract":"This text identifies contributions of traditional mechanisms for conflict management in Africa and elsewhere. With African conflicts eluding efforts to be controlled, this work is guided by the question: can traditional methods yield insights and approaches that might help end the violence?","ISBN":"978-1-55587-876-4","language":"en","note":"Google-Books-ID: zup7mk4bX00C","number-of-pages":"284","publisher":"Lynne Rienner Publishers","source":"Google Books","title":"Traditional Cures for Modern Conflicts: African Conflict \"medicine\"","title-short":"Traditional Cures for Modern Conflicts","author":[{"family":"Zartman","given":"Jacob Blaustein Professor of International Organization and Conflict Resolution and Director of African Studies I. William"}],"issued":{"date-parts":[["2000"]]}}}],"schema":"https://github.com/citation-style-language/schema/raw/master/csl-citation.json"}</w:instrText>
      </w:r>
      <w:r>
        <w:rPr>
          <w:lang w:val="en-GB"/>
        </w:rPr>
      </w:r>
      <w:r>
        <w:rPr>
          <w:lang w:val="en-GB"/>
        </w:rPr>
        <w:fldChar w:fldCharType="separate"/>
      </w:r>
      <w:r>
        <w:rPr>
          <w:lang w:val="en-GB"/>
        </w:rPr>
      </w:r>
      <w:r>
        <w:rPr>
          <w:rFonts w:cs="Calibri"/>
          <w:lang w:val="en-GB"/>
        </w:rPr>
        <w:t>(Zartman, 2000)</w:t>
      </w:r>
      <w:r>
        <w:rPr>
          <w:lang w:val="en-GB"/>
        </w:rPr>
      </w:r>
      <w:r>
        <w:rPr>
          <w:lang w:val="en-GB"/>
        </w:rPr>
        <w:fldChar w:fldCharType="end"/>
      </w:r>
      <w:r>
        <w:rPr>
          <w:lang w:val="en-GB"/>
        </w:rPr>
        <w:t>.</w:t>
      </w:r>
    </w:p>
    <w:p>
      <w:pPr>
        <w:pStyle w:val="ListParagraph"/>
        <w:numPr>
          <w:ilvl w:val="3"/>
          <w:numId w:val="2"/>
        </w:numPr>
        <w:rPr>
          <w:lang w:val="en-GB"/>
        </w:rPr>
      </w:pPr>
      <w:r>
        <w:rPr>
          <w:lang w:val="en-GB"/>
        </w:rPr>
        <w:t xml:space="preserve">or groups that previously lived together with other groups under the same state umbrella: </w:t>
      </w:r>
    </w:p>
    <w:p>
      <w:pPr>
        <w:pStyle w:val="ListParagraph"/>
        <w:numPr>
          <w:ilvl w:val="4"/>
          <w:numId w:val="2"/>
        </w:numPr>
        <w:rPr>
          <w:lang w:val="en-GB"/>
        </w:rPr>
      </w:pPr>
      <w:r>
        <w:rPr>
          <w:lang w:val="en-GB"/>
        </w:rPr>
        <w:t xml:space="preserve">the presence of a state facilitating peaceful interaction and mutual dependence. In some circumstances, this went so far as to assimilate different groups into one (states as the big assimilator – ask Marius for input from sSA and examples), </w:t>
      </w:r>
    </w:p>
    <w:p>
      <w:pPr>
        <w:pStyle w:val="ListParagraph"/>
        <w:numPr>
          <w:ilvl w:val="4"/>
          <w:numId w:val="2"/>
        </w:numPr>
        <w:rPr>
          <w:lang w:val="en-GB"/>
        </w:rPr>
      </w:pPr>
      <w:r>
        <w:rPr>
          <w:lang w:val="en-GB"/>
        </w:rPr>
        <w:t xml:space="preserve">in instances where groups did not assimilate into one but remained distinct units, precolonial states sometimes </w:t>
      </w:r>
    </w:p>
    <w:p>
      <w:pPr>
        <w:pStyle w:val="ListParagraph"/>
        <w:numPr>
          <w:ilvl w:val="5"/>
          <w:numId w:val="2"/>
        </w:numPr>
        <w:rPr>
          <w:lang w:val="en-GB"/>
        </w:rPr>
      </w:pPr>
      <w:r>
        <w:rPr>
          <w:lang w:val="en-GB"/>
        </w:rPr>
        <w:t>made ethnic markers less salient as the incentive to ‘police’ ethnic boundaries is reduced under a state.</w:t>
      </w:r>
    </w:p>
    <w:p>
      <w:pPr>
        <w:pStyle w:val="ListParagraph"/>
        <w:numPr>
          <w:ilvl w:val="5"/>
          <w:numId w:val="2"/>
        </w:numPr>
        <w:rPr>
          <w:lang w:val="en-GB"/>
        </w:rPr>
      </w:pPr>
      <w:r>
        <w:rPr>
          <w:lang w:val="en-GB"/>
        </w:rPr>
        <w:t xml:space="preserve"> </w:t>
      </w:r>
      <w:r>
        <w:rPr>
          <w:lang w:val="en-GB"/>
        </w:rPr>
        <w:t xml:space="preserve">left the legacy of institutions that go beyond the feuding and in-group policing mechanisms described above (examples – joking relationships (was it the states that made this possible?); other examples?). </w:t>
      </w:r>
    </w:p>
    <w:p>
      <w:pPr>
        <w:pStyle w:val="ListParagraph"/>
        <w:numPr>
          <w:ilvl w:val="5"/>
          <w:numId w:val="2"/>
        </w:numPr>
        <w:rPr>
          <w:lang w:val="en-GB"/>
        </w:rPr>
      </w:pPr>
      <w:r>
        <w:rPr>
          <w:lang w:val="en-GB"/>
        </w:rPr>
        <w:t xml:space="preserve">By keeping the civil peace and enforcing contracts, precolonial states facilitated increased trade and hence economic interdependence. Increased economic interdependence increases the long-term returns from cooperation relative to the short-term benefits from defection. </w:t>
      </w:r>
    </w:p>
    <w:p>
      <w:pPr>
        <w:pStyle w:val="ListParagraph"/>
        <w:numPr>
          <w:ilvl w:val="6"/>
          <w:numId w:val="2"/>
        </w:numPr>
        <w:rPr>
          <w:lang w:val="en-GB"/>
        </w:rPr>
      </w:pPr>
      <w:r>
        <w:rPr>
          <w:lang w:val="en-GB"/>
        </w:rPr>
        <w:t>In addition, increased interethnic economic cooperation also likely diversifies the local economy making it to suffer relatively more from conflict than a less interwoven and more internal economy.</w:t>
      </w:r>
    </w:p>
    <w:p>
      <w:pPr>
        <w:pStyle w:val="ListParagraph"/>
        <w:numPr>
          <w:ilvl w:val="5"/>
          <w:numId w:val="2"/>
        </w:numPr>
        <w:rPr>
          <w:lang w:val="en-GB"/>
        </w:rPr>
      </w:pPr>
      <w:r>
        <w:rPr>
          <w:lang w:val="en-GB"/>
        </w:rPr>
        <w:t>By facilitating increased economic interdependence, it also facilitated increased interaction between members of different ethnic groups, which had the effects of (see point below)</w:t>
      </w:r>
    </w:p>
    <w:p>
      <w:pPr>
        <w:pStyle w:val="ListParagraph"/>
        <w:numPr>
          <w:ilvl w:val="7"/>
          <w:numId w:val="2"/>
        </w:numPr>
        <w:ind w:left="3240" w:hanging="1224"/>
        <w:rPr>
          <w:lang w:val="en-GB"/>
        </w:rPr>
      </w:pPr>
      <w:r>
        <w:rPr>
          <w:lang w:val="en-GB"/>
        </w:rPr>
        <w:t xml:space="preserve">Over time had the effect of the cumulation of intergroup trust. Increasing cross-ethnic trust  (the interaction hypothesis) increased mutual trust reduces the chances of opportunistic behaviour </w:t>
      </w:r>
      <w:r>
        <w:fldChar w:fldCharType="begin"/>
      </w:r>
      <w:r>
        <w:rPr>
          <w:lang w:val="en-GB"/>
        </w:rPr>
        <w:instrText>ADDIN ZOTERO_ITEM CSL_CITATION {"citationID":"uoPLU8VP","properties":{"formattedCitation":"(Ostrom, 2010)","plainCitation":"(Ostrom, 2010)","noteIndex":0},"citationItems":[{"id":5311,"uris":["http://zotero.org/groups/1795726/items/IMQP26MN"],"uri":["http://zotero.org/groups/1795726/items/IMQP26MN"],"itemData":{"id":5311,"type":"article-journal","container-title":"American Economic Review","DOI":"10.1257/aer.100.3.641","ISSN":"0002-8282","issue":"3","language":"en","page":"641-672","source":"www.aeaweb.org","title":"Beyond Markets and States: Polycentric Governance of Complex Economic Systems","title-short":"Beyond Markets and States","volume":"100","author":[{"family":"Ostrom","given":"Elinor"}],"issued":{"date-parts":[["2010",6]]}}}],"schema":"https://github.com/citation-style-language/schema/raw/master/csl-citation.json"}</w:instrText>
      </w:r>
      <w:r>
        <w:rPr>
          <w:lang w:val="en-GB"/>
        </w:rPr>
      </w:r>
      <w:r>
        <w:rPr>
          <w:lang w:val="en-GB"/>
        </w:rPr>
        <w:fldChar w:fldCharType="separate"/>
      </w:r>
      <w:r>
        <w:rPr>
          <w:lang w:val="en-GB"/>
        </w:rPr>
      </w:r>
      <w:r>
        <w:rPr>
          <w:rFonts w:cs="Calibri"/>
          <w:lang w:val="en-US"/>
        </w:rPr>
        <w:t>(Ostrom, 2010)</w:t>
      </w:r>
      <w:r>
        <w:rPr>
          <w:lang w:val="en-GB"/>
        </w:rPr>
      </w:r>
      <w:r>
        <w:rPr>
          <w:lang w:val="en-GB"/>
        </w:rPr>
        <w:fldChar w:fldCharType="end"/>
      </w:r>
      <w:r>
        <w:rPr>
          <w:lang w:val="en-GB"/>
        </w:rPr>
        <w:t xml:space="preserve">.  When trust is higher, the likelihood of cooperation is higher, as this leads people to have different expectations of what would happen in the breakdown of cooperation compared to when trust is lower </w:t>
      </w:r>
      <w:r>
        <w:fldChar w:fldCharType="begin"/>
      </w:r>
      <w:r>
        <w:rPr>
          <w:lang w:val="en-GB"/>
        </w:rPr>
        <w:instrText>ADDIN ZOTERO_ITEM CSL_CITATION {"citationID":"EuYJ8OH9","properties":{"formattedCitation":"(Fearon &amp; Laitin, 1996, p. 720)","plainCitation":"(Fearon &amp; Laitin, 1996, p. 720)","noteIndex":0},"citationItems":[{"id":5313,"uris":["http://zotero.org/groups/1795726/items/KIYXSC4R"],"uri":["http://zotero.org/groups/1795726/items/KIYXSC4R"],"itemData":{"id":5313,"type":"article-journal","abstract":"Though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D."}],"issued":{"date-parts":[["1996",12]]}},"locator":"720"}],"schema":"https://github.com/citation-style-language/schema/raw/master/csl-citation.json"}</w:instrText>
      </w:r>
      <w:r>
        <w:rPr>
          <w:lang w:val="en-GB"/>
        </w:rPr>
      </w:r>
      <w:r>
        <w:rPr>
          <w:lang w:val="en-GB"/>
        </w:rPr>
        <w:fldChar w:fldCharType="separate"/>
      </w:r>
      <w:r>
        <w:rPr>
          <w:lang w:val="en-GB"/>
        </w:rPr>
      </w:r>
      <w:r>
        <w:rPr>
          <w:rFonts w:cs="Calibri"/>
          <w:lang w:val="en-US"/>
        </w:rPr>
        <w:t>(Fearon &amp; Laitin, 1996, p. 720)</w:t>
      </w:r>
      <w:r>
        <w:rPr>
          <w:lang w:val="en-GB"/>
        </w:rPr>
      </w:r>
      <w:r>
        <w:rPr>
          <w:lang w:val="en-GB"/>
        </w:rPr>
        <w:fldChar w:fldCharType="end"/>
      </w:r>
      <w:r>
        <w:rPr>
          <w:lang w:val="en-GB"/>
        </w:rPr>
        <w:t xml:space="preserve">. </w:t>
      </w:r>
    </w:p>
    <w:p>
      <w:pPr>
        <w:pStyle w:val="ListParagraph"/>
        <w:numPr>
          <w:ilvl w:val="6"/>
          <w:numId w:val="2"/>
        </w:numPr>
        <w:rPr>
          <w:lang w:val="en-GB"/>
        </w:rPr>
      </w:pPr>
      <w:r>
        <w:rPr>
          <w:lang w:val="en-GB"/>
        </w:rPr>
        <w:t xml:space="preserve">Increased trade and interaction as well as resolving the security dilemma, precolonial states Facilitated mixed </w:t>
      </w:r>
      <w:commentRangeStart w:id="32"/>
      <w:r>
        <w:rPr>
          <w:lang w:val="en-GB"/>
        </w:rPr>
        <w:t xml:space="preserve">settlements </w:t>
      </w:r>
      <w:r>
        <w:rPr>
          <w:lang w:val="en-GB"/>
        </w:rPr>
      </w:r>
      <w:commentRangeEnd w:id="32"/>
      <w:r>
        <w:commentReference w:id="32"/>
      </w:r>
      <w:r>
        <w:rPr>
          <w:lang w:val="en-GB"/>
        </w:rPr>
        <w:t>which in turn:</w:t>
      </w:r>
    </w:p>
    <w:p>
      <w:pPr>
        <w:pStyle w:val="ListParagraph"/>
        <w:numPr>
          <w:ilvl w:val="7"/>
          <w:numId w:val="2"/>
        </w:numPr>
        <w:rPr>
          <w:lang w:val="en-GB"/>
        </w:rPr>
      </w:pPr>
      <w:r>
        <w:rPr>
          <w:lang w:val="en-GB"/>
        </w:rPr>
        <w:t xml:space="preserve">(i) together with general increased cross-ethnic interaction increased trust: </w:t>
      </w:r>
    </w:p>
    <w:p>
      <w:pPr>
        <w:pStyle w:val="ListParagraph"/>
        <w:numPr>
          <w:ilvl w:val="7"/>
          <w:numId w:val="2"/>
        </w:numPr>
        <w:rPr>
          <w:lang w:val="en-GB"/>
        </w:rPr>
      </w:pPr>
      <w:r>
        <w:rPr>
          <w:lang w:val="en-GB"/>
        </w:rPr>
        <w:t xml:space="preserve">(ii) increased the likelihood that of informal conflict resolution mechanisms were established </w:t>
      </w:r>
      <w:r>
        <w:fldChar w:fldCharType="begin"/>
      </w:r>
      <w:r>
        <w:rPr>
          <w:lang w:val="en-GB"/>
        </w:rPr>
        <w:instrText>ADDIN ZOTERO_ITEM CSL_CITATION {"citationID":"pYggGXwd","properties":{"formattedCitation":"(Ostrom, 2010)","plainCitation":"(Ostrom, 2010)","noteIndex":0},"citationItems":[{"id":5311,"uris":["http://zotero.org/groups/1795726/items/IMQP26MN"],"uri":["http://zotero.org/groups/1795726/items/IMQP26MN"],"itemData":{"id":5311,"type":"article-journal","container-title":"American Economic Review","DOI":"10.1257/aer.100.3.641","ISSN":"0002-8282","issue":"3","language":"en","page":"641-672","source":"www.aeaweb.org","title":"Beyond Markets and States: Polycentric Governance of Complex Economic Systems","title-short":"Beyond Markets and States","volume":"100","author":[{"family":"Ostrom","given":"Elinor"}],"issued":{"date-parts":[["2010",6]]}}}],"schema":"https://github.com/citation-style-language/schema/raw/master/csl-citation.json"}</w:instrText>
      </w:r>
      <w:r>
        <w:rPr>
          <w:lang w:val="en-GB"/>
        </w:rPr>
      </w:r>
      <w:r>
        <w:rPr>
          <w:lang w:val="en-GB"/>
        </w:rPr>
        <w:fldChar w:fldCharType="separate"/>
      </w:r>
      <w:r>
        <w:rPr>
          <w:lang w:val="en-GB"/>
        </w:rPr>
      </w:r>
      <w:r>
        <w:rPr>
          <w:rFonts w:cs="Calibri"/>
          <w:lang w:val="en-US"/>
        </w:rPr>
        <w:t>(Ostrom, 2010)</w:t>
      </w:r>
      <w:r>
        <w:rPr>
          <w:lang w:val="en-GB"/>
        </w:rPr>
      </w:r>
      <w:r>
        <w:rPr>
          <w:lang w:val="en-GB"/>
        </w:rPr>
        <w:fldChar w:fldCharType="end"/>
      </w:r>
      <w:r>
        <w:rPr>
          <w:lang w:val="en-GB"/>
        </w:rPr>
        <w:t xml:space="preserve">. </w:t>
      </w:r>
      <w:commentRangeStart w:id="33"/>
      <w:r>
        <w:rPr>
          <w:lang w:val="en-GB"/>
        </w:rPr>
        <w:t>Examples from Mali and Burkina Faso on how precolonial state-driven institutions still facilitate peaceful dispute settlement</w:t>
      </w:r>
      <w:commentRangeEnd w:id="33"/>
      <w:r>
        <w:commentReference w:id="33"/>
      </w:r>
      <w:r>
        <w:rPr>
          <w:lang w:val="en-GB"/>
        </w:rPr>
      </w:r>
    </w:p>
    <w:p>
      <w:pPr>
        <w:pStyle w:val="ListParagraph"/>
        <w:numPr>
          <w:ilvl w:val="7"/>
          <w:numId w:val="2"/>
        </w:numPr>
        <w:rPr>
          <w:lang w:val="en-GB"/>
        </w:rPr>
      </w:pPr>
      <w:r>
        <w:rPr>
          <w:lang w:val="en-GB"/>
        </w:rPr>
        <w:t xml:space="preserve">(iii) With increased cross-ethnic interaction, members of ethnic group A will know more about what happens within ethnic group B. In these instances, non-coethnics interact much more frequently and thus the veil covering the acts of individual non-coethnics is partly lifted </w:t>
      </w:r>
      <w:r>
        <w:fldChar w:fldCharType="begin"/>
      </w:r>
      <w:r>
        <w:rPr>
          <w:lang w:val="en-GB"/>
        </w:rPr>
        <w:instrText>ADDIN ZOTERO_ITEM CSL_CITATION {"citationID":"K0ZC37zO","properties":{"formattedCitation":"(Fearon &amp; Laitin, 1996, p. 721)","plainCitation":"(Fearon &amp; Laitin, 1996, p. 721)","noteIndex":0},"citationItems":[{"id":5313,"uris":["http://zotero.org/groups/1795726/items/KIYXSC4R"],"uri":["http://zotero.org/groups/1795726/items/KIYXSC4R"],"itemData":{"id":5313,"type":"article-journal","abstract":"Though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D."}],"issued":{"date-parts":[["1996",12]]}},"locator":"721"}],"schema":"https://github.com/citation-style-language/schema/raw/master/csl-citation.json"}</w:instrText>
      </w:r>
      <w:r>
        <w:rPr>
          <w:lang w:val="en-GB"/>
        </w:rPr>
      </w:r>
      <w:r>
        <w:rPr>
          <w:lang w:val="en-GB"/>
        </w:rPr>
        <w:fldChar w:fldCharType="separate"/>
      </w:r>
      <w:r>
        <w:rPr>
          <w:lang w:val="en-GB"/>
        </w:rPr>
      </w:r>
      <w:r>
        <w:rPr>
          <w:rFonts w:cs="Calibri"/>
          <w:lang w:val="en-US"/>
        </w:rPr>
        <w:t>(Fearon &amp; Laitin, 1996, p. 721)</w:t>
      </w:r>
      <w:r>
        <w:rPr>
          <w:lang w:val="en-GB"/>
        </w:rPr>
      </w:r>
      <w:r>
        <w:rPr>
          <w:lang w:val="en-GB"/>
        </w:rPr>
        <w:fldChar w:fldCharType="end"/>
      </w:r>
      <w:r>
        <w:rPr>
          <w:lang w:val="en-GB"/>
        </w:rPr>
        <w:t xml:space="preserve">. This improves the prospects for identifying outsider perpetrators and thereby punishing them individually, reducing the chances that collective retribution will be reverted to. Thus, the more there are durable long-term relationships between members of different ethnic groups – joking relationships in parts of the Sahel being one example – the easier apprehending and punishing individual culprits of a different ethnic group is. </w:t>
      </w:r>
    </w:p>
    <w:p>
      <w:pPr>
        <w:pStyle w:val="ListParagraph"/>
        <w:numPr>
          <w:ilvl w:val="2"/>
          <w:numId w:val="2"/>
        </w:numPr>
        <w:rPr>
          <w:lang w:val="en-GB"/>
        </w:rPr>
      </w:pPr>
      <w:commentRangeStart w:id="34"/>
      <w:r>
        <w:rPr>
          <w:lang w:val="en-GB"/>
        </w:rPr>
        <w:t xml:space="preserve"> </w:t>
      </w:r>
      <w:r>
        <w:rPr>
          <w:lang w:val="en-GB"/>
        </w:rPr>
        <w:t>Other ways precolonial states can reduce the risk of communal violence today that do not directly affect the mechanisms discussed above:</w:t>
      </w:r>
      <w:commentRangeEnd w:id="34"/>
      <w:r>
        <w:commentReference w:id="34"/>
      </w:r>
      <w:r>
        <w:rPr>
          <w:lang w:val="en-GB"/>
        </w:rPr>
      </w:r>
    </w:p>
    <w:p>
      <w:pPr>
        <w:pStyle w:val="ListParagraph"/>
        <w:numPr>
          <w:ilvl w:val="3"/>
          <w:numId w:val="2"/>
        </w:numPr>
        <w:rPr>
          <w:lang w:val="en-GB"/>
        </w:rPr>
      </w:pPr>
      <w:r>
        <w:rPr>
          <w:lang w:val="en-GB"/>
        </w:rPr>
        <w:t xml:space="preserve">By being explicitly (Zulu; Ashanti) or implicitly (examples) recognized as functional parts of the modern state. This then works to: </w:t>
      </w:r>
    </w:p>
    <w:p>
      <w:pPr>
        <w:pStyle w:val="ListParagraph"/>
        <w:numPr>
          <w:ilvl w:val="4"/>
          <w:numId w:val="2"/>
        </w:numPr>
        <w:rPr>
          <w:i/>
          <w:i/>
          <w:lang w:val="en-GB"/>
        </w:rPr>
      </w:pPr>
      <w:r>
        <w:rPr>
          <w:lang w:val="en-GB"/>
        </w:rPr>
        <w:t xml:space="preserve">strengthen the capacity of the modern state by providing relatively functional institutions that have more gradually developed to fit the local context than modern state institutions often do, hence </w:t>
      </w:r>
      <w:r>
        <w:rPr>
          <w:i/>
          <w:lang w:val="en-GB"/>
        </w:rPr>
        <w:t>reinforcing the capacity of the modern state</w:t>
      </w:r>
    </w:p>
    <w:p>
      <w:pPr>
        <w:pStyle w:val="ListParagraph"/>
        <w:numPr>
          <w:ilvl w:val="4"/>
          <w:numId w:val="2"/>
        </w:numPr>
        <w:rPr>
          <w:lang w:val="en-GB"/>
        </w:rPr>
      </w:pPr>
      <w:r>
        <w:rPr>
          <w:lang w:val="en-GB"/>
        </w:rPr>
        <w:t>…</w:t>
      </w:r>
      <w:r>
        <w:rPr>
          <w:lang w:val="en-GB"/>
        </w:rPr>
        <w:t xml:space="preserve">and as a consequence </w:t>
      </w:r>
      <w:r>
        <w:rPr>
          <w:i/>
          <w:lang w:val="en-GB"/>
        </w:rPr>
        <w:t>strengthening the legitimacy of the modern</w:t>
      </w:r>
      <w:r>
        <w:rPr>
          <w:lang w:val="en-GB"/>
        </w:rPr>
        <w:t xml:space="preserve"> state [insert ref to studies using Afrobarometer who find </w:t>
      </w:r>
      <w:commentRangeStart w:id="35"/>
      <w:r>
        <w:rPr>
          <w:lang w:val="en-GB"/>
        </w:rPr>
        <w:t xml:space="preserve">support </w:t>
      </w:r>
      <w:r>
        <w:rPr>
          <w:lang w:val="en-GB"/>
        </w:rPr>
      </w:r>
      <w:commentRangeEnd w:id="35"/>
      <w:r>
        <w:commentReference w:id="35"/>
      </w:r>
      <w:r>
        <w:rPr>
          <w:lang w:val="en-GB"/>
        </w:rPr>
        <w:t>of this]</w:t>
      </w:r>
    </w:p>
    <w:p>
      <w:pPr>
        <w:pStyle w:val="ListParagraph"/>
        <w:numPr>
          <w:ilvl w:val="4"/>
          <w:numId w:val="2"/>
        </w:numPr>
        <w:rPr>
          <w:lang w:val="en-GB"/>
        </w:rPr>
      </w:pPr>
      <w:r>
        <w:rPr>
          <w:lang w:val="en-GB"/>
        </w:rPr>
      </w:r>
    </w:p>
    <w:p>
      <w:pPr>
        <w:pStyle w:val="ListParagraph"/>
        <w:numPr>
          <w:ilvl w:val="3"/>
          <w:numId w:val="2"/>
        </w:numPr>
        <w:rPr>
          <w:lang w:val="en-GB"/>
        </w:rPr>
      </w:pPr>
      <w:r>
        <w:rPr>
          <w:lang w:val="en-GB"/>
        </w:rPr>
        <w:t xml:space="preserve">Precolonial states have been found to increase levels of development all else equal [refs to Rainer; Greeks; Acemouglo et al.). Since collective violence is less frequent in more economically developed areas of states – due to both enhanced state policing capacity, and at the individual level, increased opportunity costs of crime and violence as well as less relative deprivation – precolonial states through the economic development mechanism work to reduce the risk of all forms of violence, including communal </w:t>
      </w:r>
      <w:commentRangeStart w:id="36"/>
      <w:r>
        <w:rPr>
          <w:lang w:val="en-GB"/>
        </w:rPr>
        <w:t>violence</w:t>
      </w:r>
      <w:commentRangeEnd w:id="36"/>
      <w:r>
        <w:commentReference w:id="36"/>
      </w:r>
      <w:r>
        <w:rPr>
          <w:lang w:val="en-GB"/>
        </w:rPr>
      </w:r>
    </w:p>
    <w:p>
      <w:pPr>
        <w:pStyle w:val="ListParagraph"/>
        <w:rPr>
          <w:highlight w:val="yellow"/>
          <w:lang w:val="en-GB"/>
        </w:rPr>
      </w:pPr>
      <w:r>
        <w:rPr>
          <w:highlight w:val="yellow"/>
          <w:lang w:val="en-GB"/>
        </w:rPr>
      </w:r>
    </w:p>
    <w:p>
      <w:pPr>
        <w:pStyle w:val="ListParagraph"/>
        <w:rPr>
          <w:highlight w:val="yellow"/>
          <w:lang w:val="en-GB"/>
        </w:rPr>
      </w:pPr>
      <w:r>
        <w:rPr>
          <w:highlight w:val="yellow"/>
          <w:lang w:val="en-GB"/>
        </w:rPr>
        <w:t>END structured section</w:t>
      </w:r>
    </w:p>
    <w:p>
      <w:pPr>
        <w:pStyle w:val="ListParagraph"/>
        <w:numPr>
          <w:ilvl w:val="2"/>
          <w:numId w:val="2"/>
        </w:numPr>
        <w:rPr>
          <w:lang w:val="en-GB"/>
        </w:rPr>
      </w:pPr>
      <w:r>
        <w:rPr>
          <w:lang w:val="en-GB"/>
        </w:rPr>
        <w:t xml:space="preserve">Hence, any inter-ethnic conflict </w:t>
      </w:r>
      <w:commentRangeStart w:id="37"/>
      <w:r>
        <w:rPr>
          <w:lang w:val="en-GB"/>
        </w:rPr>
        <w:t>resolution mechanism must address the information asymmetry between coethnics and non-coethnics</w:t>
      </w:r>
      <w:r>
        <w:rPr>
          <w:lang w:val="en-GB"/>
        </w:rPr>
      </w:r>
      <w:commentRangeEnd w:id="37"/>
      <w:r>
        <w:commentReference w:id="37"/>
      </w:r>
      <w:r>
        <w:rPr>
          <w:lang w:val="en-GB"/>
        </w:rPr>
        <w:t>.</w:t>
      </w:r>
    </w:p>
    <w:p>
      <w:pPr>
        <w:pStyle w:val="ListParagraph"/>
        <w:numPr>
          <w:ilvl w:val="2"/>
          <w:numId w:val="2"/>
        </w:numPr>
        <w:rPr>
          <w:lang w:val="en-GB"/>
        </w:rPr>
      </w:pPr>
      <w:r>
        <w:rPr>
          <w:lang w:val="en-GB"/>
        </w:rPr>
        <w:t xml:space="preserve">Add </w:t>
      </w:r>
      <w:commentRangeStart w:id="38"/>
      <w:r>
        <w:rPr>
          <w:lang w:val="en-GB"/>
        </w:rPr>
        <w:t>caveat from Diamond on that defending something is a</w:t>
      </w:r>
      <w:r>
        <w:rPr>
          <w:lang w:val="en-GB"/>
        </w:rPr>
      </w:r>
      <w:commentRangeEnd w:id="38"/>
      <w:r>
        <w:commentReference w:id="38"/>
      </w:r>
      <w:r>
        <w:rPr>
          <w:lang w:val="en-GB"/>
        </w:rPr>
        <w:t xml:space="preserve"> premise BUT also counterarg that based on Diamond, pastoralist areas of EA should not see much feuding, but they do</w:t>
      </w:r>
    </w:p>
    <w:p>
      <w:pPr>
        <w:pStyle w:val="ListParagraph"/>
        <w:numPr>
          <w:ilvl w:val="2"/>
          <w:numId w:val="2"/>
        </w:numPr>
        <w:rPr>
          <w:lang w:val="en-GB"/>
        </w:rPr>
      </w:pPr>
      <w:r>
        <w:rPr>
          <w:lang w:val="en-GB"/>
        </w:rPr>
        <w:t xml:space="preserve"> </w:t>
      </w:r>
      <w:r>
        <w:rPr>
          <w:lang w:val="en-GB"/>
        </w:rPr>
        <w:t xml:space="preserve">Outsiders to any of the ethnic groups in dispute/conflict can also be hired/engaged to resolve disputes. These can be helpful in suggesting solutions that the parties to the conflict desire deep down, but which the parties are reluctant to come up with on their own. If such third-parties are available, then interethnic tensions should be easier to calm </w:t>
      </w:r>
      <w:r>
        <w:fldChar w:fldCharType="begin"/>
      </w:r>
      <w:r>
        <w:rPr>
          <w:lang w:val="en-GB"/>
        </w:rPr>
        <w:instrText>ADDIN ZOTERO_ITEM CSL_CITATION {"citationID":"x8oC002W","properties":{"formattedCitation":"(Fearon &amp; Laitin, 1996, p. 730)","plainCitation":"(Fearon &amp; Laitin, 1996, p. 730)","noteIndex":0},"citationItems":[{"id":5313,"uris":["http://zotero.org/groups/1795726/items/KIYXSC4R"],"uri":["http://zotero.org/groups/1795726/items/KIYXSC4R"],"itemData":{"id":5313,"type":"article-journal","abstract":"Though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D."}],"issued":{"date-parts":[["1996",12]]}},"locator":"730"}],"schema":"https://github.com/citation-style-language/schema/raw/master/csl-citation.json"}</w:instrText>
      </w:r>
      <w:r>
        <w:rPr>
          <w:lang w:val="en-GB"/>
        </w:rPr>
      </w:r>
      <w:r>
        <w:rPr>
          <w:lang w:val="en-GB"/>
        </w:rPr>
        <w:fldChar w:fldCharType="separate"/>
      </w:r>
      <w:r>
        <w:rPr>
          <w:lang w:val="en-GB"/>
        </w:rPr>
      </w:r>
      <w:r>
        <w:rPr>
          <w:rFonts w:cs="Calibri"/>
          <w:lang w:val="en-GB"/>
        </w:rPr>
        <w:t>(Fearon &amp; Laitin, 1996, p. 730)</w:t>
      </w:r>
      <w:r>
        <w:rPr>
          <w:lang w:val="en-GB"/>
        </w:rPr>
      </w:r>
      <w:r>
        <w:rPr>
          <w:lang w:val="en-GB"/>
        </w:rPr>
        <w:fldChar w:fldCharType="end"/>
      </w:r>
      <w:r>
        <w:rPr>
          <w:lang w:val="en-GB"/>
        </w:rPr>
        <w:t xml:space="preserve">  [see if example from BFO]</w:t>
      </w:r>
    </w:p>
    <w:p>
      <w:pPr>
        <w:pStyle w:val="ListParagraph"/>
        <w:numPr>
          <w:ilvl w:val="2"/>
          <w:numId w:val="2"/>
        </w:numPr>
        <w:rPr>
          <w:lang w:val="en-GB"/>
        </w:rPr>
      </w:pPr>
      <w:r>
        <w:rPr>
          <w:lang w:val="en-GB"/>
        </w:rPr>
        <w:t xml:space="preserve">One important cause of interethnic tension is the lack of information about non-coethnics past behaviour and therefore a context for interpreting current intentions. </w:t>
      </w:r>
      <w:r>
        <w:rPr>
          <w:b/>
          <w:lang w:val="en-GB"/>
        </w:rPr>
        <w:t>Pre-colonial states contribute to reduce this information problem in a similar way to how intra-ethnic information flows easier than inter-ethnic information: by developing social networks and by facilitating more frequent interaction this enables more individual reputations</w:t>
      </w:r>
      <w:r>
        <w:rPr>
          <w:lang w:val="en-GB"/>
        </w:rPr>
        <w:t xml:space="preserve"> </w:t>
      </w:r>
      <w:r>
        <w:fldChar w:fldCharType="begin"/>
      </w:r>
      <w:r>
        <w:rPr>
          <w:lang w:val="en-GB"/>
        </w:rPr>
        <w:instrText>ADDIN ZOTERO_ITEM CSL_CITATION {"citationID":"YIAP0rHo","properties":{"formattedCitation":"(Fearon &amp; Laitin, 1996, p. 730)","plainCitation":"(Fearon &amp; Laitin, 1996, p. 730)","noteIndex":0},"citationItems":[{"id":5313,"uris":["http://zotero.org/groups/1795726/items/KIYXSC4R"],"uri":["http://zotero.org/groups/1795726/items/KIYXSC4R"],"itemData":{"id":5313,"type":"article-journal","abstract":"Though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D."}],"issued":{"date-parts":[["1996",12]]}},"locator":"730"}],"schema":"https://github.com/citation-style-language/schema/raw/master/csl-citation.json"}</w:instrText>
      </w:r>
      <w:r>
        <w:rPr>
          <w:lang w:val="en-GB"/>
        </w:rPr>
      </w:r>
      <w:r>
        <w:rPr>
          <w:lang w:val="en-GB"/>
        </w:rPr>
        <w:fldChar w:fldCharType="separate"/>
      </w:r>
      <w:r>
        <w:rPr>
          <w:lang w:val="en-GB"/>
        </w:rPr>
      </w:r>
      <w:r>
        <w:rPr>
          <w:rFonts w:cs="Calibri"/>
          <w:lang w:val="en-GB"/>
        </w:rPr>
        <w:t>(Fearon &amp; Laitin, 1996, p. 730)</w:t>
      </w:r>
      <w:r>
        <w:rPr>
          <w:lang w:val="en-GB"/>
        </w:rPr>
      </w:r>
      <w:r>
        <w:rPr>
          <w:lang w:val="en-GB"/>
        </w:rPr>
        <w:fldChar w:fldCharType="end"/>
      </w:r>
      <w:r>
        <w:rPr>
          <w:lang w:val="en-GB"/>
        </w:rPr>
        <w:t>– indeed, one frequent consequent of very solidified statehood over a long period of time is assimilation of its citizens into one ethnicity/nation. Relatedly, being under the same state umbrella and (therefore) interacting more frequently also increases the cultural familiarity of other groups and thereby also boosts noncoethnic’s ability to separate out opportunists among non-coethnics.</w:t>
      </w:r>
    </w:p>
    <w:p>
      <w:pPr>
        <w:pStyle w:val="ListParagraph"/>
        <w:numPr>
          <w:ilvl w:val="2"/>
          <w:numId w:val="2"/>
        </w:numPr>
        <w:rPr>
          <w:lang w:val="en-GB"/>
        </w:rPr>
      </w:pPr>
      <w:r>
        <w:rPr>
          <w:lang w:val="en-GB"/>
        </w:rPr>
        <w:t xml:space="preserve">The same information access and networks that facilitate ingroup policing can also be hijacked by ethnic entrepreneurs to sanction noncompliers and fight outsiders </w:t>
      </w:r>
      <w:r>
        <w:fldChar w:fldCharType="begin"/>
      </w:r>
      <w:r>
        <w:rPr>
          <w:lang w:val="en-GB"/>
        </w:rPr>
        <w:instrText>ADDIN ZOTERO_ITEM CSL_CITATION {"citationID":"wvcWhQeG","properties":{"formattedCitation":"(Fearon &amp; Laitin, 1996, p. 331)","plainCitation":"(Fearon &amp; Laitin, 1996, p. 331)","noteIndex":0},"citationItems":[{"id":5313,"uris":["http://zotero.org/groups/1795726/items/KIYXSC4R"],"uri":["http://zotero.org/groups/1795726/items/KIYXSC4R"],"itemData":{"id":5313,"type":"article-journal","abstract":"Though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D."}],"issued":{"date-parts":[["1996",12]]}},"locator":"331"}],"schema":"https://github.com/citation-style-language/schema/raw/master/csl-citation.json"}</w:instrText>
      </w:r>
      <w:r>
        <w:rPr>
          <w:lang w:val="en-GB"/>
        </w:rPr>
      </w:r>
      <w:r>
        <w:rPr>
          <w:lang w:val="en-GB"/>
        </w:rPr>
        <w:fldChar w:fldCharType="separate"/>
      </w:r>
      <w:r>
        <w:rPr>
          <w:lang w:val="en-GB"/>
        </w:rPr>
      </w:r>
      <w:r>
        <w:rPr>
          <w:rFonts w:cs="Calibri"/>
          <w:lang w:val="en-GB"/>
        </w:rPr>
        <w:t>(Fearon &amp; Laitin, 1996, p. 331)</w:t>
      </w:r>
      <w:r>
        <w:rPr>
          <w:lang w:val="en-GB"/>
        </w:rPr>
      </w:r>
      <w:r>
        <w:rPr>
          <w:lang w:val="en-GB"/>
        </w:rPr>
        <w:fldChar w:fldCharType="end"/>
      </w:r>
    </w:p>
    <w:p>
      <w:pPr>
        <w:pStyle w:val="ListParagraph"/>
        <w:numPr>
          <w:ilvl w:val="2"/>
          <w:numId w:val="2"/>
        </w:numPr>
        <w:rPr>
          <w:lang w:val="en-GB"/>
        </w:rPr>
      </w:pPr>
      <w:r>
        <w:rPr>
          <w:lang w:val="en-GB"/>
        </w:rPr>
        <w:t>Leaders of ethnic groups have an incentive (collective action and cohesiveness) to construct and maintain borders against “others”: this may be less efficient the more peaceful cohabitation there has been in the past</w:t>
      </w:r>
    </w:p>
    <w:p>
      <w:pPr>
        <w:pStyle w:val="ListParagraph"/>
        <w:numPr>
          <w:ilvl w:val="2"/>
          <w:numId w:val="2"/>
        </w:numPr>
        <w:rPr>
          <w:lang w:val="en-GB"/>
        </w:rPr>
      </w:pPr>
      <w:r>
        <w:rPr>
          <w:lang w:val="en-GB"/>
        </w:rPr>
        <w:t>Also argument on (relative) group size in F&amp;L: but if we cannot test it, I suggest leaving it out/footnoting it.</w:t>
      </w:r>
    </w:p>
    <w:p>
      <w:pPr>
        <w:pStyle w:val="ListParagraph"/>
        <w:numPr>
          <w:ilvl w:val="2"/>
          <w:numId w:val="2"/>
        </w:numPr>
        <w:rPr>
          <w:lang w:val="en-GB"/>
        </w:rPr>
      </w:pPr>
      <w:r>
        <w:rPr>
          <w:lang w:val="en-GB"/>
        </w:rPr>
        <w:t>Ambiguity in our argument: if there is too much interethnic interaction, the importance of ethnic boundaries decline and, subsequently, the effectiveness of the spiralling mechanism declines – unclear precisely why, but likely due to a sufficient level of cohesiveness is necessary for making collective action in spiralling violence feasible as a certain level of intraethnic interaction is necessary for intraethnic sanctions to work (F&amp;L:722 – but they do not mention this problem for the intragroup policing mechanism). BUT if the effectiveness of the spiralling mechanism declines, this may be a symptom of increased integration into one group</w:t>
      </w:r>
    </w:p>
    <w:p>
      <w:pPr>
        <w:pStyle w:val="ListParagraph"/>
        <w:numPr>
          <w:ilvl w:val="2"/>
          <w:numId w:val="2"/>
        </w:numPr>
        <w:rPr>
          <w:lang w:val="en-GB"/>
        </w:rPr>
      </w:pPr>
      <w:r>
        <w:rPr>
          <w:lang w:val="en-GB"/>
        </w:rPr>
        <w:t>Pinker’s argument includes: states, commerce and cosmopolitanism</w:t>
      </w:r>
    </w:p>
    <w:p>
      <w:pPr>
        <w:pStyle w:val="ListParagraph"/>
        <w:numPr>
          <w:ilvl w:val="2"/>
          <w:numId w:val="2"/>
        </w:numPr>
        <w:rPr>
          <w:lang w:val="en-GB"/>
        </w:rPr>
      </w:pPr>
      <w:r>
        <w:rPr>
          <w:lang w:val="en-GB"/>
        </w:rPr>
        <w:t xml:space="preserve">Groups hailing from precolonial states more often supported by the state </w:t>
      </w:r>
      <w:r>
        <w:fldChar w:fldCharType="begin"/>
      </w:r>
      <w:r>
        <w:rPr>
          <w:lang w:val="en-GB"/>
        </w:rPr>
        <w:instrText>ADDIN ZOTERO_ITEM CSL_CITATION {"citationID":"yOgNdBgo","properties":{"formattedCitation":"(Wig &amp; Kromrey, 2018, p. 5)","plainCitation":"(Wig &amp; Kromrey, 2018, p. 5)","noteIndex":0},"citationItems":[{"id":1423,"uris":["http://zotero.org/groups/1795726/items/AGTAS64Q"],"uri":["http://zotero.org/groups/1795726/items/AGTAS64Q"],"itemData":{"id":1423,"type":"article-journal","abstract":"Why are some ethnic groups embroiled in communal conflicts while others are comparably peaceful? We explore the group-specific correlates of communal conflicts in Africa by utilizing a novel dataset combining ethnographic information on group characteristics with conflict data. Specifically, we investigate whether features of the customary political institutions of ethnic groups matter for their communal-conflict involvement. We show how institutional explanations for conflict, developed to explain state-based wars, can be successfully applied to the customary institutions of ethnic groups. We argue that customary institutions can pacify through facilitating credible nonviolent bargaining. Studying 143 ethnic groups, we provide large-N evidence for such an ?ethnic civil peace?, showing that groups with a higher number of formalized customary institutions, like houses of chiefs, courts and legislatures, are less prone to communal conflict, both internally and with other groups. We also find some evidence, although slightly weaker, that groups with more inclusive or ?democratic? customary institutions are less prone to communal conflicts.","container-title":"Journal of Peace Research","DOI":"10.1177/0022343317740416","ISSN":"0022-3433","issue":"4","journalAbbreviation":"Journal of Peace Research","page":"415-429","title":"Which groups fight? Customary institutions and communal conflicts in Africa","volume":"55","author":[{"family":"Wig","given":"Tore"},{"family":"Kromrey","given":"Daniela"}],"issued":{"date-parts":[["2018",1,31]]}},"locator":"5"}],"schema":"https://github.com/citation-style-language/schema/raw/master/csl-citation.json"}</w:instrText>
      </w:r>
      <w:r>
        <w:rPr>
          <w:lang w:val="en-GB"/>
        </w:rPr>
      </w:r>
      <w:r>
        <w:rPr>
          <w:lang w:val="en-GB"/>
        </w:rPr>
        <w:fldChar w:fldCharType="separate"/>
      </w:r>
      <w:r>
        <w:rPr>
          <w:lang w:val="en-GB"/>
        </w:rPr>
      </w:r>
      <w:r>
        <w:rPr>
          <w:rFonts w:cs="Calibri"/>
          <w:lang w:val="en-US"/>
        </w:rPr>
        <w:t>(Wig &amp; Kromrey, 2018, p. 5)</w:t>
      </w:r>
      <w:r>
        <w:rPr>
          <w:lang w:val="en-GB"/>
        </w:rPr>
      </w:r>
      <w:r>
        <w:rPr>
          <w:lang w:val="en-GB"/>
        </w:rPr>
        <w:fldChar w:fldCharType="end"/>
      </w:r>
      <w:r>
        <w:rPr>
          <w:lang w:val="en-GB"/>
        </w:rPr>
        <w:t xml:space="preserve">. With government bias often playing a role in inter-ethnic violence, but also with governments being more incentivized to help groups that are important for the regime – which the collective capacity of precolonial state groups make them – increases the probability that states intervene to prevent escalation or end conflicts when these groups are involved. </w:t>
      </w:r>
    </w:p>
    <w:p>
      <w:pPr>
        <w:pStyle w:val="ListParagraph"/>
        <w:numPr>
          <w:ilvl w:val="2"/>
          <w:numId w:val="2"/>
        </w:numPr>
        <w:rPr>
          <w:lang w:val="en-GB"/>
        </w:rPr>
      </w:pPr>
      <w:r>
        <w:rPr>
          <w:lang w:val="en-GB"/>
        </w:rPr>
        <w:t xml:space="preserve">African states rely on customary authorities in resolving local conflicts </w:t>
      </w:r>
      <w:r>
        <w:fldChar w:fldCharType="begin"/>
      </w:r>
      <w:r>
        <w:rPr>
          <w:lang w:val="en-GB"/>
        </w:rPr>
        <w:instrText>ADDIN ZOTERO_ITEM CSL_CITATION {"citationID":"pgb3oTBx","properties":{"formattedCitation":"(Beyene, 2009)","plainCitation":"(Beyene, 2009)","noteIndex":0},"citationItems":[{"id":5327,"uris":["http://zotero.org/groups/1795726/items/68PPGC4Y"],"uri":["http://zotero.org/groups/1795726/items/68PPGC4Y"],"itemData":{"id":5327,"type":"article-journal","container-title":"The Journal of Modern African Studies","issue":"2","page":"213-239","title":"Property rights conflict, customary institutions and the state: the case of agro-pastoralists in Mieso district, eastern Ethiopia","volume":"47","author":[{"family":"Beyene","given":"Fekadu"}],"issued":{"date-parts":[["2009"]]}}}],"schema":"https://github.com/citation-style-language/schema/raw/master/csl-citation.json"}</w:instrText>
      </w:r>
      <w:commentRangeStart w:id="39"/>
      <w:r>
        <w:rPr>
          <w:lang w:val="en-GB"/>
        </w:rPr>
      </w:r>
      <w:r>
        <w:rPr>
          <w:lang w:val="en-GB"/>
        </w:rPr>
        <w:fldChar w:fldCharType="separate"/>
      </w:r>
      <w:r>
        <w:rPr>
          <w:lang w:val="en-GB"/>
        </w:rPr>
      </w:r>
      <w:r>
        <w:rPr>
          <w:rFonts w:cs="Calibri"/>
          <w:lang w:val="en-GB"/>
        </w:rPr>
        <w:t>(Beyene, 2009)</w:t>
      </w:r>
      <w:r>
        <w:rPr>
          <w:lang w:val="en-GB"/>
        </w:rPr>
      </w:r>
      <w:r>
        <w:rPr>
          <w:lang w:val="en-GB"/>
        </w:rPr>
        <w:fldChar w:fldCharType="end"/>
      </w:r>
      <w:commentRangeEnd w:id="39"/>
      <w:r>
        <w:commentReference w:id="39"/>
      </w:r>
      <w:r>
        <w:rPr>
          <w:lang w:val="en-GB"/>
        </w:rPr>
      </w:r>
    </w:p>
    <w:p>
      <w:pPr>
        <w:pStyle w:val="ListParagraph"/>
        <w:numPr>
          <w:ilvl w:val="2"/>
          <w:numId w:val="2"/>
        </w:numPr>
        <w:rPr>
          <w:lang w:val="en-GB"/>
        </w:rPr>
      </w:pPr>
      <w:r>
        <w:rPr>
          <w:lang w:val="en-GB"/>
        </w:rPr>
        <w:t xml:space="preserve">Triggering causes: </w:t>
      </w:r>
    </w:p>
    <w:p>
      <w:pPr>
        <w:pStyle w:val="ListParagraph"/>
        <w:numPr>
          <w:ilvl w:val="3"/>
          <w:numId w:val="2"/>
        </w:numPr>
        <w:rPr>
          <w:lang w:val="en-GB"/>
        </w:rPr>
      </w:pPr>
      <w:r>
        <w:rPr>
          <w:lang w:val="en-GB"/>
        </w:rPr>
        <w:t>Ethnic conflicts often caused by fears about the future</w:t>
      </w:r>
    </w:p>
    <w:p>
      <w:pPr>
        <w:pStyle w:val="ListParagraph"/>
        <w:numPr>
          <w:ilvl w:val="3"/>
          <w:numId w:val="2"/>
        </w:numPr>
        <w:rPr>
          <w:lang w:val="en-GB"/>
        </w:rPr>
      </w:pPr>
      <w:r>
        <w:rPr>
          <w:lang w:val="en-GB"/>
        </w:rPr>
        <w:t>Changing demographic balance whereby the weaker group being fearful of the future intentions of the group that grows stronger attacks today when they are stronger than in the future (L&amp;R) – more likely to a background factor increasing the systemic uncertainties between groups</w:t>
      </w:r>
    </w:p>
    <w:p>
      <w:pPr>
        <w:pStyle w:val="ListParagraph"/>
        <w:numPr>
          <w:ilvl w:val="3"/>
          <w:numId w:val="2"/>
        </w:numPr>
        <w:rPr>
          <w:lang w:val="en-GB"/>
        </w:rPr>
      </w:pPr>
      <w:r>
        <w:rPr>
          <w:lang w:val="en-GB"/>
        </w:rPr>
        <w:t>Changing beliefs about the intentions of other groups (Similar to changing demographic balance) (L&amp;R:51)</w:t>
      </w:r>
    </w:p>
    <w:p>
      <w:pPr>
        <w:pStyle w:val="ListParagraph"/>
        <w:numPr>
          <w:ilvl w:val="3"/>
          <w:numId w:val="2"/>
        </w:numPr>
        <w:rPr>
          <w:lang w:val="en-GB"/>
        </w:rPr>
      </w:pPr>
      <w:r>
        <w:rPr>
          <w:lang w:val="en-GB"/>
        </w:rPr>
        <w:t>Competition over resources, including land (L&amp;R44). Lake and Rotchild (1997:44) state that a.o. property rights can be contentious as they confer rights on groups.</w:t>
      </w:r>
    </w:p>
    <w:p>
      <w:pPr>
        <w:pStyle w:val="ListParagraph"/>
        <w:numPr>
          <w:ilvl w:val="3"/>
          <w:numId w:val="2"/>
        </w:numPr>
        <w:rPr>
          <w:lang w:val="en-GB"/>
        </w:rPr>
      </w:pPr>
      <w:commentRangeStart w:id="40"/>
      <w:r>
        <w:rPr>
          <w:lang w:val="en-GB"/>
        </w:rPr>
        <w:t>Information problem between groups: always some suspicion, with ‘the past’ representing a heuristic for assumed future behavior of the other group</w:t>
      </w:r>
      <w:commentRangeEnd w:id="40"/>
      <w:r>
        <w:commentReference w:id="40"/>
      </w:r>
      <w:r>
        <w:rPr>
          <w:lang w:val="en-GB"/>
        </w:rPr>
      </w:r>
    </w:p>
    <w:p>
      <w:pPr>
        <w:pStyle w:val="ListParagraph"/>
        <w:numPr>
          <w:ilvl w:val="3"/>
          <w:numId w:val="2"/>
        </w:numPr>
        <w:rPr>
          <w:lang w:val="en-GB"/>
        </w:rPr>
      </w:pPr>
      <w:commentRangeStart w:id="41"/>
      <w:r>
        <w:rPr>
          <w:lang w:val="en-GB"/>
        </w:rPr>
        <w:t>Effective states can enforce ethnic contracts (L&amp;R:52) but when states weaken, ethnic fears rise. It is only the physical presence of states that keep the peace (L&amp;R:43) (-&gt; a weakening of the state increases interethnic fears about being unprotected in the future -&gt; pre-emptive preparation for conflict)</w:t>
      </w:r>
      <w:commentRangeEnd w:id="41"/>
      <w:r>
        <w:commentReference w:id="41"/>
      </w:r>
      <w:r>
        <w:rPr>
          <w:lang w:val="en-GB"/>
        </w:rPr>
      </w:r>
    </w:p>
    <w:p>
      <w:pPr>
        <w:pStyle w:val="ListParagraph"/>
        <w:numPr>
          <w:ilvl w:val="3"/>
          <w:numId w:val="2"/>
        </w:numPr>
        <w:rPr>
          <w:lang w:val="en-GB"/>
        </w:rPr>
      </w:pPr>
      <w:commentRangeStart w:id="42"/>
      <w:r>
        <w:rPr>
          <w:lang w:val="en-GB"/>
        </w:rPr>
        <w:t xml:space="preserve">Information problem in itself can drive arms race between groups as they are uncertain both about the intentions and capabilities of other groups, and they cannot credibly commit to each other to not attack each other (L&amp;R:52). If there is a military advantage of striking first – such as when offensive tactics such surprise and mobility dominates, giving clear advantages to the attackers – the temptation to strike first to avoid a worse fate in the future increases. </w:t>
      </w:r>
      <w:commentRangeEnd w:id="42"/>
      <w:r>
        <w:commentReference w:id="42"/>
      </w:r>
      <w:r>
        <w:rPr>
          <w:lang w:val="en-GB"/>
        </w:rPr>
      </w:r>
    </w:p>
    <w:p>
      <w:pPr>
        <w:pStyle w:val="ListParagraph"/>
        <w:numPr>
          <w:ilvl w:val="3"/>
          <w:numId w:val="2"/>
        </w:numPr>
        <w:rPr>
          <w:lang w:val="en-GB"/>
        </w:rPr>
      </w:pPr>
      <w:commentRangeStart w:id="43"/>
      <w:r>
        <w:rPr>
          <w:lang w:val="en-GB"/>
        </w:rPr>
        <w:t>The past in the form of myths, experiences and emotions influences the polarizing effects of ethnic activists and entrepreneurs (L&amp;R53) (precol: if precol states have enforced interethnic peace in the past, such negative memories will be fewer and weaker, providing less fertile soil for ethnic entrepreneurs to stoke up emotions) BUT only likely to contribute to violence if a state that cannot solve info prob; enforce contracts; alleviate the security dilemma – ethnic activists expected to become prominent when either of the strategic dilemmas are present (L&amp;R55)</w:t>
      </w:r>
      <w:commentRangeEnd w:id="43"/>
      <w:r>
        <w:commentReference w:id="43"/>
      </w:r>
      <w:r>
        <w:rPr>
          <w:lang w:val="en-GB"/>
        </w:rPr>
      </w:r>
    </w:p>
    <w:p>
      <w:pPr>
        <w:pStyle w:val="ListParagraph"/>
        <w:numPr>
          <w:ilvl w:val="3"/>
          <w:numId w:val="2"/>
        </w:numPr>
        <w:rPr>
          <w:lang w:val="en-GB"/>
        </w:rPr>
      </w:pPr>
      <w:r>
        <w:rPr>
          <w:lang w:val="en-GB"/>
        </w:rPr>
        <w:t>The drawing of ethnoc boundaries tends to glamorize one’s own and vilify other groups so that others’ demands are seen as unjustifiable but one’s own group’s reasonable and seeing oneself as honest but the other untrustworthy</w:t>
      </w:r>
    </w:p>
    <w:p>
      <w:pPr>
        <w:pStyle w:val="ListParagraph"/>
        <w:numPr>
          <w:ilvl w:val="3"/>
          <w:numId w:val="2"/>
        </w:numPr>
        <w:rPr>
          <w:lang w:val="en-GB"/>
        </w:rPr>
      </w:pPr>
      <w:r>
        <w:rPr>
          <w:lang w:val="en-GB"/>
        </w:rPr>
        <w:t>= Strategic interactions within and between groups can have the joint effects of producing conflict</w:t>
      </w:r>
    </w:p>
    <w:p>
      <w:pPr>
        <w:pStyle w:val="ListParagraph"/>
        <w:numPr>
          <w:ilvl w:val="5"/>
          <w:numId w:val="2"/>
        </w:numPr>
        <w:rPr>
          <w:lang w:val="en-GB"/>
        </w:rPr>
      </w:pPr>
      <w:r>
        <w:rPr>
          <w:lang w:val="en-GB"/>
        </w:rPr>
        <w:t>Information problem: can be accentuated when groups have the incentive to bluff about their strength or numbers etc as this can help them attain a more favourable division of resources. The problem can also be accentuated when groups simultaneously negotiate and prepare for war: revealing war plans would sacrifice the opportunity for success on the battlefield, but not revealing it prevents a ‘mutually satisfying compromise’ (L&amp;R47)</w:t>
      </w:r>
    </w:p>
    <w:p>
      <w:pPr>
        <w:pStyle w:val="ListParagraph"/>
        <w:numPr>
          <w:ilvl w:val="6"/>
          <w:numId w:val="2"/>
        </w:numPr>
        <w:rPr>
          <w:lang w:val="en-GB"/>
        </w:rPr>
      </w:pPr>
      <w:r>
        <w:rPr>
          <w:lang w:val="en-GB"/>
        </w:rPr>
        <w:t>Insert Eaton on the fruitlessness of peacemeetings</w:t>
      </w:r>
    </w:p>
    <w:p>
      <w:pPr>
        <w:pStyle w:val="ListParagraph"/>
        <w:numPr>
          <w:ilvl w:val="3"/>
          <w:numId w:val="2"/>
        </w:numPr>
        <w:rPr>
          <w:lang w:val="en-GB"/>
        </w:rPr>
      </w:pPr>
      <w:r>
        <w:rPr>
          <w:lang w:val="en-GB"/>
        </w:rPr>
        <w:t>Pre-emptive strikes (not only in instances of crime) In the absence of an enforcing state, when at least one of the groups cannot reassure the other about its future good intentions, avoiding the potentially disastrous consequences of being exploited in the future, groups may resort to pre-emptive strikes (L&amp;R48)</w:t>
      </w:r>
    </w:p>
    <w:p>
      <w:pPr>
        <w:pStyle w:val="ListParagraph"/>
        <w:numPr>
          <w:ilvl w:val="3"/>
          <w:numId w:val="2"/>
        </w:numPr>
        <w:rPr>
          <w:lang w:val="en-GB"/>
        </w:rPr>
      </w:pPr>
      <w:r>
        <w:rPr>
          <w:lang w:val="en-GB"/>
        </w:rPr>
        <w:t>Implicit or explicit contracts between ethnic groups on political power, distribution of wealth etc. can reduce the chances of interethnic conflict by including self-enforcing mechanisms, but they require a relatively well working state &lt;- the remnants of precolonial states solidify current states’ abilities to provide such goods</w:t>
      </w:r>
    </w:p>
    <w:p>
      <w:pPr>
        <w:pStyle w:val="List"/>
        <w:numPr>
          <w:ilvl w:val="0"/>
          <w:numId w:val="2"/>
        </w:numPr>
        <w:rPr>
          <w:lang w:val="en-GB"/>
        </w:rPr>
      </w:pPr>
      <w:r>
        <w:rPr>
          <w:lang w:val="en-GB"/>
        </w:rPr>
        <w:t xml:space="preserve">remnants of precolonial institutions, although less effective in resolving disputes that have escalated into violence between communities, are effective in reducing the number of less serious disputes, thereby reducing the overall number of disputes that could escalate to a level largely uncontrollable for inter-ethnic (non-state) institutions. </w:t>
      </w:r>
    </w:p>
    <w:p>
      <w:pPr>
        <w:pStyle w:val="ListParagraph"/>
        <w:numPr>
          <w:ilvl w:val="3"/>
          <w:numId w:val="2"/>
        </w:numPr>
        <w:rPr>
          <w:lang w:val="en-GB"/>
        </w:rPr>
      </w:pPr>
      <w:commentRangeStart w:id="44"/>
      <w:r>
        <w:rPr>
          <w:lang w:val="en-GB"/>
        </w:rPr>
        <w:t xml:space="preserve">Attitudes </w:t>
      </w:r>
      <w:r>
        <w:rPr>
          <w:lang w:val="en-GB"/>
        </w:rPr>
      </w:r>
      <w:commentRangeEnd w:id="44"/>
      <w:r>
        <w:commentReference w:id="44"/>
      </w:r>
      <w:r>
        <w:rPr>
          <w:lang w:val="en-GB"/>
        </w:rPr>
        <w:t xml:space="preserve">that are shaped by violence can be inherited through </w:t>
      </w:r>
      <w:commentRangeStart w:id="45"/>
      <w:r>
        <w:rPr>
          <w:lang w:val="en-GB"/>
        </w:rPr>
        <w:t>generations</w:t>
      </w:r>
      <w:commentRangeEnd w:id="45"/>
      <w:r>
        <w:commentReference w:id="45"/>
      </w:r>
      <w:r>
        <w:rPr>
          <w:lang w:val="en-GB"/>
        </w:rPr>
      </w:r>
    </w:p>
    <w:p>
      <w:pPr>
        <w:pStyle w:val="ListParagraph"/>
        <w:ind w:left="2736" w:hanging="0"/>
        <w:rPr>
          <w:lang w:val="en-GB"/>
        </w:rPr>
      </w:pPr>
      <w:r>
        <w:rPr>
          <w:lang w:val="en-GB"/>
        </w:rPr>
        <w:t xml:space="preserve">  </w:t>
      </w:r>
    </w:p>
    <w:p>
      <w:pPr>
        <w:pStyle w:val="ListParagraph"/>
        <w:ind w:left="792" w:hanging="0"/>
        <w:rPr>
          <w:lang w:val="en-GB"/>
        </w:rPr>
      </w:pPr>
      <w:r>
        <w:rPr>
          <w:lang w:val="en-GB"/>
        </w:rPr>
      </w:r>
    </w:p>
    <w:p>
      <w:pPr>
        <w:pStyle w:val="Heading1"/>
        <w:rPr>
          <w:lang w:val="en-GB"/>
        </w:rPr>
      </w:pPr>
      <w:r>
        <w:rPr>
          <w:lang w:val="en-GB"/>
        </w:rPr>
        <w:t>How do states solve these problems (prevent and solve conflicts)?</w:t>
      </w:r>
    </w:p>
    <w:p>
      <w:pPr>
        <w:pStyle w:val="ListParagraph"/>
        <w:numPr>
          <w:ilvl w:val="0"/>
          <w:numId w:val="4"/>
        </w:numPr>
        <w:rPr>
          <w:lang w:val="en-GB"/>
        </w:rPr>
      </w:pPr>
      <w:r>
        <w:rPr>
          <w:lang w:val="en-GB"/>
        </w:rPr>
        <w:t>Do precolonial states help?</w:t>
      </w:r>
    </w:p>
    <w:p>
      <w:pPr>
        <w:pStyle w:val="ListParagraph"/>
        <w:numPr>
          <w:ilvl w:val="1"/>
          <w:numId w:val="4"/>
        </w:numPr>
        <w:rPr>
          <w:lang w:val="en-GB"/>
        </w:rPr>
      </w:pPr>
      <w:r>
        <w:rPr>
          <w:lang w:val="en-GB"/>
        </w:rPr>
        <w:t>Reducing conflicts by providing some institutions</w:t>
      </w:r>
    </w:p>
    <w:p>
      <w:pPr>
        <w:pStyle w:val="ListParagraph"/>
        <w:numPr>
          <w:ilvl w:val="1"/>
          <w:numId w:val="4"/>
        </w:numPr>
        <w:rPr>
          <w:lang w:val="en-GB"/>
        </w:rPr>
      </w:pPr>
      <w:r>
        <w:rPr>
          <w:lang w:val="en-GB"/>
        </w:rPr>
        <w:t>Ending conflicts by providing some instutions</w:t>
      </w:r>
    </w:p>
    <w:p>
      <w:pPr>
        <w:pStyle w:val="ListParagraph"/>
        <w:numPr>
          <w:ilvl w:val="1"/>
          <w:numId w:val="4"/>
        </w:numPr>
        <w:rPr>
          <w:lang w:val="en-GB"/>
        </w:rPr>
      </w:pPr>
      <w:r>
        <w:rPr>
          <w:lang w:val="en-GB"/>
        </w:rPr>
        <w:t xml:space="preserve">The state may select to intervene only if violence escalates to a certain level, and might therefore seem absent under low-level violence. Aware of this, groups often contain their violence under this upper boundary through the development of mechanism that limits spiralling, such as in-group policing </w:t>
      </w:r>
      <w:r>
        <w:fldChar w:fldCharType="begin"/>
      </w:r>
      <w:r>
        <w:rPr>
          <w:lang w:val="en-GB"/>
        </w:rPr>
        <w:instrText>ADDIN ZOTERO_ITEM CSL_CITATION {"citationID":"GsV5rzLp","properties":{"formattedCitation":"(Fearon &amp; Laitin, 1996, p. 331)","plainCitation":"(Fearon &amp; Laitin, 1996, p. 331)","noteIndex":0},"citationItems":[{"id":5313,"uris":["http://zotero.org/groups/1795726/items/KIYXSC4R"],"uri":["http://zotero.org/groups/1795726/items/KIYXSC4R"],"itemData":{"id":5313,"type":"article-journal","abstract":"Though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D."}],"issued":{"date-parts":[["1996",12]]}},"locator":"331"}],"schema":"https://github.com/citation-style-language/schema/raw/master/csl-citation.json"}</w:instrText>
      </w:r>
      <w:r>
        <w:rPr>
          <w:lang w:val="en-GB"/>
        </w:rPr>
      </w:r>
      <w:r>
        <w:rPr>
          <w:lang w:val="en-GB"/>
        </w:rPr>
        <w:fldChar w:fldCharType="separate"/>
      </w:r>
      <w:r>
        <w:rPr>
          <w:lang w:val="en-GB"/>
        </w:rPr>
      </w:r>
      <w:r>
        <w:rPr>
          <w:rFonts w:cs="Calibri"/>
          <w:lang w:val="en-GB"/>
        </w:rPr>
        <w:t>(Fearon &amp; Laitin, 1996, p. 331)</w:t>
      </w:r>
      <w:r>
        <w:rPr>
          <w:lang w:val="en-GB"/>
        </w:rPr>
      </w:r>
      <w:r>
        <w:rPr>
          <w:lang w:val="en-GB"/>
        </w:rPr>
        <w:fldChar w:fldCharType="end"/>
      </w:r>
      <w:r>
        <w:rPr>
          <w:lang w:val="en-GB"/>
        </w:rPr>
        <w:t>.</w:t>
      </w:r>
    </w:p>
    <w:p>
      <w:pPr>
        <w:pStyle w:val="Heading1"/>
        <w:rPr>
          <w:lang w:val="en-GB"/>
        </w:rPr>
      </w:pPr>
      <w:r>
        <w:rPr>
          <w:lang w:val="en-GB"/>
        </w:rPr>
        <w:t>Are any of the ways states solve and prevent conflicts likely to endure even after the state is gone?</w:t>
      </w:r>
    </w:p>
    <w:p>
      <w:pPr>
        <w:pStyle w:val="Heading1"/>
        <w:rPr>
          <w:lang w:val="en-GB"/>
        </w:rPr>
      </w:pPr>
      <w:r>
        <w:rPr>
          <w:lang w:val="en-GB"/>
        </w:rPr>
        <w:t>To what extent can we expect current states to be strengthened, weakened or unaffected by precolonial states’ efforts to prevent and solve conflicts?</w:t>
      </w:r>
    </w:p>
    <w:p>
      <w:pPr>
        <w:pStyle w:val="TextBody"/>
        <w:rPr>
          <w:lang w:val="en-US"/>
        </w:rPr>
      </w:pPr>
      <w:r>
        <w:rPr>
          <w:lang w:val="en-US"/>
        </w:rPr>
        <w:t>The more limited the modern state reach, the more important are informal mechanisms.</w:t>
      </w:r>
    </w:p>
    <w:p>
      <w:pPr>
        <w:pStyle w:val="Heading1"/>
        <w:numPr>
          <w:ilvl w:val="0"/>
          <w:numId w:val="2"/>
        </w:numPr>
        <w:rPr>
          <w:lang w:val="en-GB"/>
        </w:rPr>
      </w:pPr>
      <w:r>
        <w:rPr>
          <w:lang w:val="en-GB"/>
        </w:rPr>
        <w:t>How state-level societies resolve internal conflicts.</w:t>
      </w:r>
    </w:p>
    <w:p>
      <w:pPr>
        <w:pStyle w:val="ListContinue"/>
        <w:rPr>
          <w:lang w:val="en-GB"/>
        </w:rPr>
      </w:pPr>
      <w:r>
        <w:rPr>
          <w:lang w:val="en-GB"/>
        </w:rPr>
        <w:t>Pre-colonial state-structures can reduce conflict potential in at least three partly separate ways. First, in some instances [identify examples] these institutions are present in themselves to a greater or lesser extent in modern states, but operate outside formal state structures. This could represent an efficient way of resolving low-level disputes that have escalatory potential</w:t>
      </w:r>
      <w:commentRangeStart w:id="46"/>
      <w:r>
        <w:rPr>
          <w:lang w:val="en-GB"/>
        </w:rPr>
        <w:t xml:space="preserve">. </w:t>
      </w:r>
      <w:r>
        <w:rPr>
          <w:highlight w:val="yellow"/>
          <w:lang w:val="en-GB"/>
        </w:rPr>
        <w:t>Case studies from SSA indicate that if a resource dispute arises…locals prefer to turn first to friends, neighbours and relatives, before resorting to traditional authorities like village elders or a chief (Turner et al., 2012, p. 749f)</w:t>
      </w:r>
      <w:r>
        <w:rPr>
          <w:rStyle w:val="FootnoteAnchor"/>
          <w:highlight w:val="yellow"/>
          <w:lang w:val="en-GB"/>
        </w:rPr>
        <w:footnoteReference w:id="7"/>
      </w:r>
      <w:r>
        <w:rPr>
          <w:highlight w:val="yellow"/>
          <w:lang w:val="en-GB"/>
        </w:rPr>
        <w:t>. Formal institutions are at this stage often shunned. They are seen as less in touch with the local context, thus making inflexible judgements; being more costly and corrupt; and creating long-standing grievances between families.</w:t>
      </w:r>
      <w:r>
        <w:rPr>
          <w:highlight w:val="yellow"/>
          <w:lang w:val="en-GB"/>
        </w:rPr>
      </w:r>
      <w:commentRangeEnd w:id="46"/>
      <w:r>
        <w:commentReference w:id="46"/>
      </w:r>
      <w:r>
        <w:rPr>
          <w:lang w:val="en-GB"/>
        </w:rPr>
        <w:t xml:space="preserve">  The presence of pre-colonial institutions today can therefore represent a more trusted venue for resolving disputes, in turn reducing the pool of incidences with escalatory potential. </w:t>
      </w:r>
    </w:p>
    <w:p>
      <w:pPr>
        <w:pStyle w:val="ListContinue"/>
        <w:rPr>
          <w:lang w:val="en-GB"/>
        </w:rPr>
      </w:pPr>
      <w:r>
        <w:rPr>
          <w:lang w:val="en-GB"/>
        </w:rPr>
        <w:t xml:space="preserve">The presence of precolonial structures can also pose problems for peace. In an analysis of a selection of sub-Saharan States Eck </w:t>
      </w:r>
      <w:r>
        <w:fldChar w:fldCharType="begin"/>
      </w:r>
      <w:r>
        <w:rPr>
          <w:lang w:val="en-GB"/>
        </w:rPr>
        <w:instrText>ADDIN ZOTERO_ITEM CSL_CITATION {"citationID":"dL5Tfuhi","properties":{"formattedCitation":"(Eck, 2014)","plainCitation":"(Eck, 2014)","noteIndex":0},"citationItems":[{"id":887,"uris":["http://zotero.org/groups/1795726/items/CXWJIXPV"],"uri":["http://zotero.org/groups/1795726/items/CXWJIXPV"],"itemData":{"id":887,"type":"article-journal","abstract":"Common notions about the source of communal land conflict in Africa have long explained it as growing out of conditions of environmental scarcity. This article argues instead that the institutional structure of the legal system is central to understanding which countries are prone to experience communal land conflict. When competing customary and modern jurisdictions coexist in countries inhabited by mixed identity groups, the conflicting sources of legal authority lead to insecurity about which source of law will prevail. Because the source of law is contested, conflict parties cannot trust the legal system to predictably adjudicate disputes, which encourages the use of extrajudicial vigilante measures. Using new data on communal violence in West Africa, this argument is examined for the period 1990–2009. The results show that in countries where competing jurisdictions exist, communal land conflict is 200–350% more likely. These findings suggest that researchers should consider the role of legal institutions and processes in relation to social unrest and collective violence.","container-title":"Journal of Peace Research","DOI":"10.1177/0022343314522257","issue":"4","journalAbbreviation":"Journal of Peace Research","page":"441-454","title":"The law of the land: Communal conflict and legal authority","volume":"51","author":[{"family":"Eck","given":"Kristine"}],"issued":{"date-parts":[["2014",7,1]]}}}],"schema":"https://github.com/citation-style-language/schema/raw/master/csl-citation.json"}</w:instrText>
      </w:r>
      <w:r>
        <w:rPr>
          <w:lang w:val="en-GB"/>
        </w:rPr>
      </w:r>
      <w:r>
        <w:rPr>
          <w:lang w:val="en-GB"/>
        </w:rPr>
        <w:fldChar w:fldCharType="separate"/>
      </w:r>
      <w:r>
        <w:rPr>
          <w:lang w:val="en-GB"/>
        </w:rPr>
      </w:r>
      <w:r>
        <w:rPr>
          <w:rFonts w:cs="Calibri"/>
          <w:lang w:val="en-GB"/>
        </w:rPr>
        <w:t>(Eck, 2014)</w:t>
      </w:r>
      <w:r>
        <w:rPr>
          <w:lang w:val="en-GB"/>
        </w:rPr>
      </w:r>
      <w:r>
        <w:rPr>
          <w:lang w:val="en-GB"/>
        </w:rPr>
        <w:fldChar w:fldCharType="end"/>
      </w:r>
      <w:r>
        <w:rPr>
          <w:lang w:val="en-GB"/>
        </w:rPr>
        <w:t xml:space="preserve"> argues and finds support for that the presence of both precolonial property systems and modern property systems increases the risk of communal violence.</w:t>
      </w:r>
      <w:r>
        <w:rPr>
          <w:lang w:val="en-GB"/>
        </w:rPr>
        <w:commentReference w:id="47"/>
      </w:r>
    </w:p>
    <w:p>
      <w:pPr>
        <w:pStyle w:val="Heading2"/>
        <w:rPr>
          <w:lang w:val="en-GB"/>
        </w:rPr>
      </w:pPr>
      <w:r>
        <w:rPr>
          <w:lang w:val="en-GB"/>
        </w:rPr>
        <w:t>Precolonial institutions explicitly recognized</w:t>
      </w:r>
    </w:p>
    <w:p>
      <w:pPr>
        <w:pStyle w:val="ListParagraph"/>
        <w:numPr>
          <w:ilvl w:val="0"/>
          <w:numId w:val="1"/>
        </w:numPr>
        <w:rPr>
          <w:lang w:val="en-GB"/>
        </w:rPr>
      </w:pPr>
      <w:r>
        <w:rPr>
          <w:lang w:val="en-GB"/>
        </w:rPr>
        <w:t>Should reduce the problem argued for by Eck</w:t>
      </w:r>
    </w:p>
    <w:p>
      <w:pPr>
        <w:pStyle w:val="TextBody"/>
        <w:rPr>
          <w:b/>
          <w:b/>
          <w:lang w:val="en-GB"/>
        </w:rPr>
      </w:pPr>
      <w:commentRangeStart w:id="48"/>
      <w:r>
        <w:rPr>
          <w:lang w:val="en-GB"/>
        </w:rPr>
        <w:t xml:space="preserve">Second, and partly in contrast to the above hypothesis, in some settings, pre-colonial institutions have been formally integrated into the state, the prime example being the integration of chiefs and kingdoms in contemporary Ghana. Studies using Afrobarometer data show that trust in traditional institutions translates into trust in modern institutions (Logan, </w:t>
      </w:r>
      <w:commentRangeStart w:id="49"/>
      <w:r>
        <w:rPr>
          <w:lang w:val="en-GB"/>
        </w:rPr>
        <w:t>2009</w:t>
      </w:r>
      <w:r>
        <w:rPr>
          <w:lang w:val="en-GB"/>
        </w:rPr>
      </w:r>
      <w:commentRangeEnd w:id="49"/>
      <w:r>
        <w:commentReference w:id="49"/>
      </w:r>
      <w:r>
        <w:rPr>
          <w:lang w:val="en-GB"/>
        </w:rPr>
        <w:t xml:space="preserve">). This relation arguably also goes the other way, as informal institutions are more fragile if not recognized by the state (Ostrom, 1990). As there is some notion of British rule effectively being more indirect (thus not only in name) than former French and Lusophone colonies and therefore in the former pre-colonial states have been more effectively been incorporated in colonial and post-colonial states. </w:t>
      </w:r>
      <w:commentRangeEnd w:id="48"/>
      <w:r>
        <w:commentReference w:id="48"/>
      </w:r>
      <w:r>
        <w:rPr>
          <w:lang w:val="en-GB"/>
        </w:rPr>
      </w:r>
    </w:p>
    <w:p>
      <w:pPr>
        <w:pStyle w:val="TextBody"/>
        <w:rPr>
          <w:lang w:val="en-US"/>
        </w:rPr>
      </w:pPr>
      <w:r>
        <w:rPr>
          <w:lang w:val="en-GB"/>
        </w:rPr>
        <w:t xml:space="preserve">Third, pre-colonial states have left an imprint in terms of norms of intergroup behaviour that is different from areas without a legacy of pre-colonial statehood. By having reduced the security dilemma in past times, pre-colonial states have often facilitated the co-habitation of different ethnic groups in the same </w:t>
      </w:r>
      <w:commentRangeStart w:id="50"/>
      <w:r>
        <w:rPr>
          <w:lang w:val="en-GB"/>
        </w:rPr>
        <w:t>settlements</w:t>
      </w:r>
      <w:r>
        <w:rPr>
          <w:lang w:val="en-GB"/>
        </w:rPr>
      </w:r>
      <w:commentRangeEnd w:id="50"/>
      <w:r>
        <w:commentReference w:id="50"/>
      </w:r>
      <w:r>
        <w:rPr>
          <w:lang w:val="en-GB"/>
        </w:rPr>
        <w:t>, hence reducing the kind of segmentation often found in feuding societies (see e.g. Diamond 2012).</w:t>
      </w:r>
      <w:r>
        <w:rPr>
          <w:rStyle w:val="FootnoteAnchor"/>
          <w:lang w:val="en-GB"/>
        </w:rPr>
        <w:footnoteReference w:id="8"/>
      </w:r>
      <w:r>
        <w:rPr>
          <w:lang w:val="en-GB"/>
        </w:rPr>
        <w:t xml:space="preserve"> By this states can indirectly facilitate the development of genuine inter-ethnic interaction and subsequent inter-ethnic norms and institutions for resolving disputes as ‘</w:t>
      </w:r>
      <w:commentRangeStart w:id="51"/>
      <w:r>
        <w:rPr>
          <w:highlight w:val="yellow"/>
          <w:lang w:val="en-US"/>
        </w:rPr>
        <w:t xml:space="preserve">communities living together over time often establish institutions for dispute settlement and conflict- resolution (Hagberg, 1998). When a new group enters an area, such inter-ethnic institutions are not present and have to be built. Although this can be successful (Bogale and Korf, 2007; Adano et al.et al., 2012), it is far from certain. Newcomers might challenge local notions of property rights (Feyissa, 2011) or might have less secure claims to land (Turner et al.et al., 2012, p. :202). In a comparative study of eleven 11 cases of inter-group conflict in arid or semi-arid areas of SSA, Seter et al.et al. (2017) find that in-migration of new ethnic groups without previous relations can create problems over renewable resources as they have little previous experience with resource sharing arrangements and conflict management. </w:t>
      </w:r>
      <w:commentRangeStart w:id="52"/>
      <w:r>
        <w:rPr>
          <w:highlight w:val="yellow"/>
          <w:lang w:val="en-US"/>
        </w:rPr>
        <w:t xml:space="preserve">Contrasting the peaceful, long-standing co-existence between pastoralist Fulbe and Mossi farmers in the Central Plateau of Burkina Faso </w:t>
      </w:r>
      <w:r>
        <w:rPr>
          <w:highlight w:val="yellow"/>
          <w:lang w:val="en-US"/>
        </w:rPr>
      </w:r>
      <w:commentRangeEnd w:id="52"/>
      <w:r>
        <w:commentReference w:id="52"/>
      </w:r>
      <w:r>
        <w:rPr>
          <w:highlight w:val="yellow"/>
          <w:lang w:val="en-US"/>
        </w:rPr>
        <w:t>with the recent in-migration of Fulbe into northern Côte d’Ivoire causing intense violence, Breusers et al.et al. (1998, p. :375) suggest that ‘“…the extent to which the ethnic groups involved have had a “‘common”’ history is probably of the utmost importance’” for how conflicts are resolved.</w:t>
      </w:r>
      <w:r>
        <w:rPr>
          <w:lang w:val="en-US"/>
        </w:rPr>
        <w:t>’</w:t>
      </w:r>
      <w:r>
        <w:rPr>
          <w:lang w:val="en-US"/>
        </w:rPr>
      </w:r>
      <w:commentRangeEnd w:id="51"/>
      <w:r>
        <w:commentReference w:id="51"/>
      </w:r>
      <w:r>
        <w:rPr>
          <w:lang w:val="en-US"/>
        </w:rPr>
        <w:t xml:space="preserve"> </w:t>
      </w:r>
    </w:p>
    <w:p>
      <w:pPr>
        <w:pStyle w:val="TextBody"/>
        <w:rPr>
          <w:lang w:val="en-US"/>
        </w:rPr>
      </w:pPr>
      <w:r>
        <w:rPr>
          <w:lang w:val="en-US"/>
        </w:rPr>
        <w:t>Institutions can be defined as ‘stable, valued, recurring patterns of behavior’ (Huntington, 1965, p. 394). A central distinction can be drawn between formal (state-made) and informal (made by non-state actors) institutions.</w:t>
      </w:r>
    </w:p>
    <w:p>
      <w:pPr>
        <w:pStyle w:val="TextBody"/>
        <w:rPr>
          <w:lang w:val="en-GB"/>
        </w:rPr>
      </w:pPr>
      <w:r>
        <w:rPr>
          <w:lang w:val="en-GB"/>
        </w:rPr>
        <w:t>Another selling point: Theories of interethnic cooperation and violence are very often not involving the state directly (Lake and Rotchild 1996; Fearon and Laitin 1996), and to test such mechanisms one should therefore test them on data on inter-group violence. Hitherto these theories have mostly been tested on data whereby insurgents challenge the state.</w:t>
      </w:r>
    </w:p>
    <w:p>
      <w:pPr>
        <w:pStyle w:val="TextBody"/>
        <w:rPr>
          <w:lang w:val="en-GB"/>
        </w:rPr>
      </w:pPr>
      <w:r>
        <w:rPr>
          <w:lang w:val="en-GB"/>
        </w:rPr>
        <w:t xml:space="preserve">Cases to substantiate: there is an excellent article on Bawku in northern Ghana and a conflict that erupted there. There are actually also ABM interview from that village. </w:t>
      </w:r>
    </w:p>
    <w:p>
      <w:pPr>
        <w:pStyle w:val="List"/>
        <w:rPr>
          <w:lang w:val="en-GB"/>
        </w:rPr>
      </w:pPr>
      <w:r>
        <w:rPr>
          <w:lang w:val="en-GB"/>
        </w:rPr>
        <w:t>Also interviews from Sasuri (Bungoma)</w:t>
      </w:r>
    </w:p>
    <w:p>
      <w:pPr>
        <w:pStyle w:val="List"/>
        <w:rPr>
          <w:lang w:val="en-GB"/>
        </w:rPr>
      </w:pPr>
      <w:r>
        <w:rPr>
          <w:lang w:val="en-GB"/>
        </w:rPr>
        <w:t>Why study Africa</w:t>
      </w:r>
    </w:p>
    <w:p>
      <w:pPr>
        <w:pStyle w:val="ListParagraph"/>
        <w:numPr>
          <w:ilvl w:val="0"/>
          <w:numId w:val="1"/>
        </w:numPr>
        <w:rPr>
          <w:lang w:val="en-GB"/>
        </w:rPr>
      </w:pPr>
      <w:r>
        <w:rPr>
          <w:lang w:val="en-GB"/>
        </w:rPr>
        <w:t>•</w:t>
      </w:r>
      <w:r>
        <w:rPr>
          <w:lang w:val="en-GB"/>
        </w:rPr>
        <w:tab/>
      </w:r>
      <w:r>
        <w:fldChar w:fldCharType="begin"/>
      </w:r>
      <w:r>
        <w:rPr>
          <w:lang w:val="en-GB"/>
        </w:rPr>
        <w:instrText>ADDIN ZOTERO_ITEM CSL_CITATION {"citationID":"7rhzFiGX","properties":{"formattedCitation":"(Wig, 2016, p. 510)","plainCitation":"(Wig, 2016, p. 510)","noteIndex":0},"citationItems":[{"id":1537,"uris":["http://zotero.org/groups/1795726/items/K2D2CR24"],"uri":["http://zotero.org/groups/1795726/items/K2D2CR24"],"itemData":{"id":1537,"type":"article-journal","abstract":"Research on the relationship between political institutions and civil war has paid insufficient attention to the role of traditional institutions in developing countries. This study presents large-N evidence showing that traditional ethnic institutions with origins prior to Western colonization are associated with the prevalence of civil wars in Africa after independence. Matching ethnographic data on the pre-colonial political organization of African indigenous groups to contemporary data on ethnic groups in conflict, I investigate the relationship between the traditional organization of ethnic groups and ethnic civil wars in Africa after decolonization. Specifically, I argue that excluded groups with centralized traditional institutions can rely on these institutions to more credibly bargain with the state, and that this reduces their risk of conflict. Accordingly, I find that excluded groups with centralized pre-colonial institutions are less likely to be involved in civil wars.","container-title":"Journal of Peace Research","DOI":"10.1177/0022343316640595","ISSN":"0022-3433","issue":"4","journalAbbreviation":"Journal of Peace Research","language":"en","page":"509-524","source":"SAGE Journals","title":"Peace from the past: Pre-colonial political institutions and civil wars in Africa","title-short":"Peace from the past","volume":"53","author":[{"family":"Wig","given":"Tore"}],"issued":{"date-parts":[["2016",7,1]]}},"locator":"510"}],"schema":"https://github.com/citation-style-language/schema/raw/master/csl-citation.json"}</w:instrText>
      </w:r>
      <w:r>
        <w:rPr>
          <w:lang w:val="en-GB"/>
        </w:rPr>
      </w:r>
      <w:r>
        <w:rPr>
          <w:lang w:val="en-GB"/>
        </w:rPr>
        <w:fldChar w:fldCharType="separate"/>
      </w:r>
      <w:r>
        <w:rPr>
          <w:lang w:val="en-GB"/>
        </w:rPr>
      </w:r>
      <w:r>
        <w:rPr>
          <w:rFonts w:cs="Calibri"/>
        </w:rPr>
        <w:t>(Wig, 2016, p. 510)</w:t>
      </w:r>
      <w:r>
        <w:rPr>
          <w:lang w:val="en-GB"/>
        </w:rPr>
      </w:r>
      <w:r>
        <w:rPr>
          <w:lang w:val="en-GB"/>
        </w:rPr>
        <w:fldChar w:fldCharType="end"/>
      </w:r>
    </w:p>
    <w:p>
      <w:pPr>
        <w:pStyle w:val="ListParagraph"/>
        <w:numPr>
          <w:ilvl w:val="0"/>
          <w:numId w:val="1"/>
        </w:numPr>
        <w:rPr>
          <w:lang w:val="en-GB"/>
        </w:rPr>
      </w:pPr>
      <w:r>
        <w:rPr>
          <w:lang w:val="en-GB"/>
        </w:rPr>
        <w:t xml:space="preserve">State authority and control in SSA is gradual, hence measuring the contemporary influence of precolonial states should reflect this. </w:t>
      </w:r>
    </w:p>
    <w:p>
      <w:pPr>
        <w:pStyle w:val="Heading1"/>
        <w:rPr>
          <w:lang w:val="en-GB"/>
        </w:rPr>
      </w:pPr>
      <w:r>
        <w:rPr>
          <w:lang w:val="en-GB"/>
        </w:rPr>
        <w:t>Likely redundant</w:t>
      </w:r>
    </w:p>
    <w:p>
      <w:pPr>
        <w:pStyle w:val="TextBody"/>
        <w:rPr>
          <w:lang w:val="en-GB"/>
        </w:rPr>
      </w:pPr>
      <w:r>
        <w:rPr>
          <w:lang w:val="en-GB"/>
        </w:rPr>
        <w:t xml:space="preserve">Based on the premise that despite tension and mistrust, no one wants violent conflict, Fearon and Laitin </w:t>
      </w:r>
      <w:r>
        <w:fldChar w:fldCharType="begin"/>
      </w:r>
      <w:r>
        <w:rPr>
          <w:lang w:val="en-GB"/>
        </w:rPr>
        <w:instrText>ADDIN ZOTERO_ITEM CSL_CITATION {"citationID":"6FOH3KX7","properties":{"formattedCitation":"(Fearon &amp; Laitin, 1996)","plainCitation":"(Fearon &amp; Laitin, 1996)","noteIndex":0},"citationItems":[{"id":5313,"uris":["http://zotero.org/groups/1795726/items/KIYXSC4R"],"uri":["http://zotero.org/groups/1795726/items/KIYXSC4R"],"itemData":{"id":5313,"type":"article-journal","abstract":"Though both journalists and the academic literature on ethnic conflict give the opposite impression, peaceful and even cooperative relations between ethnic groups are far more common than is large-scale violence. We seek to explain this norm of interethnic peace and how it occasionally breaks down, arguing that formal and informal institutions usually work to contain or “cauterize” disputes between individual members of different groups. Using a social matching game model, we show that local-level interethnic cooperation can be supported in essentially two ways. In spiral equilibria, disputes between individuals are correctly expected to spiral rapidly beyond the two parties, and fear of this induces cooperation “on the equilibrium path.” In in-group policing equilibria, individuals ignore transgressions by members of the other group, correctly expecting that the culprits will be identified and sanctioned by their own ethnic brethren. A range of examples suggests that both equilibria occur empirically and have properties expected from the theoretical analysis.","container-title":"American Political Science Review","DOI":"10.2307/2945838","ISSN":"0003-0554, 1537-5943","issue":"4","language":"en","note":"publisher: Cambridge University Press","page":"715-735","source":"Cambridge University Press","title":"Explaining Interethnic Cooperation","volume":"90","author":[{"family":"Fearon","given":"James D."},{"family":"Laitin","given":"David D."}],"issued":{"date-parts":[["1996",12]]}}}],"schema":"https://github.com/citation-style-language/schema/raw/master/csl-citation.json"}</w:instrText>
      </w:r>
      <w:r>
        <w:rPr>
          <w:lang w:val="en-GB"/>
        </w:rPr>
      </w:r>
      <w:r>
        <w:rPr>
          <w:lang w:val="en-GB"/>
        </w:rPr>
        <w:fldChar w:fldCharType="separate"/>
      </w:r>
      <w:r>
        <w:rPr>
          <w:lang w:val="en-GB"/>
        </w:rPr>
      </w:r>
      <w:r>
        <w:rPr>
          <w:rFonts w:cs="Calibri"/>
          <w:lang w:val="en-US"/>
        </w:rPr>
        <w:t>(Fearon &amp; Laitin, 1996)</w:t>
      </w:r>
      <w:r>
        <w:rPr>
          <w:lang w:val="en-GB"/>
        </w:rPr>
      </w:r>
      <w:r>
        <w:rPr>
          <w:lang w:val="en-GB"/>
        </w:rPr>
        <w:fldChar w:fldCharType="end"/>
      </w:r>
      <w:r>
        <w:rPr>
          <w:lang w:val="en-GB"/>
        </w:rPr>
        <w:t xml:space="preserve"> point out that formal and informal institutions usually work to cauterize disputes. Hence, even in areas where state presence is weak, interethnic relations are mostly non-violent if not directly cooperative. They present two causal mechanisms preventing interethnic conflict, but that sometimes break down.</w:t>
      </w:r>
    </w:p>
    <w:p>
      <w:pPr>
        <w:pStyle w:val="Heading1"/>
        <w:rPr>
          <w:lang w:val="en-GB"/>
        </w:rPr>
      </w:pPr>
      <w:r>
        <w:rPr>
          <w:lang w:val="en-GB"/>
        </w:rPr>
        <w:t>Bibliography</w:t>
      </w:r>
    </w:p>
    <w:p>
      <w:pPr>
        <w:pStyle w:val="Bibliography"/>
        <w:rPr>
          <w:rFonts w:ascii="Calibri" w:hAnsi="Calibri" w:cs="Calibri"/>
          <w:szCs w:val="24"/>
          <w:lang w:val="en-GB"/>
        </w:rPr>
      </w:pPr>
      <w:r>
        <w:fldChar w:fldCharType="begin"/>
      </w:r>
      <w:r>
        <w:rPr/>
        <w:instrText>ADDIN ZOTERO_BIBL {"uncited":[],"omitted":[],"custom":[]} CSL_BIBLIOGRAPHY</w:instrText>
      </w:r>
      <w:r>
        <w:rPr/>
      </w:r>
      <w:r>
        <w:rPr/>
        <w:fldChar w:fldCharType="separate"/>
      </w:r>
      <w:r>
        <w:rPr/>
      </w:r>
      <w:r>
        <w:rPr>
          <w:rFonts w:cs="Calibri"/>
          <w:szCs w:val="24"/>
          <w:lang w:val="en-GB"/>
        </w:rPr>
        <w:t xml:space="preserve">Anderson, B. (2006). </w:t>
      </w:r>
      <w:r>
        <w:rPr>
          <w:rFonts w:cs="Calibri"/>
          <w:i/>
          <w:iCs/>
          <w:szCs w:val="24"/>
          <w:lang w:val="en-GB"/>
        </w:rPr>
        <w:t>Imagined Communities</w:t>
      </w:r>
      <w:r>
        <w:rPr>
          <w:rFonts w:cs="Calibri"/>
          <w:szCs w:val="24"/>
          <w:lang w:val="en-GB"/>
        </w:rPr>
        <w:t xml:space="preserve"> (Second Edition). Verso.</w:t>
      </w:r>
    </w:p>
    <w:p>
      <w:pPr>
        <w:pStyle w:val="Bibliography"/>
        <w:rPr>
          <w:rFonts w:ascii="Calibri" w:hAnsi="Calibri" w:cs="Calibri"/>
          <w:szCs w:val="24"/>
          <w:lang w:val="en-GB"/>
        </w:rPr>
      </w:pPr>
      <w:r>
        <w:rPr>
          <w:rFonts w:cs="Calibri"/>
          <w:szCs w:val="24"/>
          <w:lang w:val="en-GB"/>
        </w:rPr>
        <w:t xml:space="preserve">Beyene, F. (2009). Property rights conflict, customary institutions and the state: The case of agro-pastoralists in Mieso district, eastern Ethiopia. </w:t>
      </w:r>
      <w:r>
        <w:rPr>
          <w:rFonts w:cs="Calibri"/>
          <w:i/>
          <w:iCs/>
          <w:szCs w:val="24"/>
          <w:lang w:val="en-GB"/>
        </w:rPr>
        <w:t>The Journal of Modern African Studies</w:t>
      </w:r>
      <w:r>
        <w:rPr>
          <w:rFonts w:cs="Calibri"/>
          <w:szCs w:val="24"/>
          <w:lang w:val="en-GB"/>
        </w:rPr>
        <w:t xml:space="preserve">, </w:t>
      </w:r>
      <w:r>
        <w:rPr>
          <w:rFonts w:cs="Calibri"/>
          <w:i/>
          <w:iCs/>
          <w:szCs w:val="24"/>
          <w:lang w:val="en-GB"/>
        </w:rPr>
        <w:t>47</w:t>
      </w:r>
      <w:r>
        <w:rPr>
          <w:rFonts w:cs="Calibri"/>
          <w:szCs w:val="24"/>
          <w:lang w:val="en-GB"/>
        </w:rPr>
        <w:t>(2), 213–239.</w:t>
      </w:r>
    </w:p>
    <w:p>
      <w:pPr>
        <w:pStyle w:val="Bibliography"/>
        <w:rPr>
          <w:rFonts w:ascii="Calibri" w:hAnsi="Calibri" w:cs="Calibri"/>
          <w:szCs w:val="24"/>
          <w:lang w:val="en-GB"/>
        </w:rPr>
      </w:pPr>
      <w:r>
        <w:rPr>
          <w:rFonts w:cs="Calibri"/>
          <w:szCs w:val="24"/>
          <w:lang w:val="en-GB"/>
        </w:rPr>
        <w:t xml:space="preserve">Bollig, M. (1993). Intra-and Interethnic Conflict in Northwest Kenya. A Multicausal Analysis of Conflict Behaviour. </w:t>
      </w:r>
      <w:r>
        <w:rPr>
          <w:rFonts w:cs="Calibri"/>
          <w:i/>
          <w:iCs/>
          <w:szCs w:val="24"/>
          <w:lang w:val="en-GB"/>
        </w:rPr>
        <w:t>Anthropos</w:t>
      </w:r>
      <w:r>
        <w:rPr>
          <w:rFonts w:cs="Calibri"/>
          <w:szCs w:val="24"/>
          <w:lang w:val="en-GB"/>
        </w:rPr>
        <w:t xml:space="preserve">, </w:t>
      </w:r>
      <w:r>
        <w:rPr>
          <w:rFonts w:cs="Calibri"/>
          <w:i/>
          <w:iCs/>
          <w:szCs w:val="24"/>
          <w:lang w:val="en-GB"/>
        </w:rPr>
        <w:t>88</w:t>
      </w:r>
      <w:r>
        <w:rPr>
          <w:rFonts w:cs="Calibri"/>
          <w:szCs w:val="24"/>
          <w:lang w:val="en-GB"/>
        </w:rPr>
        <w:t>(1/3), 176–184.</w:t>
      </w:r>
    </w:p>
    <w:p>
      <w:pPr>
        <w:pStyle w:val="Bibliography"/>
        <w:rPr>
          <w:rFonts w:ascii="Calibri" w:hAnsi="Calibri" w:cs="Calibri"/>
          <w:szCs w:val="24"/>
          <w:lang w:val="en-GB"/>
        </w:rPr>
      </w:pPr>
      <w:r>
        <w:rPr>
          <w:rFonts w:cs="Calibri"/>
          <w:szCs w:val="24"/>
          <w:lang w:val="en-GB"/>
        </w:rPr>
        <w:t xml:space="preserve">Cohen, D., &amp; Vandello, J. (2004). The paradox of politeness. In </w:t>
      </w:r>
      <w:r>
        <w:rPr>
          <w:rFonts w:cs="Calibri"/>
          <w:i/>
          <w:iCs/>
          <w:szCs w:val="24"/>
          <w:lang w:val="en-GB"/>
        </w:rPr>
        <w:t>Cultural Shaping of Violence</w:t>
      </w:r>
      <w:r>
        <w:rPr>
          <w:rFonts w:cs="Calibri"/>
          <w:szCs w:val="24"/>
          <w:lang w:val="en-GB"/>
        </w:rPr>
        <w:t xml:space="preserve"> (pp. 119–132). Purdue University Press.</w:t>
      </w:r>
    </w:p>
    <w:p>
      <w:pPr>
        <w:pStyle w:val="Bibliography"/>
        <w:rPr>
          <w:rFonts w:ascii="Calibri" w:hAnsi="Calibri" w:cs="Calibri"/>
          <w:szCs w:val="24"/>
          <w:lang w:val="en-GB"/>
        </w:rPr>
      </w:pPr>
      <w:r>
        <w:rPr>
          <w:rFonts w:cs="Calibri"/>
          <w:szCs w:val="24"/>
          <w:lang w:val="en-GB"/>
        </w:rPr>
        <w:t xml:space="preserve">Colson, E. (1975). </w:t>
      </w:r>
      <w:r>
        <w:rPr>
          <w:rFonts w:cs="Calibri"/>
          <w:i/>
          <w:iCs/>
          <w:szCs w:val="24"/>
          <w:lang w:val="en-GB"/>
        </w:rPr>
        <w:t>Tradition and Contract</w:t>
      </w:r>
      <w:r>
        <w:rPr>
          <w:rFonts w:cs="Calibri"/>
          <w:szCs w:val="24"/>
          <w:lang w:val="en-GB"/>
        </w:rPr>
        <w:t>. Aldine.</w:t>
      </w:r>
    </w:p>
    <w:p>
      <w:pPr>
        <w:pStyle w:val="Bibliography"/>
        <w:rPr>
          <w:rFonts w:ascii="Calibri" w:hAnsi="Calibri" w:cs="Calibri"/>
          <w:szCs w:val="24"/>
          <w:lang w:val="en-GB"/>
        </w:rPr>
      </w:pPr>
      <w:r>
        <w:rPr>
          <w:rFonts w:cs="Calibri"/>
          <w:szCs w:val="24"/>
          <w:lang w:val="en-GB"/>
        </w:rPr>
        <w:t xml:space="preserve">Diamond, J. (2012). </w:t>
      </w:r>
      <w:r>
        <w:rPr>
          <w:rFonts w:cs="Calibri"/>
          <w:i/>
          <w:iCs/>
          <w:szCs w:val="24"/>
          <w:lang w:val="en-GB"/>
        </w:rPr>
        <w:t>The World Until Yesterday</w:t>
      </w:r>
      <w:r>
        <w:rPr>
          <w:rFonts w:cs="Calibri"/>
          <w:szCs w:val="24"/>
          <w:lang w:val="en-GB"/>
        </w:rPr>
        <w:t>. Viking Press.</w:t>
      </w:r>
    </w:p>
    <w:p>
      <w:pPr>
        <w:pStyle w:val="Bibliography"/>
        <w:rPr>
          <w:rFonts w:ascii="Calibri" w:hAnsi="Calibri" w:cs="Calibri"/>
          <w:szCs w:val="24"/>
          <w:lang w:val="en-GB"/>
        </w:rPr>
      </w:pPr>
      <w:r>
        <w:rPr>
          <w:rFonts w:cs="Calibri"/>
          <w:szCs w:val="24"/>
          <w:lang w:val="en-GB"/>
        </w:rPr>
        <w:t xml:space="preserve">Döring, S. (2020). Come rain, or come wells: How access to groundwater affects communal violence. </w:t>
      </w:r>
      <w:r>
        <w:rPr>
          <w:rFonts w:cs="Calibri"/>
          <w:i/>
          <w:iCs/>
          <w:szCs w:val="24"/>
          <w:lang w:val="en-GB"/>
        </w:rPr>
        <w:t>Political Geography</w:t>
      </w:r>
      <w:r>
        <w:rPr>
          <w:rFonts w:cs="Calibri"/>
          <w:szCs w:val="24"/>
          <w:lang w:val="en-GB"/>
        </w:rPr>
        <w:t xml:space="preserve">, </w:t>
      </w:r>
      <w:r>
        <w:rPr>
          <w:rFonts w:cs="Calibri"/>
          <w:i/>
          <w:iCs/>
          <w:szCs w:val="24"/>
          <w:lang w:val="en-GB"/>
        </w:rPr>
        <w:t>76</w:t>
      </w:r>
      <w:r>
        <w:rPr>
          <w:rFonts w:cs="Calibri"/>
          <w:szCs w:val="24"/>
          <w:lang w:val="en-GB"/>
        </w:rPr>
        <w:t>, 102073. https://doi.org/10.1016/j.polgeo.2019.102073</w:t>
      </w:r>
    </w:p>
    <w:p>
      <w:pPr>
        <w:pStyle w:val="Bibliography"/>
        <w:rPr>
          <w:rFonts w:ascii="Calibri" w:hAnsi="Calibri" w:cs="Calibri"/>
          <w:szCs w:val="24"/>
          <w:lang w:val="en-GB"/>
        </w:rPr>
      </w:pPr>
      <w:r>
        <w:rPr>
          <w:rFonts w:cs="Calibri"/>
          <w:szCs w:val="24"/>
          <w:lang w:val="en-GB"/>
        </w:rPr>
        <w:t xml:space="preserve">Eaton, D. (2008). The Business of Peace: Raiding and Peace Work Along the Kenya–Uganda Border (Part I). </w:t>
      </w:r>
      <w:r>
        <w:rPr>
          <w:rFonts w:cs="Calibri"/>
          <w:i/>
          <w:iCs/>
          <w:szCs w:val="24"/>
          <w:lang w:val="en-GB"/>
        </w:rPr>
        <w:t>African Affairs</w:t>
      </w:r>
      <w:r>
        <w:rPr>
          <w:rFonts w:cs="Calibri"/>
          <w:szCs w:val="24"/>
          <w:lang w:val="en-GB"/>
        </w:rPr>
        <w:t xml:space="preserve">, </w:t>
      </w:r>
      <w:r>
        <w:rPr>
          <w:rFonts w:cs="Calibri"/>
          <w:i/>
          <w:iCs/>
          <w:szCs w:val="24"/>
          <w:lang w:val="en-GB"/>
        </w:rPr>
        <w:t>107</w:t>
      </w:r>
      <w:r>
        <w:rPr>
          <w:rFonts w:cs="Calibri"/>
          <w:szCs w:val="24"/>
          <w:lang w:val="en-GB"/>
        </w:rPr>
        <w:t>(426), 89–110. https://doi.org/10.1093/afraf/adm085</w:t>
      </w:r>
    </w:p>
    <w:p>
      <w:pPr>
        <w:pStyle w:val="Bibliography"/>
        <w:rPr>
          <w:rFonts w:ascii="Calibri" w:hAnsi="Calibri" w:cs="Calibri"/>
          <w:szCs w:val="24"/>
          <w:lang w:val="en-GB"/>
        </w:rPr>
      </w:pPr>
      <w:r>
        <w:rPr>
          <w:rFonts w:cs="Calibri"/>
          <w:szCs w:val="24"/>
          <w:lang w:val="en-GB"/>
        </w:rPr>
        <w:t xml:space="preserve">Eck, K. (2014). The law of the land: Communal conflict and legal authority. </w:t>
      </w:r>
      <w:r>
        <w:rPr>
          <w:rFonts w:cs="Calibri"/>
          <w:i/>
          <w:iCs/>
          <w:szCs w:val="24"/>
          <w:lang w:val="en-GB"/>
        </w:rPr>
        <w:t>Journal of Peace Research</w:t>
      </w:r>
      <w:r>
        <w:rPr>
          <w:rFonts w:cs="Calibri"/>
          <w:szCs w:val="24"/>
          <w:lang w:val="en-GB"/>
        </w:rPr>
        <w:t xml:space="preserve">, </w:t>
      </w:r>
      <w:r>
        <w:rPr>
          <w:rFonts w:cs="Calibri"/>
          <w:i/>
          <w:iCs/>
          <w:szCs w:val="24"/>
          <w:lang w:val="en-GB"/>
        </w:rPr>
        <w:t>51</w:t>
      </w:r>
      <w:r>
        <w:rPr>
          <w:rFonts w:cs="Calibri"/>
          <w:szCs w:val="24"/>
          <w:lang w:val="en-GB"/>
        </w:rPr>
        <w:t>(4), 441–454. https://doi.org/10.1177/0022343314522257</w:t>
      </w:r>
    </w:p>
    <w:p>
      <w:pPr>
        <w:pStyle w:val="Bibliography"/>
        <w:rPr>
          <w:rFonts w:ascii="Calibri" w:hAnsi="Calibri" w:cs="Calibri"/>
          <w:szCs w:val="24"/>
          <w:lang w:val="en-GB"/>
        </w:rPr>
      </w:pPr>
      <w:r>
        <w:rPr>
          <w:rFonts w:cs="Calibri"/>
          <w:szCs w:val="24"/>
          <w:lang w:val="en-GB"/>
        </w:rPr>
        <w:t xml:space="preserve">Elfversson, E. (2015). Providing security or protecting interests? Government interventions in violent communal conflicts in Africa. </w:t>
      </w:r>
      <w:r>
        <w:rPr>
          <w:rFonts w:cs="Calibri"/>
          <w:i/>
          <w:iCs/>
          <w:szCs w:val="24"/>
          <w:lang w:val="en-GB"/>
        </w:rPr>
        <w:t>Journal of Peace Research</w:t>
      </w:r>
      <w:r>
        <w:rPr>
          <w:rFonts w:cs="Calibri"/>
          <w:szCs w:val="24"/>
          <w:lang w:val="en-GB"/>
        </w:rPr>
        <w:t xml:space="preserve">, </w:t>
      </w:r>
      <w:r>
        <w:rPr>
          <w:rFonts w:cs="Calibri"/>
          <w:i/>
          <w:iCs/>
          <w:szCs w:val="24"/>
          <w:lang w:val="en-GB"/>
        </w:rPr>
        <w:t>52</w:t>
      </w:r>
      <w:r>
        <w:rPr>
          <w:rFonts w:cs="Calibri"/>
          <w:szCs w:val="24"/>
          <w:lang w:val="en-GB"/>
        </w:rPr>
        <w:t>(6), 791–805.</w:t>
      </w:r>
    </w:p>
    <w:p>
      <w:pPr>
        <w:pStyle w:val="Bibliography"/>
        <w:rPr>
          <w:rFonts w:ascii="Calibri" w:hAnsi="Calibri" w:cs="Calibri"/>
          <w:szCs w:val="24"/>
          <w:lang w:val="en-GB"/>
        </w:rPr>
      </w:pPr>
      <w:r>
        <w:rPr>
          <w:rFonts w:cs="Calibri"/>
          <w:szCs w:val="24"/>
          <w:lang w:val="en-GB"/>
        </w:rPr>
        <w:t xml:space="preserve">Fearon, J. D. (1995). Rationalist Explanations for War. </w:t>
      </w:r>
      <w:r>
        <w:rPr>
          <w:rFonts w:cs="Calibri"/>
          <w:i/>
          <w:iCs/>
          <w:szCs w:val="24"/>
          <w:lang w:val="en-GB"/>
        </w:rPr>
        <w:t>International Organization</w:t>
      </w:r>
      <w:r>
        <w:rPr>
          <w:rFonts w:cs="Calibri"/>
          <w:szCs w:val="24"/>
          <w:lang w:val="en-GB"/>
        </w:rPr>
        <w:t xml:space="preserve">, </w:t>
      </w:r>
      <w:r>
        <w:rPr>
          <w:rFonts w:cs="Calibri"/>
          <w:i/>
          <w:iCs/>
          <w:szCs w:val="24"/>
          <w:lang w:val="en-GB"/>
        </w:rPr>
        <w:t>49</w:t>
      </w:r>
      <w:r>
        <w:rPr>
          <w:rFonts w:cs="Calibri"/>
          <w:szCs w:val="24"/>
          <w:lang w:val="en-GB"/>
        </w:rPr>
        <w:t>(3), 379–414. https://doi.org/10.2307/2706903</w:t>
      </w:r>
    </w:p>
    <w:p>
      <w:pPr>
        <w:pStyle w:val="Bibliography"/>
        <w:rPr>
          <w:rFonts w:ascii="Calibri" w:hAnsi="Calibri" w:cs="Calibri"/>
          <w:szCs w:val="24"/>
          <w:lang w:val="en-GB"/>
        </w:rPr>
      </w:pPr>
      <w:r>
        <w:rPr>
          <w:rFonts w:cs="Calibri"/>
          <w:szCs w:val="24"/>
          <w:lang w:val="en-GB"/>
        </w:rPr>
        <w:t xml:space="preserve">Fearon, J. D., &amp; Laitin, D. D. (1996). Explaining Interethnic Cooperation. </w:t>
      </w:r>
      <w:r>
        <w:rPr>
          <w:rFonts w:cs="Calibri"/>
          <w:i/>
          <w:iCs/>
          <w:szCs w:val="24"/>
          <w:lang w:val="en-GB"/>
        </w:rPr>
        <w:t>American Political Science Review</w:t>
      </w:r>
      <w:r>
        <w:rPr>
          <w:rFonts w:cs="Calibri"/>
          <w:szCs w:val="24"/>
          <w:lang w:val="en-GB"/>
        </w:rPr>
        <w:t xml:space="preserve">, </w:t>
      </w:r>
      <w:r>
        <w:rPr>
          <w:rFonts w:cs="Calibri"/>
          <w:i/>
          <w:iCs/>
          <w:szCs w:val="24"/>
          <w:lang w:val="en-GB"/>
        </w:rPr>
        <w:t>90</w:t>
      </w:r>
      <w:r>
        <w:rPr>
          <w:rFonts w:cs="Calibri"/>
          <w:szCs w:val="24"/>
          <w:lang w:val="en-GB"/>
        </w:rPr>
        <w:t>(4), 715–735. https://doi.org/10.2307/2945838</w:t>
      </w:r>
    </w:p>
    <w:p>
      <w:pPr>
        <w:pStyle w:val="Bibliography"/>
        <w:rPr>
          <w:rFonts w:ascii="Calibri" w:hAnsi="Calibri" w:cs="Calibri"/>
          <w:szCs w:val="24"/>
          <w:lang w:val="en-GB"/>
        </w:rPr>
      </w:pPr>
      <w:r>
        <w:rPr>
          <w:rFonts w:cs="Calibri"/>
          <w:szCs w:val="24"/>
          <w:lang w:val="en-GB"/>
        </w:rPr>
        <w:t xml:space="preserve">Fjelde, H., &amp; Østby, G. (2014). Socioeconomic Inequality and Communal Conflict: A Disaggregated Analysis of Sub-Saharan Africa, 1990–2008. </w:t>
      </w:r>
      <w:r>
        <w:rPr>
          <w:rFonts w:cs="Calibri"/>
          <w:i/>
          <w:iCs/>
          <w:szCs w:val="24"/>
          <w:lang w:val="en-GB"/>
        </w:rPr>
        <w:t>International Interactions</w:t>
      </w:r>
      <w:r>
        <w:rPr>
          <w:rFonts w:cs="Calibri"/>
          <w:szCs w:val="24"/>
          <w:lang w:val="en-GB"/>
        </w:rPr>
        <w:t xml:space="preserve">, </w:t>
      </w:r>
      <w:r>
        <w:rPr>
          <w:rFonts w:cs="Calibri"/>
          <w:i/>
          <w:iCs/>
          <w:szCs w:val="24"/>
          <w:lang w:val="en-GB"/>
        </w:rPr>
        <w:t>40</w:t>
      </w:r>
      <w:r>
        <w:rPr>
          <w:rFonts w:cs="Calibri"/>
          <w:szCs w:val="24"/>
          <w:lang w:val="en-GB"/>
        </w:rPr>
        <w:t>(5), 737–762. https://doi.org/10.1080/03050629.2014.917373</w:t>
      </w:r>
    </w:p>
    <w:p>
      <w:pPr>
        <w:pStyle w:val="Bibliography"/>
        <w:rPr>
          <w:rFonts w:ascii="Calibri" w:hAnsi="Calibri" w:cs="Calibri"/>
          <w:szCs w:val="24"/>
          <w:lang w:val="en-GB"/>
        </w:rPr>
      </w:pPr>
      <w:r>
        <w:rPr>
          <w:rFonts w:cs="Calibri"/>
          <w:szCs w:val="24"/>
          <w:lang w:val="en-GB"/>
        </w:rPr>
        <w:t xml:space="preserve">Fjelde, H., &amp; von Uexkull, N. (2012). Climate triggers: Rainfall anomalies, vulnerability and communal conflict in Sub-Saharan Africa. </w:t>
      </w:r>
      <w:r>
        <w:rPr>
          <w:rFonts w:cs="Calibri"/>
          <w:i/>
          <w:iCs/>
          <w:szCs w:val="24"/>
          <w:lang w:val="en-GB"/>
        </w:rPr>
        <w:t>Political Geography</w:t>
      </w:r>
      <w:r>
        <w:rPr>
          <w:rFonts w:cs="Calibri"/>
          <w:szCs w:val="24"/>
          <w:lang w:val="en-GB"/>
        </w:rPr>
        <w:t xml:space="preserve">, </w:t>
      </w:r>
      <w:r>
        <w:rPr>
          <w:rFonts w:cs="Calibri"/>
          <w:i/>
          <w:iCs/>
          <w:szCs w:val="24"/>
          <w:lang w:val="en-GB"/>
        </w:rPr>
        <w:t>31</w:t>
      </w:r>
      <w:r>
        <w:rPr>
          <w:rFonts w:cs="Calibri"/>
          <w:szCs w:val="24"/>
          <w:lang w:val="en-GB"/>
        </w:rPr>
        <w:t>(7), 444–453. https://doi.org/10.1016/j.polgeo.2012.08.004</w:t>
      </w:r>
    </w:p>
    <w:p>
      <w:pPr>
        <w:pStyle w:val="Bibliography"/>
        <w:rPr>
          <w:rFonts w:ascii="Calibri" w:hAnsi="Calibri" w:cs="Calibri"/>
          <w:szCs w:val="24"/>
          <w:lang w:val="en-GB"/>
        </w:rPr>
      </w:pPr>
      <w:r>
        <w:rPr>
          <w:rFonts w:cs="Calibri"/>
          <w:szCs w:val="24"/>
          <w:lang w:val="en-GB"/>
        </w:rPr>
        <w:t xml:space="preserve">Herbst, J. (2015). </w:t>
      </w:r>
      <w:r>
        <w:rPr>
          <w:rFonts w:cs="Calibri"/>
          <w:i/>
          <w:iCs/>
          <w:szCs w:val="24"/>
          <w:lang w:val="en-GB"/>
        </w:rPr>
        <w:t>States and Power in Africa</w:t>
      </w:r>
      <w:r>
        <w:rPr>
          <w:rFonts w:cs="Calibri"/>
          <w:szCs w:val="24"/>
          <w:lang w:val="en-GB"/>
        </w:rPr>
        <w:t xml:space="preserve"> (Second). Princeton University Press.</w:t>
      </w:r>
    </w:p>
    <w:p>
      <w:pPr>
        <w:pStyle w:val="Bibliography"/>
        <w:rPr>
          <w:rFonts w:ascii="Calibri" w:hAnsi="Calibri" w:cs="Calibri"/>
          <w:szCs w:val="24"/>
          <w:lang w:val="en-GB"/>
        </w:rPr>
      </w:pPr>
      <w:r>
        <w:rPr>
          <w:rFonts w:cs="Calibri"/>
          <w:szCs w:val="24"/>
          <w:lang w:val="en-GB"/>
        </w:rPr>
        <w:t xml:space="preserve">Hillesund, S. (2019). Choosing Whom to Target: Horizontal Inequality and the Risk of Civil and Communal Violence. </w:t>
      </w:r>
      <w:r>
        <w:rPr>
          <w:rFonts w:cs="Calibri"/>
          <w:i/>
          <w:iCs/>
          <w:szCs w:val="24"/>
          <w:lang w:val="en-GB"/>
        </w:rPr>
        <w:t>Journal of Conflict Resolution</w:t>
      </w:r>
      <w:r>
        <w:rPr>
          <w:rFonts w:cs="Calibri"/>
          <w:szCs w:val="24"/>
          <w:lang w:val="en-GB"/>
        </w:rPr>
        <w:t xml:space="preserve">, </w:t>
      </w:r>
      <w:r>
        <w:rPr>
          <w:rFonts w:cs="Calibri"/>
          <w:i/>
          <w:iCs/>
          <w:szCs w:val="24"/>
          <w:lang w:val="en-GB"/>
        </w:rPr>
        <w:t>63</w:t>
      </w:r>
      <w:r>
        <w:rPr>
          <w:rFonts w:cs="Calibri"/>
          <w:szCs w:val="24"/>
          <w:lang w:val="en-GB"/>
        </w:rPr>
        <w:t>(2), 528–554. https://doi.org/10.1177/0022002717734286</w:t>
      </w:r>
    </w:p>
    <w:p>
      <w:pPr>
        <w:pStyle w:val="Bibliography"/>
        <w:rPr>
          <w:rFonts w:ascii="Calibri" w:hAnsi="Calibri" w:cs="Calibri"/>
          <w:szCs w:val="24"/>
          <w:lang w:val="en-GB"/>
        </w:rPr>
      </w:pPr>
      <w:r>
        <w:rPr>
          <w:rFonts w:cs="Calibri"/>
          <w:szCs w:val="24"/>
          <w:lang w:val="en-GB"/>
        </w:rPr>
        <w:t xml:space="preserve">Lake, D. A., &amp; Rothchild, D. (1996). Containing Fear: The Origins and Management of Ethnic Conflict. </w:t>
      </w:r>
      <w:r>
        <w:rPr>
          <w:rFonts w:cs="Calibri"/>
          <w:i/>
          <w:iCs/>
          <w:szCs w:val="24"/>
          <w:lang w:val="en-GB"/>
        </w:rPr>
        <w:t>International Security</w:t>
      </w:r>
      <w:r>
        <w:rPr>
          <w:rFonts w:cs="Calibri"/>
          <w:szCs w:val="24"/>
          <w:lang w:val="en-GB"/>
        </w:rPr>
        <w:t xml:space="preserve">, </w:t>
      </w:r>
      <w:r>
        <w:rPr>
          <w:rFonts w:cs="Calibri"/>
          <w:i/>
          <w:iCs/>
          <w:szCs w:val="24"/>
          <w:lang w:val="en-GB"/>
        </w:rPr>
        <w:t>21</w:t>
      </w:r>
      <w:r>
        <w:rPr>
          <w:rFonts w:cs="Calibri"/>
          <w:szCs w:val="24"/>
          <w:lang w:val="en-GB"/>
        </w:rPr>
        <w:t>(2), 41–75. https://doi.org/10.1162/isec.21.2.41</w:t>
      </w:r>
    </w:p>
    <w:p>
      <w:pPr>
        <w:pStyle w:val="Bibliography"/>
        <w:rPr>
          <w:rFonts w:ascii="Calibri" w:hAnsi="Calibri" w:cs="Calibri"/>
          <w:szCs w:val="24"/>
          <w:lang w:val="en-GB"/>
        </w:rPr>
      </w:pPr>
      <w:r>
        <w:rPr>
          <w:rFonts w:cs="Calibri"/>
          <w:szCs w:val="24"/>
          <w:lang w:val="en-GB"/>
        </w:rPr>
        <w:t xml:space="preserve">Olsson, O. (2016). Climate Change and Market Collapse: A Model Applied to Darfur. </w:t>
      </w:r>
      <w:r>
        <w:rPr>
          <w:rFonts w:cs="Calibri"/>
          <w:i/>
          <w:iCs/>
          <w:szCs w:val="24"/>
          <w:lang w:val="en-GB"/>
        </w:rPr>
        <w:t>Games</w:t>
      </w:r>
      <w:r>
        <w:rPr>
          <w:rFonts w:cs="Calibri"/>
          <w:szCs w:val="24"/>
          <w:lang w:val="en-GB"/>
        </w:rPr>
        <w:t xml:space="preserve">, </w:t>
      </w:r>
      <w:r>
        <w:rPr>
          <w:rFonts w:cs="Calibri"/>
          <w:i/>
          <w:iCs/>
          <w:szCs w:val="24"/>
          <w:lang w:val="en-GB"/>
        </w:rPr>
        <w:t>7</w:t>
      </w:r>
      <w:r>
        <w:rPr>
          <w:rFonts w:cs="Calibri"/>
          <w:szCs w:val="24"/>
          <w:lang w:val="en-GB"/>
        </w:rPr>
        <w:t>(1), 9. https://doi.org/10.3390/g7010009</w:t>
      </w:r>
    </w:p>
    <w:p>
      <w:pPr>
        <w:pStyle w:val="Bibliography"/>
        <w:rPr>
          <w:rFonts w:ascii="Calibri" w:hAnsi="Calibri" w:cs="Calibri"/>
          <w:szCs w:val="24"/>
          <w:lang w:val="en-GB"/>
        </w:rPr>
      </w:pPr>
      <w:r>
        <w:rPr>
          <w:rFonts w:cs="Calibri"/>
          <w:szCs w:val="24"/>
          <w:lang w:val="en-GB"/>
        </w:rPr>
        <w:t xml:space="preserve">Ostrom, E. (2010). Beyond Markets and States: Polycentric Governance of Complex Economic Systems. </w:t>
      </w:r>
      <w:r>
        <w:rPr>
          <w:rFonts w:cs="Calibri"/>
          <w:i/>
          <w:iCs/>
          <w:szCs w:val="24"/>
          <w:lang w:val="en-GB"/>
        </w:rPr>
        <w:t>American Economic Review</w:t>
      </w:r>
      <w:r>
        <w:rPr>
          <w:rFonts w:cs="Calibri"/>
          <w:szCs w:val="24"/>
          <w:lang w:val="en-GB"/>
        </w:rPr>
        <w:t xml:space="preserve">, </w:t>
      </w:r>
      <w:r>
        <w:rPr>
          <w:rFonts w:cs="Calibri"/>
          <w:i/>
          <w:iCs/>
          <w:szCs w:val="24"/>
          <w:lang w:val="en-GB"/>
        </w:rPr>
        <w:t>100</w:t>
      </w:r>
      <w:r>
        <w:rPr>
          <w:rFonts w:cs="Calibri"/>
          <w:szCs w:val="24"/>
          <w:lang w:val="en-GB"/>
        </w:rPr>
        <w:t>(3), 641–672. https://doi.org/10.1257/aer.100.3.641</w:t>
      </w:r>
    </w:p>
    <w:p>
      <w:pPr>
        <w:pStyle w:val="Bibliography"/>
        <w:rPr>
          <w:rFonts w:ascii="Calibri" w:hAnsi="Calibri" w:cs="Calibri"/>
          <w:szCs w:val="24"/>
          <w:lang w:val="en-GB"/>
        </w:rPr>
      </w:pPr>
      <w:r>
        <w:rPr>
          <w:rFonts w:cs="Calibri"/>
          <w:szCs w:val="24"/>
          <w:lang w:val="en-GB"/>
        </w:rPr>
        <w:t xml:space="preserve">Theisen, O. M. (2012). Climate clashes? Weather variability, land pressure, and organized violence in Kenya, 1989–2004. </w:t>
      </w:r>
      <w:r>
        <w:rPr>
          <w:rFonts w:cs="Calibri"/>
          <w:i/>
          <w:iCs/>
          <w:szCs w:val="24"/>
          <w:lang w:val="en-GB"/>
        </w:rPr>
        <w:t>Journal of Peace Research</w:t>
      </w:r>
      <w:r>
        <w:rPr>
          <w:rFonts w:cs="Calibri"/>
          <w:szCs w:val="24"/>
          <w:lang w:val="en-GB"/>
        </w:rPr>
        <w:t xml:space="preserve">, </w:t>
      </w:r>
      <w:r>
        <w:rPr>
          <w:rFonts w:cs="Calibri"/>
          <w:i/>
          <w:iCs/>
          <w:szCs w:val="24"/>
          <w:lang w:val="en-GB"/>
        </w:rPr>
        <w:t>49</w:t>
      </w:r>
      <w:r>
        <w:rPr>
          <w:rFonts w:cs="Calibri"/>
          <w:szCs w:val="24"/>
          <w:lang w:val="en-GB"/>
        </w:rPr>
        <w:t>(1), 81–96. https://doi.org/10.1177/0022343311425842</w:t>
      </w:r>
    </w:p>
    <w:p>
      <w:pPr>
        <w:pStyle w:val="Bibliography"/>
        <w:rPr>
          <w:rFonts w:ascii="Calibri" w:hAnsi="Calibri" w:cs="Calibri"/>
          <w:szCs w:val="24"/>
          <w:lang w:val="en-GB"/>
        </w:rPr>
      </w:pPr>
      <w:r>
        <w:rPr>
          <w:rFonts w:cs="Calibri"/>
          <w:szCs w:val="24"/>
          <w:lang w:val="en-GB"/>
        </w:rPr>
        <w:t xml:space="preserve">Wig, T. (2016). Peace from the past: Pre-colonial political institutions and civil wars in Africa. </w:t>
      </w:r>
      <w:r>
        <w:rPr>
          <w:rFonts w:cs="Calibri"/>
          <w:i/>
          <w:iCs/>
          <w:szCs w:val="24"/>
          <w:lang w:val="en-GB"/>
        </w:rPr>
        <w:t>Journal of Peace Research</w:t>
      </w:r>
      <w:r>
        <w:rPr>
          <w:rFonts w:cs="Calibri"/>
          <w:szCs w:val="24"/>
          <w:lang w:val="en-GB"/>
        </w:rPr>
        <w:t xml:space="preserve">, </w:t>
      </w:r>
      <w:r>
        <w:rPr>
          <w:rFonts w:cs="Calibri"/>
          <w:i/>
          <w:iCs/>
          <w:szCs w:val="24"/>
          <w:lang w:val="en-GB"/>
        </w:rPr>
        <w:t>53</w:t>
      </w:r>
      <w:r>
        <w:rPr>
          <w:rFonts w:cs="Calibri"/>
          <w:szCs w:val="24"/>
          <w:lang w:val="en-GB"/>
        </w:rPr>
        <w:t>(4), 509–524. https://doi.org/10.1177/0022343316640595</w:t>
      </w:r>
    </w:p>
    <w:p>
      <w:pPr>
        <w:pStyle w:val="Bibliography"/>
        <w:rPr>
          <w:rFonts w:ascii="Calibri" w:hAnsi="Calibri" w:cs="Calibri"/>
          <w:szCs w:val="24"/>
          <w:lang w:val="en-GB"/>
        </w:rPr>
      </w:pPr>
      <w:r>
        <w:rPr>
          <w:rFonts w:cs="Calibri"/>
          <w:szCs w:val="24"/>
          <w:lang w:val="en-GB"/>
        </w:rPr>
        <w:t xml:space="preserve">Wig, T., &amp; Kromrey, D. (2018). Which groups fight? Customary institutions and communal conflicts in Africa. </w:t>
      </w:r>
      <w:r>
        <w:rPr>
          <w:rFonts w:cs="Calibri"/>
          <w:i/>
          <w:iCs/>
          <w:szCs w:val="24"/>
          <w:lang w:val="en-GB"/>
        </w:rPr>
        <w:t>Journal of Peace Research</w:t>
      </w:r>
      <w:r>
        <w:rPr>
          <w:rFonts w:cs="Calibri"/>
          <w:szCs w:val="24"/>
          <w:lang w:val="en-GB"/>
        </w:rPr>
        <w:t xml:space="preserve">, </w:t>
      </w:r>
      <w:r>
        <w:rPr>
          <w:rFonts w:cs="Calibri"/>
          <w:i/>
          <w:iCs/>
          <w:szCs w:val="24"/>
          <w:lang w:val="en-GB"/>
        </w:rPr>
        <w:t>55</w:t>
      </w:r>
      <w:r>
        <w:rPr>
          <w:rFonts w:cs="Calibri"/>
          <w:szCs w:val="24"/>
          <w:lang w:val="en-GB"/>
        </w:rPr>
        <w:t>(4), 415–429. https://doi.org/10.1177/0022343317740416</w:t>
      </w:r>
    </w:p>
    <w:p>
      <w:pPr>
        <w:pStyle w:val="Bibliography"/>
        <w:rPr>
          <w:rFonts w:ascii="Calibri" w:hAnsi="Calibri" w:cs="Calibri"/>
          <w:szCs w:val="24"/>
          <w:lang w:val="en-GB"/>
        </w:rPr>
      </w:pPr>
      <w:r>
        <w:rPr>
          <w:rFonts w:cs="Calibri"/>
          <w:szCs w:val="24"/>
          <w:lang w:val="en-GB"/>
        </w:rPr>
        <w:t xml:space="preserve">Zartman, J. B. P. of I. O. and C. R. and D. of A. S. I. W. (2000). </w:t>
      </w:r>
      <w:r>
        <w:rPr>
          <w:rFonts w:cs="Calibri"/>
          <w:i/>
          <w:iCs/>
          <w:szCs w:val="24"/>
          <w:lang w:val="en-GB"/>
        </w:rPr>
        <w:t>Traditional Cures for Modern Conflicts: African Conflict “medicine.”</w:t>
      </w:r>
      <w:r>
        <w:rPr>
          <w:rFonts w:cs="Calibri"/>
          <w:szCs w:val="24"/>
          <w:lang w:val="en-GB"/>
        </w:rPr>
        <w:t xml:space="preserve"> Lynne Rienner Publishers.</w:t>
      </w:r>
    </w:p>
    <w:p>
      <w:pPr>
        <w:pStyle w:val="Normal"/>
        <w:spacing w:before="0" w:after="160"/>
        <w:rPr>
          <w:lang w:val="en-GB"/>
        </w:rPr>
      </w:pPr>
      <w:r>
        <w:rPr/>
      </w:r>
      <w:r>
        <w:rPr/>
        <w:fldChar w:fldCharType="end"/>
      </w:r>
    </w:p>
    <w:sectPr>
      <w:footerReference w:type="default" r:id="rId2"/>
      <w:footnotePr>
        <w:numFmt w:val="decimal"/>
      </w:footnotePr>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le Magnus Theisen" w:date="2021-09-16T13:20:00Z" w:initials="OMT">
    <w:p>
      <w:r>
        <w:rPr>
          <w:rFonts w:ascii="Liberation Serif" w:hAnsi="Liberation Serif" w:eastAsia="Cantarell" w:cs="Droid Sans Arabic"/>
          <w:sz w:val="24"/>
          <w:szCs w:val="24"/>
          <w:lang w:eastAsia="en-US" w:bidi="en-US" w:val="en-GB"/>
        </w:rPr>
        <w:t>Check Daly &amp; Wilson 1988</w:t>
      </w:r>
    </w:p>
  </w:comment>
  <w:comment w:id="1" w:author="Ole Magnus Theisen [2]" w:date="2021-09-22T12:14:00Z" w:initials="OMT">
    <w:p>
      <w:r>
        <w:rPr>
          <w:rFonts w:ascii="Liberation Serif" w:hAnsi="Liberation Serif" w:eastAsia="Cantarell" w:cs="Droid Sans Arabic"/>
          <w:sz w:val="24"/>
          <w:szCs w:val="24"/>
          <w:lang w:eastAsia="en-US" w:bidi="en-US" w:val="en-US"/>
        </w:rPr>
        <w:t>Insert reference to the Guinea Fowl War</w:t>
      </w:r>
    </w:p>
  </w:comment>
  <w:comment w:id="4" w:author="Ole Magnus Theisen" w:date="2021-08-31T15:29:00Z" w:initials="OMT">
    <w:p>
      <w:r>
        <w:rPr>
          <w:rFonts w:ascii="Liberation Serif" w:hAnsi="Liberation Serif" w:eastAsia="Cantarell" w:cs="Droid Sans Arabic"/>
          <w:sz w:val="24"/>
          <w:szCs w:val="24"/>
          <w:lang w:eastAsia="en-US" w:bidi="en-US" w:val="en-US"/>
        </w:rPr>
        <w:t>See if F&amp;L says something about intereth coop in apprehending the culprit. Show example from Eaton. Say that this is often a signal of whether intentions are good or bad.</w:t>
      </w:r>
    </w:p>
  </w:comment>
  <w:comment w:id="5" w:author="Ole Magnus Theisen [2]" w:date="2021-09-22T17:15:00Z" w:initials="OMT">
    <w:p>
      <w:r>
        <w:rPr>
          <w:rFonts w:ascii="Liberation Serif" w:hAnsi="Liberation Serif" w:eastAsia="Cantarell" w:cs="Droid Sans Arabic"/>
          <w:sz w:val="24"/>
          <w:szCs w:val="24"/>
          <w:lang w:eastAsia="en-US" w:bidi="en-US" w:val="en-GB"/>
        </w:rPr>
        <w:t>Insert on massacre on the Omo</w:t>
      </w:r>
    </w:p>
  </w:comment>
  <w:comment w:id="6" w:author="Ole Magnus Theisen [2]" w:date="2021-09-22T17:34:00Z" w:initials="OMT">
    <w:p>
      <w:r>
        <w:rPr>
          <w:rFonts w:ascii="Liberation Serif" w:hAnsi="Liberation Serif" w:eastAsia="Cantarell" w:cs="Droid Sans Arabic"/>
          <w:sz w:val="24"/>
          <w:szCs w:val="24"/>
          <w:lang w:eastAsia="en-US" w:bidi="en-US" w:val="en-GB"/>
        </w:rPr>
        <w:t>Check Weingast «Constructing trust»</w:t>
      </w:r>
    </w:p>
  </w:comment>
  <w:comment w:id="7" w:author="Ole Magnus Theisen" w:date="2021-09-17T09:54:00Z" w:initials="OMT">
    <w:p>
      <w:r>
        <w:rPr>
          <w:rFonts w:ascii="Liberation Serif" w:hAnsi="Liberation Serif" w:eastAsia="Cantarell" w:cs="Droid Sans Arabic"/>
          <w:sz w:val="24"/>
          <w:szCs w:val="24"/>
          <w:lang w:eastAsia="en-US" w:bidi="en-US" w:val="en-US"/>
        </w:rPr>
        <w:t>Quite common in imperial non-Weberian states (the Ottoman empire etc.)</w:t>
      </w:r>
    </w:p>
    <w:p>
      <w:r>
        <w:rPr>
          <w:rFonts w:ascii="Liberation Serif" w:hAnsi="Liberation Serif" w:eastAsia="Cantarell" w:cs="Droid Sans Arabic"/>
          <w:sz w:val="24"/>
          <w:szCs w:val="24"/>
          <w:lang w:eastAsia="en-US" w:bidi="en-US" w:val="en-US"/>
        </w:rPr>
        <w:t>Ssa Example in F&amp;L</w:t>
      </w:r>
    </w:p>
    <w:p>
      <w:r>
        <w:rPr>
          <w:rFonts w:ascii="Liberation Serif" w:hAnsi="Liberation Serif" w:eastAsia="Cantarell" w:cs="Droid Sans Arabic"/>
          <w:sz w:val="24"/>
          <w:szCs w:val="24"/>
          <w:lang w:eastAsia="en-US" w:bidi="en-US" w:val="en-US"/>
        </w:rPr>
        <w:t>Example of parts of this mechanism in Eaton</w:t>
      </w:r>
    </w:p>
  </w:comment>
  <w:comment w:id="8" w:author="Ole Magnus Theisen [2]" w:date="2021-09-01T15:37:00Z" w:initials="OMT">
    <w:p>
      <w:r>
        <w:rPr>
          <w:rFonts w:ascii="Liberation Serif" w:hAnsi="Liberation Serif" w:eastAsia="Cantarell" w:cs="Droid Sans Arabic"/>
          <w:sz w:val="24"/>
          <w:szCs w:val="24"/>
          <w:lang w:eastAsia="en-US" w:bidi="en-US" w:val="en-GB"/>
        </w:rPr>
        <w:t>Insert example from Eaton here. Make sure to include:</w:t>
      </w:r>
    </w:p>
    <w:p>
      <w:r>
        <w:rPr>
          <w:rFonts w:ascii="Liberation Serif" w:hAnsi="Liberation Serif" w:eastAsia="Cantarell" w:cs="Droid Sans Arabic"/>
          <w:sz w:val="24"/>
          <w:szCs w:val="24"/>
          <w:lang w:eastAsia="en-US" w:bidi="en-US" w:val="en-GB"/>
        </w:rPr>
        <w:t xml:space="preserve"> The problem with information about outsiders</w:t>
      </w:r>
    </w:p>
    <w:p>
      <w:r>
        <w:rPr>
          <w:rFonts w:ascii="Liberation Serif" w:hAnsi="Liberation Serif" w:eastAsia="Cantarell" w:cs="Droid Sans Arabic"/>
          <w:sz w:val="24"/>
          <w:szCs w:val="24"/>
          <w:lang w:eastAsia="en-US" w:bidi="en-US" w:val="en-GB"/>
        </w:rPr>
        <w:t xml:space="preserve"> How groups try out the intra-group policing first, including help in apprehending, permission to enter other’s territory etc.</w:t>
      </w:r>
    </w:p>
    <w:p>
      <w:r>
        <w:rPr>
          <w:rFonts w:ascii="Liberation Serif" w:hAnsi="Liberation Serif" w:eastAsia="Cantarell" w:cs="Droid Sans Arabic"/>
          <w:sz w:val="24"/>
          <w:szCs w:val="24"/>
          <w:lang w:eastAsia="en-US" w:bidi="en-US" w:val="en-GB"/>
        </w:rPr>
        <w:t xml:space="preserve"> How the failure of punishing coethnics that have defected against outsiders is a clear signal of bad intentions, which in turn is likely to cause collective retaliation.</w:t>
      </w:r>
    </w:p>
    <w:p>
      <w:r>
        <w:rPr>
          <w:rFonts w:ascii="Liberation Serif" w:hAnsi="Liberation Serif" w:eastAsia="Cantarell" w:cs="Droid Sans Arabic"/>
          <w:sz w:val="24"/>
          <w:szCs w:val="24"/>
          <w:lang w:eastAsia="en-US" w:bidi="en-US" w:val="en-GB"/>
        </w:rPr>
        <w:t xml:space="preserve"> if you are in areas where the peace is kept by mechanisms similar to internal policing and feuding, if you have good intentions, when in another group’s territory always make sure to make it loud and clear that you are coming (source). By this, one reduces the information problem of the group whose territory one travels in (author interview Trans Nzoia, Kenya September 2010).</w:t>
      </w:r>
    </w:p>
  </w:comment>
  <w:comment w:id="9" w:author="Ole Magnus Theisen" w:date="2021-09-16T13:36:00Z" w:initials="OMT">
    <w:p>
      <w:r>
        <w:rPr>
          <w:rFonts w:ascii="Liberation Serif" w:hAnsi="Liberation Serif" w:eastAsia="Cantarell" w:cs="Droid Sans Arabic"/>
          <w:sz w:val="24"/>
          <w:szCs w:val="24"/>
          <w:lang w:eastAsia="en-US" w:bidi="en-US" w:val="en-GB"/>
        </w:rPr>
        <w:t>Colson 1975; Gluckmann 1955</w:t>
      </w:r>
    </w:p>
  </w:comment>
  <w:comment w:id="11" w:author="Ole Magnus Theisen" w:date="2021-09-21T12:41:00Z" w:initials="OMT">
    <w:p>
      <w:r>
        <w:rPr>
          <w:rFonts w:ascii="Liberation Serif" w:hAnsi="Liberation Serif" w:eastAsia="Cantarell" w:cs="Droid Sans Arabic"/>
          <w:sz w:val="24"/>
          <w:szCs w:val="24"/>
          <w:lang w:eastAsia="en-US" w:bidi="en-US" w:val="en-US"/>
        </w:rPr>
        <w:t xml:space="preserve">See L&amp;R if this argument can be made irrespective of crime or not. </w:t>
      </w:r>
    </w:p>
  </w:comment>
  <w:comment w:id="12" w:author="Ole Magnus Theisen [2]" w:date="2021-09-01T14:25:00Z" w:initials="OMT">
    <w:p>
      <w:r>
        <w:rPr>
          <w:rFonts w:ascii="Liberation Serif" w:hAnsi="Liberation Serif" w:eastAsia="Cantarell" w:cs="Droid Sans Arabic"/>
          <w:sz w:val="24"/>
          <w:szCs w:val="24"/>
          <w:lang w:eastAsia="en-US" w:bidi="en-US" w:val="en-GB"/>
        </w:rPr>
        <w:t>Pot example on how the British cracked the code and punished all Turkana collectively by massively looting cattle and thereby pacifying their last SSA colonial possession.</w:t>
      </w:r>
    </w:p>
  </w:comment>
  <w:comment w:id="13" w:author="Ole Magnus Theisen" w:date="2021-08-31T15:57:00Z" w:initials="OMT">
    <w:p>
      <w:r>
        <w:rPr>
          <w:rFonts w:ascii="Liberation Serif" w:hAnsi="Liberation Serif" w:eastAsia="Cantarell" w:cs="Droid Sans Arabic"/>
          <w:sz w:val="24"/>
          <w:szCs w:val="24"/>
          <w:lang w:eastAsia="en-US" w:bidi="en-US" w:val="en-US"/>
        </w:rPr>
        <w:t>In rare instances this leads groups to launch what may look like suicidal attacks against superior enemies in which asymmetric lossess are foreseen. The rationale for these, is that unless they did so, they would not be respected as a political entity and thereby might cease to exist as a group and rather be incorporated into the other group or get a subservient position. When launching such attacks, they are seen as willing to stand their ground in a way which makes attacks by superior groups too costly to be worth the effort. This is sometimes seen as a premise for seeing inter ethnic peace pacts as credible.</w:t>
      </w:r>
    </w:p>
  </w:comment>
  <w:comment w:id="10" w:author="Ole Magnus Theisen" w:date="2021-09-02T10:54:00Z" w:initials="OMT">
    <w:p>
      <w:r>
        <w:rPr>
          <w:rFonts w:ascii="Liberation Serif" w:hAnsi="Liberation Serif" w:eastAsia="Cantarell" w:cs="Droid Sans Arabic"/>
          <w:sz w:val="24"/>
          <w:szCs w:val="24"/>
          <w:lang w:eastAsia="en-US" w:bidi="en-US" w:val="en-US"/>
        </w:rPr>
        <w:t>Collective punishment is the only feasible strategy and must be sufficiently likely and bad to deter noncoethnic defectors</w:t>
      </w:r>
    </w:p>
  </w:comment>
  <w:comment w:id="14" w:author="Ole Magnus Theisen" w:date="2021-09-21T12:51:00Z" w:initials="OMT">
    <w:p>
      <w:r>
        <w:rPr>
          <w:rFonts w:ascii="Liberation Serif" w:hAnsi="Liberation Serif" w:eastAsia="Cantarell" w:cs="Droid Sans Arabic"/>
          <w:sz w:val="24"/>
          <w:szCs w:val="24"/>
          <w:lang w:val="en-US" w:eastAsia="en-US" w:bidi="en-US"/>
        </w:rPr>
        <w:t>Can also be moved further down.</w:t>
      </w:r>
    </w:p>
  </w:comment>
  <w:comment w:id="15" w:author="Ole Magnus Theisen" w:date="2021-09-16T12:57:00Z" w:initials="OMT">
    <w:p>
      <w:r>
        <w:rPr>
          <w:rFonts w:ascii="Liberation Serif" w:hAnsi="Liberation Serif" w:eastAsia="Cantarell" w:cs="Droid Sans Arabic"/>
          <w:sz w:val="24"/>
          <w:szCs w:val="24"/>
          <w:lang w:eastAsia="en-US" w:bidi="en-US" w:val="en-GB"/>
        </w:rPr>
        <w:t>Check to what extent these are paid collectively, and (more importantly) who receives this compensation (individuals or collectives)?</w:t>
      </w:r>
    </w:p>
    <w:p>
      <w:r>
        <w:rPr>
          <w:rFonts w:ascii="Liberation Serif" w:hAnsi="Liberation Serif" w:eastAsia="Cantarell" w:cs="Droid Sans Arabic"/>
          <w:sz w:val="24"/>
          <w:szCs w:val="24"/>
          <w:lang w:val="en-US" w:eastAsia="en-US" w:bidi="en-US"/>
        </w:rPr>
      </w:r>
    </w:p>
  </w:comment>
  <w:comment w:id="18" w:author="Ole Magnus Theisen" w:date="2021-09-17T10:17:00Z" w:initials="OMT">
    <w:p>
      <w:r>
        <w:rPr>
          <w:rFonts w:ascii="Liberation Serif" w:hAnsi="Liberation Serif" w:eastAsia="Cantarell" w:cs="Droid Sans Arabic"/>
          <w:sz w:val="24"/>
          <w:szCs w:val="24"/>
          <w:lang w:eastAsia="en-US" w:bidi="en-US" w:val="en-US"/>
        </w:rPr>
        <w:t>Should we refer to the percentage of group-year communal violence conflicts that occur in the pastoral areas in East Africa?</w:t>
      </w:r>
    </w:p>
  </w:comment>
  <w:comment w:id="19" w:author="Ole Magnus Theisen" w:date="2021-09-21T13:59:00Z" w:initials="OMT">
    <w:p>
      <w:r>
        <w:rPr>
          <w:rFonts w:ascii="Liberation Serif" w:hAnsi="Liberation Serif" w:eastAsia="Cantarell" w:cs="Droid Sans Arabic"/>
          <w:sz w:val="24"/>
          <w:szCs w:val="24"/>
          <w:lang w:eastAsia="en-US" w:bidi="en-US" w:val="en-US"/>
        </w:rPr>
        <w:t>Essentially a culture for covering spoilers</w:t>
      </w:r>
    </w:p>
  </w:comment>
  <w:comment w:id="20" w:author="Ole Magnus Theisen [2]" w:date="2021-09-01T14:43:00Z" w:initials="OMT">
    <w:p>
      <w:r>
        <w:rPr>
          <w:rFonts w:ascii="Liberation Serif" w:hAnsi="Liberation Serif" w:eastAsia="Cantarell" w:cs="Droid Sans Arabic"/>
          <w:sz w:val="24"/>
          <w:szCs w:val="24"/>
          <w:lang w:eastAsia="en-US" w:bidi="en-US" w:val="en-GB"/>
        </w:rPr>
        <w:t>Check Ohllson on market collapse and the losing of mutual benefits in Darfur.</w:t>
      </w:r>
    </w:p>
  </w:comment>
  <w:comment w:id="17" w:author="Ole Magnus Theisen" w:date="2021-09-02T11:25:00Z" w:initials="OMT">
    <w:p>
      <w:r>
        <w:rPr>
          <w:rFonts w:ascii="Liberation Serif" w:hAnsi="Liberation Serif" w:eastAsia="Cantarell" w:cs="Droid Sans Arabic"/>
          <w:sz w:val="24"/>
          <w:szCs w:val="24"/>
          <w:lang w:eastAsia="en-US" w:bidi="en-US" w:val="en-US"/>
        </w:rPr>
        <w:t>For individuals in a group, the potential gains of future cooperation lost due to retaliation (future gains + losses from retaliation) must be higher than the short-term gains from defection in order for the threat of retaliation to work effectively and thereby keeping interethnic peace.</w:t>
      </w:r>
    </w:p>
  </w:comment>
  <w:comment w:id="16" w:author="Ole Magnus Theisen" w:date="2021-09-21T12:51:00Z" w:initials="OMT">
    <w:p>
      <w:r>
        <w:rPr>
          <w:rFonts w:ascii="Liberation Serif" w:hAnsi="Liberation Serif" w:eastAsia="Cantarell" w:cs="Droid Sans Arabic"/>
          <w:sz w:val="24"/>
          <w:szCs w:val="24"/>
          <w:lang w:eastAsia="en-US" w:bidi="en-US" w:val="en-US"/>
        </w:rPr>
        <w:t xml:space="preserve">Can also be moved down. </w:t>
      </w:r>
    </w:p>
  </w:comment>
  <w:comment w:id="23" w:author="Ole Magnus Theisen" w:date="2021-09-02T11:53:00Z" w:initials="OMT">
    <w:p>
      <w:r>
        <w:rPr>
          <w:rFonts w:ascii="Liberation Serif" w:hAnsi="Liberation Serif" w:eastAsia="Cantarell" w:cs="Droid Sans Arabic"/>
          <w:sz w:val="24"/>
          <w:szCs w:val="24"/>
          <w:lang w:eastAsia="en-US" w:bidi="en-US" w:val="en-US"/>
        </w:rPr>
        <w:t xml:space="preserve">And extreme nosiness with regards to the acts of coethnics and politeness: </w:t>
      </w:r>
      <w:r>
        <w:rPr>
          <w:rFonts w:ascii="Liberation Serif" w:hAnsi="Liberation Serif" w:eastAsia="Cantarell" w:cs="Droid Sans Arabic"/>
          <w:sz w:val="24"/>
          <w:szCs w:val="24"/>
          <w:lang w:eastAsia="en-US" w:bidi="en-US" w:val="en-GB"/>
        </w:rPr>
        <w:t>Add examples from Pahstun society (Barth) ; Iceland (Icelands 1100 years)</w:t>
      </w:r>
    </w:p>
  </w:comment>
  <w:comment w:id="21" w:author="Ole Magnus Theisen" w:date="2021-09-02T11:45:00Z" w:initials="OMT">
    <w:p>
      <w:r>
        <w:rPr>
          <w:rFonts w:ascii="Liberation Serif" w:hAnsi="Liberation Serif" w:eastAsia="Cantarell" w:cs="Droid Sans Arabic"/>
          <w:sz w:val="24"/>
          <w:szCs w:val="24"/>
          <w:lang w:eastAsia="en-US" w:bidi="en-US" w:val="en-US"/>
        </w:rPr>
        <w:t>Ethnic groups must be sufficiently dense in order to facilitate intraethnic cooperation, which in turn is a premise for a credible threat of collective retaliation but also internal policing.</w:t>
      </w:r>
    </w:p>
  </w:comment>
  <w:comment w:id="22" w:author="Ole Magnus Theisen [2]" w:date="2021-09-14T17:06:00Z" w:initials="OMT">
    <w:p>
      <w:r>
        <w:rPr>
          <w:rFonts w:ascii="Liberation Serif" w:hAnsi="Liberation Serif" w:eastAsia="Cantarell" w:cs="Droid Sans Arabic"/>
          <w:sz w:val="24"/>
          <w:szCs w:val="24"/>
          <w:lang w:eastAsia="en-US" w:bidi="en-US" w:val="en-GB"/>
        </w:rPr>
        <w:t>Cen be skipped/footnoted.</w:t>
      </w:r>
    </w:p>
  </w:comment>
  <w:comment w:id="2" w:author="Ole Magnus Theisen" w:date="2021-09-02T10:20:00Z" w:initials="OMT">
    <w:p>
      <w:r>
        <w:rPr>
          <w:rFonts w:ascii="Liberation Serif" w:hAnsi="Liberation Serif" w:eastAsia="Cantarell" w:cs="Droid Sans Arabic"/>
          <w:sz w:val="24"/>
          <w:szCs w:val="24"/>
          <w:lang w:eastAsia="en-US" w:bidi="en-US" w:val="en-US"/>
        </w:rPr>
        <w:t>The information problem prevents the punishment of non-coethnics.</w:t>
      </w:r>
    </w:p>
  </w:comment>
  <w:comment w:id="3" w:author="Ole Magnus Theisen" w:date="2021-09-21T12:38:00Z" w:initials="OMT">
    <w:p>
      <w:r>
        <w:rPr>
          <w:rFonts w:ascii="Liberation Serif" w:hAnsi="Liberation Serif" w:eastAsia="Cantarell" w:cs="Droid Sans Arabic"/>
          <w:sz w:val="24"/>
          <w:szCs w:val="24"/>
          <w:lang w:eastAsia="en-US" w:bidi="en-US" w:val="en-US"/>
        </w:rPr>
        <w:t>Can be moved further on when we discuss how precolonial states may have increased the density of interethnic interactions</w:t>
      </w:r>
    </w:p>
  </w:comment>
  <w:comment w:id="24" w:author="Ole Magnus Theisen [2]" w:date="2021-09-22T17:13:00Z" w:initials="OMT">
    <w:p>
      <w:r>
        <w:rPr>
          <w:rFonts w:ascii="Liberation Serif" w:hAnsi="Liberation Serif" w:eastAsia="Cantarell" w:cs="Droid Sans Arabic"/>
          <w:sz w:val="24"/>
          <w:szCs w:val="24"/>
          <w:lang w:eastAsia="en-US" w:bidi="en-US" w:val="en-GB"/>
        </w:rPr>
        <w:t>Say that this may not only be criminals (as in F&amp;L 96) but also be spoilers in interethnic agreements – use the peace of Aramtori.</w:t>
      </w:r>
    </w:p>
  </w:comment>
  <w:comment w:id="25" w:author="Ole Magnus Theisen" w:date="2021-09-21T12:49:00Z" w:initials="OMT">
    <w:p>
      <w:r>
        <w:rPr>
          <w:rFonts w:ascii="Liberation Serif" w:hAnsi="Liberation Serif" w:eastAsia="Cantarell" w:cs="Droid Sans Arabic"/>
          <w:sz w:val="24"/>
          <w:szCs w:val="24"/>
          <w:lang w:eastAsia="en-US" w:bidi="en-US" w:val="en-US"/>
        </w:rPr>
        <w:t>Can be moved to later on where we discuss how precolonial states moderate the security dilemma effects. The point is that the more cooperation, the lower the incentives to cheat.</w:t>
      </w:r>
    </w:p>
  </w:comment>
  <w:comment w:id="27" w:author="Ole Magnus Theisen" w:date="2021-09-16T13:50:00Z" w:initials="OMT">
    <w:p>
      <w:r>
        <w:rPr>
          <w:rFonts w:ascii="Liberation Serif" w:hAnsi="Liberation Serif" w:eastAsia="Cantarell" w:cs="Droid Sans Arabic"/>
          <w:sz w:val="24"/>
          <w:szCs w:val="24"/>
          <w:lang w:eastAsia="en-US" w:bidi="en-US" w:val="en-US"/>
        </w:rPr>
        <w:t>Should we include Bollig’s (1990) observation that the Pokot do not resort to stereotypes of outsiders other than when the ethnic militia specifically prepares for attacks?</w:t>
      </w:r>
    </w:p>
  </w:comment>
  <w:comment w:id="26" w:author="Ole Magnus Theisen" w:date="2021-09-16T14:28:00Z" w:initials="OMT">
    <w:p>
      <w:r>
        <w:rPr>
          <w:rFonts w:ascii="Liberation Serif" w:hAnsi="Liberation Serif" w:eastAsia="Cantarell" w:cs="Droid Sans Arabic"/>
          <w:sz w:val="24"/>
          <w:szCs w:val="24"/>
          <w:lang w:eastAsia="en-US" w:bidi="en-US" w:val="en-US"/>
        </w:rPr>
        <w:t>As well as McCabe’s (1994) very polite encounter with Karamojong fighters that were on the way back from a successful cattle raid (and massacre of Toposa women and children)</w:t>
      </w:r>
    </w:p>
  </w:comment>
  <w:comment w:id="28" w:author="Ole Magnus Theisen" w:date="2021-09-16T13:50:00Z" w:initials="OMT">
    <w:p>
      <w:r>
        <w:rPr>
          <w:rFonts w:ascii="Liberation Serif" w:hAnsi="Liberation Serif" w:eastAsia="Cantarell" w:cs="Droid Sans Arabic"/>
          <w:sz w:val="24"/>
          <w:szCs w:val="24"/>
          <w:lang w:eastAsia="en-US" w:bidi="en-US" w:val="en-US"/>
        </w:rPr>
        <w:t>On not being easily provoked/acting on emotions: pastoralist societies valuing instrumental violence, shedding individuals that act out of anger</w:t>
      </w:r>
    </w:p>
  </w:comment>
  <w:comment w:id="29" w:author="Ole Magnus Theisen" w:date="2021-09-16T14:24:00Z" w:initials="OMT">
    <w:p>
      <w:r>
        <w:rPr>
          <w:rFonts w:ascii="Liberation Serif" w:hAnsi="Liberation Serif" w:eastAsia="Cantarell" w:cs="Droid Sans Arabic"/>
          <w:sz w:val="24"/>
          <w:szCs w:val="24"/>
          <w:lang w:eastAsia="en-US" w:bidi="en-US" w:val="en-US"/>
        </w:rPr>
        <w:t xml:space="preserve">We can derive some expectations on the attitudinal variables from this </w:t>
      </w:r>
    </w:p>
  </w:comment>
  <w:comment w:id="30" w:author="Ole Magnus Theisen" w:date="2021-09-21T13:02:00Z" w:initials="OMT">
    <w:p>
      <w:r>
        <w:rPr>
          <w:rFonts w:ascii="Liberation Serif" w:hAnsi="Liberation Serif" w:eastAsia="Cantarell" w:cs="Droid Sans Arabic"/>
          <w:sz w:val="24"/>
          <w:szCs w:val="24"/>
          <w:lang w:eastAsia="en-US" w:bidi="en-US" w:val="en-US"/>
        </w:rPr>
        <w:t>On the rare but intense bloodshed in Northern Ghana: point: very rare, but when it occurred, the highly institutionalized groups were capable of inflicting much harm.</w:t>
      </w:r>
    </w:p>
    <w:p>
      <w:r>
        <w:rPr>
          <w:rFonts w:ascii="Liberation Serif" w:hAnsi="Liberation Serif" w:eastAsia="Cantarell" w:cs="Droid Sans Arabic"/>
          <w:sz w:val="24"/>
          <w:szCs w:val="24"/>
          <w:lang w:eastAsia="en-US" w:bidi="en-US" w:val="en-US"/>
        </w:rPr>
        <w:t>Make sure to mention that this happened between agricultural groups, so that not all examples are from herder-herder or herder-farmer.</w:t>
      </w:r>
    </w:p>
  </w:comment>
  <w:comment w:id="31" w:author="Ole Magnus Theisen" w:date="2021-09-21T13:29:00Z" w:initials="OMT">
    <w:p>
      <w:r>
        <w:rPr>
          <w:rFonts w:ascii="Liberation Serif" w:hAnsi="Liberation Serif" w:eastAsia="Cantarell" w:cs="Droid Sans Arabic"/>
          <w:sz w:val="24"/>
          <w:szCs w:val="24"/>
          <w:lang w:eastAsia="en-US" w:bidi="en-US" w:val="en-GB"/>
        </w:rPr>
        <w:t>See Baldwin (2014) for analyses showing that institutionalized groups are given more power as their collective action in terms of keeping promises is seen as greater.</w:t>
      </w:r>
    </w:p>
    <w:p>
      <w:r>
        <w:rPr>
          <w:rFonts w:ascii="Liberation Serif" w:hAnsi="Liberation Serif" w:eastAsia="Cantarell" w:cs="Droid Sans Arabic"/>
          <w:sz w:val="24"/>
          <w:szCs w:val="24"/>
          <w:lang w:eastAsia="en-US" w:bidi="en-US" w:val="en-GB"/>
        </w:rPr>
        <w:t>use to bolster the claim that where there are more precol states, the current role of those are likely to be more present formally and recognized</w:t>
      </w:r>
    </w:p>
    <w:p>
      <w:r>
        <w:rPr>
          <w:rFonts w:ascii="Liberation Serif" w:hAnsi="Liberation Serif" w:eastAsia="Cantarell" w:cs="Droid Sans Arabic"/>
          <w:sz w:val="24"/>
          <w:szCs w:val="24"/>
          <w:lang w:eastAsia="en-US" w:bidi="en-US" w:val="en-GB"/>
        </w:rPr>
        <w:t xml:space="preserve"> looks like Baldwin has subnational data on this. Somewhat similar to Boone’s argument, but she does not cite him</w:t>
      </w:r>
    </w:p>
  </w:comment>
  <w:comment w:id="32" w:author="Ole Magnus Theisen" w:date="2021-09-02T14:46:00Z" w:initials="OMT">
    <w:p>
      <w:r>
        <w:rPr>
          <w:rFonts w:ascii="Liberation Serif" w:hAnsi="Liberation Serif" w:eastAsia="Cantarell" w:cs="Droid Sans Arabic"/>
          <w:sz w:val="24"/>
          <w:szCs w:val="24"/>
          <w:lang w:eastAsia="en-US" w:bidi="en-US" w:val="en-US"/>
        </w:rPr>
        <w:t>On how nonstate groups do not live together, but rather in segments with no-go zones in between. Not only where Diamond says.</w:t>
      </w:r>
    </w:p>
  </w:comment>
  <w:comment w:id="33" w:author="Ole Magnus Theisen" w:date="2021-09-02T14:26:00Z" w:initials="OMT">
    <w:p>
      <w:r>
        <w:rPr>
          <w:rFonts w:ascii="Liberation Serif" w:hAnsi="Liberation Serif" w:eastAsia="Cantarell" w:cs="Droid Sans Arabic"/>
          <w:sz w:val="24"/>
          <w:szCs w:val="24"/>
          <w:lang w:eastAsia="en-US" w:bidi="en-US" w:val="en-US"/>
        </w:rPr>
        <w:t>Check if these were facilitated (not necessarily actively/intentionally) by precolonial states or if they occurred irrespective of precolonial states.</w:t>
      </w:r>
    </w:p>
  </w:comment>
  <w:comment w:id="34" w:author="Ole Magnus Theisen [2]" w:date="2021-09-15T14:27:00Z" w:initials="OMT">
    <w:p>
      <w:r>
        <w:rPr>
          <w:rFonts w:ascii="Liberation Serif" w:hAnsi="Liberation Serif" w:eastAsia="Cantarell" w:cs="Droid Sans Arabic"/>
          <w:sz w:val="24"/>
          <w:szCs w:val="24"/>
          <w:lang w:eastAsia="en-US" w:bidi="en-US" w:val="en-GB"/>
        </w:rPr>
        <w:t>Check if the argument that precol states -&gt; more likely recognition in pastcolonial times AND more likely support from the state/state involvement to end ethnic conflict if that involves statebased groups.</w:t>
      </w:r>
    </w:p>
    <w:p>
      <w:r>
        <w:rPr>
          <w:rFonts w:ascii="Liberation Serif" w:hAnsi="Liberation Serif" w:eastAsia="Cantarell" w:cs="Droid Sans Arabic"/>
          <w:sz w:val="24"/>
          <w:szCs w:val="24"/>
          <w:lang w:eastAsia="en-US" w:bidi="en-US" w:val="en-GB"/>
        </w:rPr>
        <w:t>Wig &amp; Kromrey (2018_5) expect states to interene to mediate in conflicts involving groups with statelike instutions (based on political support bases etc) rendering the likelihood of these groups being involved in conflict lower.</w:t>
      </w:r>
    </w:p>
    <w:p>
      <w:r>
        <w:rPr>
          <w:rFonts w:ascii="Liberation Serif" w:hAnsi="Liberation Serif" w:eastAsia="Cantarell" w:cs="Droid Sans Arabic"/>
          <w:sz w:val="24"/>
          <w:szCs w:val="24"/>
          <w:lang w:eastAsia="en-US" w:bidi="en-US" w:val="en-GB"/>
        </w:rPr>
      </w:r>
      <w:r>
        <w:rPr>
          <w:rFonts w:ascii="Liberation Serif" w:hAnsi="Liberation Serif" w:eastAsia="Cantarell" w:cs="Droid Sans Arabic"/>
          <w:sz w:val="24"/>
          <w:szCs w:val="24"/>
          <w:lang w:eastAsia="en-US" w:bidi="en-US" w:val="en-GB"/>
        </w:rPr>
        <w:t>Another reason may be simply that, due to their cohesiveness, the state is more able to hold someone accountable in such groups compared to more egalitarian groups.</w:t>
      </w:r>
    </w:p>
  </w:comment>
  <w:comment w:id="35" w:author="Ole Magnus Theisen [2]" w:date="2021-09-15T14:16:00Z" w:initials="OMT">
    <w:p>
      <w:r>
        <w:rPr>
          <w:rFonts w:ascii="Liberation Serif" w:hAnsi="Liberation Serif" w:eastAsia="Cantarell" w:cs="Droid Sans Arabic"/>
          <w:sz w:val="24"/>
          <w:szCs w:val="24"/>
          <w:lang w:eastAsia="en-US" w:bidi="en-US" w:val="en-GB"/>
        </w:rPr>
        <w:t>See Logan (2013) on this, but her argument is that precolonial formal institutions gain from being backed by the modern state.</w:t>
      </w:r>
    </w:p>
  </w:comment>
  <w:comment w:id="36" w:author="Ole Magnus Theisen [2]" w:date="2021-09-14T17:13:00Z" w:initials="OMT">
    <w:p>
      <w:r>
        <w:rPr>
          <w:rFonts w:ascii="Liberation Serif" w:hAnsi="Liberation Serif" w:eastAsia="Cantarell" w:cs="Droid Sans Arabic"/>
          <w:sz w:val="24"/>
          <w:szCs w:val="24"/>
          <w:lang w:eastAsia="en-US" w:bidi="en-US" w:val="en-GB"/>
        </w:rPr>
        <w:t>Here two mechanisms may apply:</w:t>
      </w:r>
    </w:p>
    <w:p>
      <w:r>
        <w:rPr>
          <w:rFonts w:ascii="Liberation Serif" w:hAnsi="Liberation Serif" w:eastAsia="Cantarell" w:cs="Droid Sans Arabic"/>
          <w:sz w:val="24"/>
          <w:szCs w:val="24"/>
          <w:lang w:eastAsia="en-US" w:bidi="en-US" w:val="en-GB"/>
        </w:rPr>
        <w:t>Precolonial states -&gt; precolonial trade &amp; dvlp -&gt; continued heightened level of trade &amp; dvlp</w:t>
      </w:r>
    </w:p>
    <w:p>
      <w:r>
        <w:rPr>
          <w:rFonts w:ascii="Liberation Serif" w:hAnsi="Liberation Serif" w:eastAsia="Cantarell" w:cs="Droid Sans Arabic"/>
          <w:sz w:val="24"/>
          <w:szCs w:val="24"/>
          <w:lang w:eastAsia="en-US" w:bidi="en-US" w:val="en-GB"/>
        </w:rPr>
        <w:t xml:space="preserve"> Precol states -&gt; peace -&gt; precol dvlp and (via the other mechanisms discussed above) current dvlpmnt</w:t>
      </w:r>
    </w:p>
  </w:comment>
  <w:comment w:id="37" w:author="Ole Magnus Theisen" w:date="2021-08-31T13:32:00Z" w:initials="OMT">
    <w:p>
      <w:r>
        <w:rPr>
          <w:rFonts w:ascii="Liberation Serif" w:hAnsi="Liberation Serif" w:eastAsia="Cantarell" w:cs="Droid Sans Arabic"/>
          <w:sz w:val="24"/>
          <w:szCs w:val="24"/>
          <w:lang w:eastAsia="en-US" w:bidi="en-US" w:val="en-US"/>
        </w:rPr>
        <w:t>Mention case from Tanzania where raiders dressed up as from some thrid group in order to exploit information asymmetry (Ndagala 1990) : the raiders exploited the fact that they what they did as individuals would not affect their reputation, but rather affect the reputation of their group as a whole. Hence, they dressed up as a third group (see also Eaton for this phenomenon in Kenya and Uganda)  – seen only as members of one group, not as individuals – this strategy would work less well in case of dense networks (something the state can increase by facilitating interaction).</w:t>
      </w:r>
    </w:p>
  </w:comment>
  <w:comment w:id="38" w:author="Ole Magnus Theisen [2]" w:date="2021-08-30T11:24:00Z" w:initials="OMT">
    <w:p>
      <w:r>
        <w:rPr>
          <w:rFonts w:ascii="Liberation Serif" w:hAnsi="Liberation Serif" w:eastAsia="Cantarell" w:cs="Droid Sans Arabic"/>
          <w:sz w:val="24"/>
          <w:szCs w:val="24"/>
          <w:lang w:eastAsia="en-US" w:bidi="en-US" w:val="en-GB"/>
        </w:rPr>
        <w:t xml:space="preserve">Check if this is an arg for property rights or for conflict. </w:t>
      </w:r>
    </w:p>
  </w:comment>
  <w:comment w:id="39" w:author="Ole Magnus Theisen" w:date="2021-09-21T14:04:00Z" w:initials="OMT">
    <w:p>
      <w:r>
        <w:rPr>
          <w:rFonts w:ascii="Liberation Serif" w:hAnsi="Liberation Serif" w:eastAsia="Cantarell" w:cs="Droid Sans Arabic"/>
          <w:sz w:val="24"/>
          <w:szCs w:val="24"/>
          <w:lang w:eastAsia="en-US" w:bidi="en-US" w:val="en-US"/>
        </w:rPr>
        <w:t>See if this is intra- or interethnic</w:t>
      </w:r>
    </w:p>
  </w:comment>
  <w:comment w:id="40" w:author="Ole Magnus Theisen" w:date="2021-09-21T14:24:00Z" w:initials="OMT">
    <w:p>
      <w:r>
        <w:rPr>
          <w:rFonts w:ascii="Liberation Serif" w:hAnsi="Liberation Serif" w:eastAsia="Cantarell" w:cs="Droid Sans Arabic"/>
          <w:sz w:val="24"/>
          <w:szCs w:val="24"/>
          <w:lang w:eastAsia="en-US" w:bidi="en-US" w:val="en-US"/>
        </w:rPr>
        <w:t>Integrate in the generic part on the information problem</w:t>
      </w:r>
    </w:p>
  </w:comment>
  <w:comment w:id="41" w:author="Ole Magnus Theisen" w:date="2021-09-21T14:25:00Z" w:initials="OMT">
    <w:p>
      <w:r>
        <w:rPr>
          <w:rFonts w:ascii="Liberation Serif" w:hAnsi="Liberation Serif" w:eastAsia="Cantarell" w:cs="Droid Sans Arabic"/>
          <w:sz w:val="24"/>
          <w:szCs w:val="24"/>
          <w:lang w:eastAsia="en-US" w:bidi="en-US" w:val="en-US"/>
        </w:rPr>
        <w:t>Integrate on the extension of the information problem, that of the commitment problem (to be followed by the security dilemma)</w:t>
      </w:r>
    </w:p>
  </w:comment>
  <w:comment w:id="42" w:author="Ole Magnus Theisen" w:date="2021-09-18T08:46:00Z" w:initials="OMT">
    <w:p>
      <w:r>
        <w:rPr>
          <w:rFonts w:ascii="Liberation Serif" w:hAnsi="Liberation Serif" w:eastAsia="Cantarell" w:cs="Droid Sans Arabic"/>
          <w:sz w:val="24"/>
          <w:szCs w:val="24"/>
          <w:lang w:eastAsia="en-US" w:bidi="en-US" w:val="en-US"/>
        </w:rPr>
        <w:t>Put in the section after information problems – new para on commitment problems: this should be used as a very general explanation which does not require cheating/crimes by individuals. The latter should come after the information problem.</w:t>
      </w:r>
    </w:p>
    <w:p>
      <w:r>
        <w:rPr>
          <w:rFonts w:ascii="Liberation Serif" w:hAnsi="Liberation Serif" w:eastAsia="Cantarell" w:cs="Droid Sans Arabic"/>
          <w:sz w:val="24"/>
          <w:szCs w:val="24"/>
          <w:lang w:eastAsia="en-US" w:bidi="en-US" w:val="en-US"/>
        </w:rPr>
        <w:t>It is the information problem plus the problem of credible commitment that jointly produces the security dilemma</w:t>
      </w:r>
    </w:p>
    <w:p>
      <w:r>
        <w:rPr>
          <w:rFonts w:ascii="Liberation Serif" w:hAnsi="Liberation Serif" w:eastAsia="Cantarell" w:cs="Droid Sans Arabic"/>
          <w:sz w:val="24"/>
          <w:szCs w:val="24"/>
          <w:lang w:eastAsia="en-US" w:bidi="en-US" w:val="en-US"/>
        </w:rPr>
        <w:t xml:space="preserve"> </w:t>
      </w:r>
    </w:p>
  </w:comment>
  <w:comment w:id="43" w:author="Ole Magnus Theisen" w:date="2021-09-21T14:27:00Z" w:initials="OMT">
    <w:p>
      <w:r>
        <w:rPr>
          <w:rFonts w:ascii="Liberation Serif" w:hAnsi="Liberation Serif" w:eastAsia="Cantarell" w:cs="Droid Sans Arabic"/>
          <w:sz w:val="24"/>
          <w:szCs w:val="24"/>
          <w:lang w:eastAsia="en-US" w:bidi="en-US" w:val="en-US"/>
        </w:rPr>
        <w:t>Continue structuring here</w:t>
      </w:r>
    </w:p>
  </w:comment>
  <w:comment w:id="44" w:author="Ole Magnus Theisen [2]" w:date="2021-09-22T17:37:00Z" w:initials="OMT">
    <w:p>
      <w:r>
        <w:rPr>
          <w:rFonts w:ascii="Liberation Serif" w:hAnsi="Liberation Serif" w:eastAsia="Cantarell" w:cs="Droid Sans Arabic"/>
          <w:sz w:val="24"/>
          <w:szCs w:val="24"/>
          <w:lang w:eastAsia="en-US" w:bidi="en-US" w:val="en-GB"/>
        </w:rPr>
        <w:t>See L&amp;R96:51</w:t>
      </w:r>
    </w:p>
  </w:comment>
  <w:comment w:id="45" w:author="Ole Magnus Theisen [2]" w:date="2021-09-22T17:37:00Z" w:initials="OMT">
    <w:p>
      <w:r>
        <w:rPr>
          <w:rFonts w:ascii="Liberation Serif" w:hAnsi="Liberation Serif" w:eastAsia="Cantarell" w:cs="Droid Sans Arabic"/>
          <w:sz w:val="24"/>
          <w:szCs w:val="24"/>
          <w:lang w:eastAsia="en-US" w:bidi="en-US" w:val="en-GB"/>
        </w:rPr>
        <w:t>See Karins lecture</w:t>
      </w:r>
    </w:p>
  </w:comment>
  <w:comment w:id="46" w:author="Ole Magnus Theisen [2]" w:date="2019-11-29T14:56:00Z" w:initials="OMT">
    <w:p>
      <w:r>
        <w:rPr>
          <w:rFonts w:ascii="Liberation Serif" w:hAnsi="Liberation Serif" w:eastAsia="Cantarell" w:cs="Droid Sans Arabic"/>
          <w:sz w:val="24"/>
          <w:szCs w:val="24"/>
          <w:lang w:eastAsia="en-US" w:bidi="en-US" w:val="en-US"/>
        </w:rPr>
        <w:t>Source Smidt &amp; Theisen (2018).</w:t>
      </w:r>
    </w:p>
    <w:p>
      <w:r>
        <w:rPr>
          <w:rFonts w:ascii="Liberation Serif" w:hAnsi="Liberation Serif" w:eastAsia="Cantarell" w:cs="Droid Sans Arabic"/>
          <w:sz w:val="24"/>
          <w:szCs w:val="24"/>
          <w:lang w:eastAsia="en-US" w:bidi="en-US" w:val="en-GB"/>
        </w:rPr>
        <w:t xml:space="preserve">Doesn’t say anything about precolonial states. </w:t>
      </w:r>
    </w:p>
  </w:comment>
  <w:comment w:id="47" w:author="Ole Magnus Theisen [2]" w:date="2021-08-30T11:18:00Z" w:initials="OMT">
    <w:p>
      <w:r>
        <w:rPr>
          <w:rFonts w:ascii="Liberation Serif" w:hAnsi="Liberation Serif" w:eastAsia="Cantarell" w:cs="Droid Sans Arabic"/>
          <w:sz w:val="24"/>
          <w:szCs w:val="24"/>
          <w:lang w:eastAsia="en-US" w:bidi="en-US" w:val="en-GB"/>
        </w:rPr>
        <w:t>Check whether she says anything about the source of the traditional tenurial arrangements: are these more likely to be stronger/more prevalent the more pre-colonial statehood there was?</w:t>
      </w:r>
    </w:p>
  </w:comment>
  <w:comment w:id="49" w:author="Ole Magnus Theisen [2]" w:date="2019-11-29T15:17:00Z" w:initials="OMT">
    <w:p>
      <w:r>
        <w:rPr>
          <w:rFonts w:ascii="Liberation Serif" w:hAnsi="Liberation Serif" w:eastAsia="Cantarell" w:cs="Droid Sans Arabic"/>
          <w:sz w:val="24"/>
          <w:szCs w:val="24"/>
          <w:lang w:val="en-US" w:eastAsia="en-US" w:bidi="en-US"/>
        </w:rPr>
        <w:t>Her må vi passe på at vi ikke kanibaliserer på et paper Karin og jeg tenker å skrive om interetnisk tillit basert på Afrobarometer data.</w:t>
      </w:r>
    </w:p>
  </w:comment>
  <w:comment w:id="48" w:author="Ole Magnus Theisen [2]" w:date="2019-11-29T15:02:00Z" w:initials="OMT">
    <w:p>
      <w:r>
        <w:rPr>
          <w:rFonts w:ascii="Liberation Serif" w:hAnsi="Liberation Serif" w:eastAsia="Cantarell" w:cs="Droid Sans Arabic"/>
          <w:sz w:val="24"/>
          <w:szCs w:val="24"/>
          <w:lang w:eastAsia="en-US" w:bidi="en-US" w:val="en-GB"/>
        </w:rPr>
        <w:t>Pot hyp: The peace-inducing effect of pre-colonial states is stronger in ex-British colonies than in other ex-colonies.</w:t>
      </w:r>
    </w:p>
  </w:comment>
  <w:comment w:id="50" w:author="Ole Magnus Theisen [2]" w:date="2019-11-29T14:51:00Z" w:initials="OMT">
    <w:p>
      <w:r>
        <w:rPr>
          <w:rFonts w:ascii="Liberation Serif" w:hAnsi="Liberation Serif" w:eastAsia="Cantarell" w:cs="Droid Sans Arabic"/>
          <w:sz w:val="24"/>
          <w:szCs w:val="24"/>
          <w:lang w:eastAsia="en-US" w:bidi="en-US" w:val="en-GB"/>
        </w:rPr>
        <w:t>Potential hypothesis we can test using the SIDE-data: H1: In areas with pre-colonial states there is less segmented ethnic settlement patterns.</w:t>
      </w:r>
    </w:p>
    <w:p>
      <w:r>
        <w:rPr>
          <w:rFonts w:ascii="Liberation Serif" w:hAnsi="Liberation Serif" w:eastAsia="Cantarell" w:cs="Droid Sans Arabic"/>
          <w:sz w:val="24"/>
          <w:szCs w:val="24"/>
          <w:lang w:eastAsia="en-US" w:bidi="en-US" w:val="en-GB"/>
        </w:rPr>
        <w:t>Sub-hyp:duration of colonial and pre-colonial states reduces segmentation.</w:t>
      </w:r>
    </w:p>
  </w:comment>
  <w:comment w:id="52" w:author="Ole Magnus Theisen [2]" w:date="2019-11-29T15:06:00Z" w:initials="OMT">
    <w:p>
      <w:r>
        <w:rPr>
          <w:rFonts w:ascii="Liberation Serif" w:hAnsi="Liberation Serif" w:eastAsia="Cantarell" w:cs="Droid Sans Arabic"/>
          <w:sz w:val="24"/>
          <w:szCs w:val="24"/>
          <w:lang w:eastAsia="en-US" w:bidi="en-US" w:val="en-GB"/>
        </w:rPr>
        <w:t>I think there were pre-colonial state(s) in the central plateu of BFO, perhaps the Sokoto caliphate?</w:t>
      </w:r>
    </w:p>
  </w:comment>
  <w:comment w:id="51" w:author="Ole Magnus Theisen [2]" w:date="2019-11-29T14:54:00Z" w:initials="OMT">
    <w:p>
      <w:r>
        <w:rPr>
          <w:rFonts w:ascii="Liberation Serif" w:hAnsi="Liberation Serif" w:eastAsia="Cantarell" w:cs="Droid Sans Arabic"/>
          <w:sz w:val="24"/>
          <w:szCs w:val="24"/>
          <w:lang w:val="en-US" w:eastAsia="en-US" w:bidi="en-US"/>
        </w:rPr>
        <w:t>Source Smidt &amp; Theisen (2018).</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61311373"/>
    </w:sdtPr>
    <w:sdtContent>
      <w:p>
        <w:pPr>
          <w:pStyle w:val="Footer"/>
          <w:jc w:val="center"/>
          <w:rPr/>
        </w:pPr>
        <w:r>
          <w:rPr/>
          <w:fldChar w:fldCharType="begin"/>
        </w:r>
        <w:r>
          <w:rPr/>
          <w:instrText> PAGE </w:instrText>
        </w:r>
        <w:r>
          <w:rPr/>
          <w:fldChar w:fldCharType="separate"/>
        </w:r>
        <w:r>
          <w:rPr/>
          <w:t>14</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en-GB"/>
        </w:rPr>
      </w:pPr>
      <w:r>
        <w:rPr>
          <w:rStyle w:val="FootnoteCharacters"/>
        </w:rPr>
        <w:footnoteRef/>
      </w:r>
      <w:r>
        <w:rPr>
          <w:lang w:val="en-GB"/>
        </w:rPr>
        <w:t xml:space="preserve"> </w:t>
      </w:r>
      <w:r>
        <w:rPr>
          <w:lang w:val="en-GB"/>
        </w:rPr>
        <w:t>This should depend on the degree of interethnic interaction, which in turn can be facilitated by states – see discussion below.</w:t>
      </w:r>
    </w:p>
  </w:footnote>
  <w:footnote w:id="3">
    <w:p>
      <w:pPr>
        <w:pStyle w:val="Footnote"/>
        <w:rPr>
          <w:lang w:val="en-GB"/>
        </w:rPr>
      </w:pPr>
      <w:r>
        <w:rPr>
          <w:rStyle w:val="FootnoteCharacters"/>
        </w:rPr>
        <w:footnoteRef/>
      </w:r>
      <w:r>
        <w:rPr>
          <w:lang w:val="en-GB"/>
        </w:rPr>
        <w:t xml:space="preserve"> </w:t>
      </w:r>
      <w:r>
        <w:rPr>
          <w:lang w:val="en-GB"/>
        </w:rPr>
        <w:t xml:space="preserve">For instance, Eaton </w:t>
      </w:r>
      <w:r>
        <w:fldChar w:fldCharType="begin"/>
      </w:r>
      <w:r>
        <w:rPr>
          <w:lang w:val="en-GB"/>
        </w:rPr>
        <w:instrText>ADDIN ZOTERO_ITEM CSL_CITATION {"citationID":"L7u2tc8r","properties":{"formattedCitation":"(Eaton, 2008)","plainCitation":"(Eaton, 2008)","noteIndex":2},"citationItems":[{"id":5346,"uris":["http://zotero.org/groups/1795726/items/NDXL35MN"],"uri":["http://zotero.org/groups/1795726/items/NDXL35MN"],"itemData":{"id":5346,"type":"article-journal","abstract":"Peace-building NGOs are frequently at work along the Kenya–Uganda border. But in this desolate region, results have been extremely sparse. This article contends that this is due to the inadequacies of contemporary understandings of cattle raiding. Most NGOs and many academics ascribe cattle raids to a familiar array of factors such as resource scarcity, small arms proliferation, and generational conflict. While each issue is obviously of some relevance, such explanations are too cumbersome to really enhance our knowledge of cattle raiding. This article proposes a new approach to the problem by utilizing popular conceptions of ethnicity and criminal responsibility for raids. Given that most major raids originally stem from seemingly insignificant thefts, the process of retaliation is seen as crucial to understanding why violence escalates in certain situations and defuses in others. The failure of NGOs engaged in peace work to address this important issue in a meaningful way is the reason they have failed to achieve much success along the Kenya–Uganda border. This is in turn responsible for the widespread cynicism and corruption that has crept into their work, and is the subject of the second part of this article.","container-title":"African Affairs","DOI":"10.1093/afraf/adm085","ISSN":"0001-9909","issue":"426","journalAbbreviation":"African Affairs","page":"89-110","source":"Silverchair","title":"The Business of Peace: Raiding and Peace Work Along the Kenya–Uganda Border (Part I)","title-short":"The Business of Peace","volume":"107","author":[{"family":"Eaton","given":"Dave"}],"issued":{"date-parts":[["2008",1,1]]}}}],"schema":"https://github.com/citation-style-language/schema/raw/master/csl-citation.json"}</w:instrText>
      </w:r>
      <w:r>
        <w:rPr>
          <w:lang w:val="en-GB"/>
        </w:rPr>
      </w:r>
      <w:r>
        <w:rPr>
          <w:lang w:val="en-GB"/>
        </w:rPr>
        <w:fldChar w:fldCharType="separate"/>
      </w:r>
      <w:r>
        <w:rPr>
          <w:lang w:val="en-GB"/>
        </w:rPr>
      </w:r>
      <w:r>
        <w:rPr>
          <w:rFonts w:cs="Calibri"/>
          <w:lang w:val="en-GB"/>
        </w:rPr>
        <w:t>(Eaton, 2008)</w:t>
      </w:r>
      <w:r>
        <w:rPr>
          <w:lang w:val="en-GB"/>
        </w:rPr>
      </w:r>
      <w:r>
        <w:rPr>
          <w:lang w:val="en-GB"/>
        </w:rPr>
        <w:fldChar w:fldCharType="end"/>
      </w:r>
      <w:r>
        <w:rPr>
          <w:lang w:val="en-GB"/>
        </w:rPr>
        <w:t xml:space="preserve"> notes that pastoral groups in East Africa are reluctant to invite members from adversaries to peace negotiations in their territories as they may use the opportunity to scout for future raids.</w:t>
      </w:r>
    </w:p>
  </w:footnote>
  <w:footnote w:id="4">
    <w:p>
      <w:pPr>
        <w:pStyle w:val="Footnote"/>
        <w:rPr>
          <w:lang w:val="en-GB"/>
        </w:rPr>
      </w:pPr>
      <w:r>
        <w:rPr>
          <w:rStyle w:val="FootnoteCharacters"/>
        </w:rPr>
        <w:footnoteRef/>
      </w:r>
      <w:r>
        <w:rPr>
          <w:lang w:val="en-GB"/>
        </w:rPr>
        <w:t xml:space="preserve"> </w:t>
      </w:r>
      <w:r>
        <w:rPr>
          <w:lang w:val="en-GB"/>
        </w:rPr>
        <w:t>Since mobility increases the advantages of offensive relative to defensive tactics, one expectation could be that pastoralist groups whose livelihoods depend on mobility are more likely to resort to preemptive tactics and therefore see more violence in the end.</w:t>
      </w:r>
    </w:p>
  </w:footnote>
  <w:footnote w:id="5">
    <w:p>
      <w:pPr>
        <w:pStyle w:val="Footnote"/>
        <w:rPr>
          <w:lang w:val="en-GB"/>
        </w:rPr>
      </w:pPr>
      <w:r>
        <w:rPr>
          <w:rStyle w:val="FootnoteCharacters"/>
        </w:rPr>
        <w:footnoteRef/>
      </w:r>
      <w:r>
        <w:rPr>
          <w:lang w:val="en-GB"/>
        </w:rPr>
        <w:t xml:space="preserve"> </w:t>
      </w:r>
      <w:r>
        <w:rPr>
          <w:lang w:val="en-GB"/>
        </w:rPr>
        <w:t xml:space="preserve">Whether all member or e.g. all adult male relatives or some other collectively derived criteria makes member of the perpetrator’s group legitimate targets depends on the context, but secondary to our argument. The point is that retribution is based on collective characteristics. </w:t>
      </w:r>
    </w:p>
  </w:footnote>
  <w:footnote w:id="6">
    <w:p>
      <w:pPr>
        <w:pStyle w:val="Footnote"/>
        <w:rPr>
          <w:lang w:val="en-US"/>
        </w:rPr>
      </w:pPr>
      <w:r>
        <w:rPr>
          <w:rStyle w:val="FootnoteCharacters"/>
        </w:rPr>
        <w:footnoteRef/>
      </w:r>
      <w:r>
        <w:rPr>
          <w:lang w:val="en-US"/>
        </w:rPr>
        <w:t xml:space="preserve"> </w:t>
      </w:r>
      <w:r>
        <w:rPr>
          <w:lang w:val="en-US"/>
        </w:rPr>
        <w:t xml:space="preserve">Thus the first section of the main text </w:t>
      </w:r>
      <w:r>
        <w:rPr>
          <w:i/>
          <w:iCs/>
          <w:lang w:val="en-US"/>
        </w:rPr>
        <w:t xml:space="preserve">Hávámal </w:t>
      </w:r>
      <w:r>
        <w:rPr>
          <w:lang w:val="en-US"/>
        </w:rPr>
        <w:t xml:space="preserve">on Norse norms, literally ‘the guest’s section’ (Gestaþáttr) of </w:t>
      </w:r>
      <w:r>
        <w:rPr>
          <w:i/>
          <w:iCs/>
          <w:lang w:val="en-US"/>
        </w:rPr>
        <w:t xml:space="preserve">Hávamál </w:t>
      </w:r>
      <w:r>
        <w:rPr>
          <w:lang w:val="en-US"/>
        </w:rPr>
        <w:t>contains maxims allegedly given by the head deity Odin to men for proper conduct in a nonstate society inducing almost sacred norms of hospitality and reciprocity towards stranger guests, but also patience and cautiousness on behalf of the visitor.</w:t>
      </w:r>
    </w:p>
  </w:footnote>
  <w:footnote w:id="7">
    <w:p>
      <w:pPr>
        <w:pStyle w:val="Footnote"/>
        <w:rPr>
          <w:lang w:val="en-GB"/>
        </w:rPr>
      </w:pPr>
      <w:r>
        <w:rPr>
          <w:rStyle w:val="FootnoteCharacters"/>
        </w:rPr>
        <w:footnoteRef/>
      </w:r>
      <w:r>
        <w:rPr>
          <w:lang w:val="en-GB"/>
        </w:rPr>
        <w:t xml:space="preserve"> </w:t>
      </w:r>
      <w:r>
        <w:rPr>
          <w:lang w:val="en-GB"/>
        </w:rPr>
        <w:t>Ref to author in-depth interviews in Northern Tanzania fall 2016 and check survey data from ABS.</w:t>
      </w:r>
    </w:p>
  </w:footnote>
  <w:footnote w:id="8">
    <w:p>
      <w:pPr>
        <w:pStyle w:val="Footnote"/>
        <w:rPr>
          <w:lang w:val="en-GB"/>
        </w:rPr>
      </w:pPr>
      <w:r>
        <w:rPr>
          <w:rStyle w:val="FootnoteCharacters"/>
        </w:rPr>
        <w:footnoteRef/>
      </w:r>
      <w:r>
        <w:rPr>
          <w:lang w:val="en-GB"/>
        </w:rPr>
        <w:t xml:space="preserve"> </w:t>
      </w:r>
      <w:r>
        <w:rPr>
          <w:lang w:val="en-GB"/>
        </w:rPr>
        <w:t>Note parallel to the bonding vs bridging debate within political behaviour literature focusing on increasing polarization in the West. E.g. Putnam.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paragraph" w:styleId="Heading1">
    <w:name w:val="Heading 1"/>
    <w:basedOn w:val="Normal"/>
    <w:next w:val="Normal"/>
    <w:link w:val="Overskrift1Tegn"/>
    <w:uiPriority w:val="9"/>
    <w:qFormat/>
    <w:rsid w:val="00cb395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Overskrift2Tegn"/>
    <w:uiPriority w:val="9"/>
    <w:unhideWhenUsed/>
    <w:qFormat/>
    <w:rsid w:val="00292d2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4">
    <w:name w:val="Heading 4"/>
    <w:basedOn w:val="Normal"/>
    <w:next w:val="Normal"/>
    <w:link w:val="Overskrift4Tegn"/>
    <w:uiPriority w:val="9"/>
    <w:unhideWhenUsed/>
    <w:qFormat/>
    <w:rsid w:val="007762e5"/>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Overskrift5Tegn"/>
    <w:uiPriority w:val="9"/>
    <w:unhideWhenUsed/>
    <w:qFormat/>
    <w:rsid w:val="007762e5"/>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unhideWhenUsed/>
    <w:qFormat/>
    <w:rPr/>
  </w:style>
  <w:style w:type="character" w:styleId="FotnotetekstTegn" w:customStyle="1">
    <w:name w:val="Fotnotetekst Tegn"/>
    <w:basedOn w:val="DefaultParagraphFont"/>
    <w:link w:val="Fotnotetekst"/>
    <w:uiPriority w:val="99"/>
    <w:semiHidden/>
    <w:qFormat/>
    <w:rsid w:val="00cf0ada"/>
    <w:rPr>
      <w:sz w:val="20"/>
      <w:szCs w:val="20"/>
    </w:rPr>
  </w:style>
  <w:style w:type="character" w:styleId="FootnoteCharacters">
    <w:name w:val="Footnote Characters"/>
    <w:basedOn w:val="DefaultParagraphFont"/>
    <w:uiPriority w:val="99"/>
    <w:semiHidden/>
    <w:unhideWhenUsed/>
    <w:qFormat/>
    <w:rsid w:val="00cf0ada"/>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bf46ca"/>
    <w:rPr>
      <w:sz w:val="16"/>
      <w:szCs w:val="16"/>
    </w:rPr>
  </w:style>
  <w:style w:type="character" w:styleId="MerknadstekstTegn" w:customStyle="1">
    <w:name w:val="Merknadstekst Tegn"/>
    <w:basedOn w:val="DefaultParagraphFont"/>
    <w:link w:val="Merknadstekst"/>
    <w:uiPriority w:val="99"/>
    <w:semiHidden/>
    <w:qFormat/>
    <w:rsid w:val="00bf46ca"/>
    <w:rPr>
      <w:sz w:val="20"/>
      <w:szCs w:val="20"/>
    </w:rPr>
  </w:style>
  <w:style w:type="character" w:styleId="KommentaremneTegn" w:customStyle="1">
    <w:name w:val="Kommentaremne Tegn"/>
    <w:basedOn w:val="MerknadstekstTegn"/>
    <w:link w:val="Kommentaremne"/>
    <w:uiPriority w:val="99"/>
    <w:semiHidden/>
    <w:qFormat/>
    <w:rsid w:val="00bf46ca"/>
    <w:rPr>
      <w:b/>
      <w:bCs/>
      <w:sz w:val="20"/>
      <w:szCs w:val="20"/>
    </w:rPr>
  </w:style>
  <w:style w:type="character" w:styleId="BobletekstTegn" w:customStyle="1">
    <w:name w:val="Bobletekst Tegn"/>
    <w:basedOn w:val="DefaultParagraphFont"/>
    <w:link w:val="Bobletekst"/>
    <w:uiPriority w:val="99"/>
    <w:semiHidden/>
    <w:qFormat/>
    <w:rsid w:val="00bf46ca"/>
    <w:rPr>
      <w:rFonts w:ascii="Segoe UI" w:hAnsi="Segoe UI" w:cs="Segoe UI"/>
      <w:sz w:val="18"/>
      <w:szCs w:val="18"/>
    </w:rPr>
  </w:style>
  <w:style w:type="character" w:styleId="Overskrift1Tegn" w:customStyle="1">
    <w:name w:val="Overskrift 1 Tegn"/>
    <w:basedOn w:val="DefaultParagraphFont"/>
    <w:link w:val="Overskrift1"/>
    <w:uiPriority w:val="9"/>
    <w:qFormat/>
    <w:rsid w:val="00cb395f"/>
    <w:rPr>
      <w:rFonts w:ascii="Calibri Light" w:hAnsi="Calibri Light" w:eastAsia="" w:cs="" w:asciiTheme="majorHAnsi" w:cstheme="majorBidi" w:eastAsiaTheme="majorEastAsia" w:hAnsiTheme="majorHAnsi"/>
      <w:color w:val="2E74B5" w:themeColor="accent1" w:themeShade="bf"/>
      <w:sz w:val="32"/>
      <w:szCs w:val="32"/>
    </w:rPr>
  </w:style>
  <w:style w:type="character" w:styleId="BrdtekstTegn" w:customStyle="1">
    <w:name w:val="Brødtekst Tegn"/>
    <w:basedOn w:val="DefaultParagraphFont"/>
    <w:link w:val="Brdtekst"/>
    <w:uiPriority w:val="99"/>
    <w:qFormat/>
    <w:rsid w:val="00cb395f"/>
    <w:rPr/>
  </w:style>
  <w:style w:type="character" w:styleId="Overskrift2Tegn" w:customStyle="1">
    <w:name w:val="Overskrift 2 Tegn"/>
    <w:basedOn w:val="DefaultParagraphFont"/>
    <w:link w:val="Overskrift2"/>
    <w:uiPriority w:val="9"/>
    <w:qFormat/>
    <w:rsid w:val="00292d24"/>
    <w:rPr>
      <w:rFonts w:ascii="Calibri Light" w:hAnsi="Calibri Light" w:eastAsia="" w:cs="" w:asciiTheme="majorHAnsi" w:cstheme="majorBidi" w:eastAsiaTheme="majorEastAsia" w:hAnsiTheme="majorHAnsi"/>
      <w:color w:val="2E74B5" w:themeColor="accent1" w:themeShade="bf"/>
      <w:sz w:val="26"/>
      <w:szCs w:val="26"/>
    </w:rPr>
  </w:style>
  <w:style w:type="character" w:styleId="TopptekstTegn" w:customStyle="1">
    <w:name w:val="Topptekst Tegn"/>
    <w:basedOn w:val="DefaultParagraphFont"/>
    <w:link w:val="Topptekst"/>
    <w:uiPriority w:val="99"/>
    <w:qFormat/>
    <w:rsid w:val="00356516"/>
    <w:rPr/>
  </w:style>
  <w:style w:type="character" w:styleId="BunntekstTegn" w:customStyle="1">
    <w:name w:val="Bunntekst Tegn"/>
    <w:basedOn w:val="DefaultParagraphFont"/>
    <w:link w:val="Bunntekst"/>
    <w:uiPriority w:val="99"/>
    <w:qFormat/>
    <w:rsid w:val="00356516"/>
    <w:rPr/>
  </w:style>
  <w:style w:type="character" w:styleId="BrdtekstinnrykkTegn" w:customStyle="1">
    <w:name w:val="Brødtekstinnrykk Tegn"/>
    <w:basedOn w:val="DefaultParagraphFont"/>
    <w:link w:val="Brdtekstinnrykk"/>
    <w:uiPriority w:val="99"/>
    <w:semiHidden/>
    <w:qFormat/>
    <w:rsid w:val="00d94918"/>
    <w:rPr/>
  </w:style>
  <w:style w:type="character" w:styleId="Brdtekstfrsteinnrykk2Tegn" w:customStyle="1">
    <w:name w:val="Brødtekst - første innrykk 2 Tegn"/>
    <w:basedOn w:val="BrdtekstinnrykkTegn"/>
    <w:link w:val="Brdtekst-frsteinnrykk2"/>
    <w:uiPriority w:val="99"/>
    <w:qFormat/>
    <w:rsid w:val="00d94918"/>
    <w:rPr/>
  </w:style>
  <w:style w:type="character" w:styleId="Overskrift4Tegn" w:customStyle="1">
    <w:name w:val="Overskrift 4 Tegn"/>
    <w:basedOn w:val="DefaultParagraphFont"/>
    <w:link w:val="Overskrift4"/>
    <w:uiPriority w:val="9"/>
    <w:qFormat/>
    <w:rsid w:val="007762e5"/>
    <w:rPr>
      <w:rFonts w:ascii="Calibri Light" w:hAnsi="Calibri Light" w:eastAsia="" w:cs="" w:asciiTheme="majorHAnsi" w:cstheme="majorBidi" w:eastAsiaTheme="majorEastAsia" w:hAnsiTheme="majorHAnsi"/>
      <w:i/>
      <w:iCs/>
      <w:color w:val="2E74B5" w:themeColor="accent1" w:themeShade="bf"/>
    </w:rPr>
  </w:style>
  <w:style w:type="character" w:styleId="Overskrift5Tegn" w:customStyle="1">
    <w:name w:val="Overskrift 5 Tegn"/>
    <w:basedOn w:val="DefaultParagraphFont"/>
    <w:link w:val="Overskrift5"/>
    <w:uiPriority w:val="9"/>
    <w:qFormat/>
    <w:rsid w:val="007762e5"/>
    <w:rPr>
      <w:rFonts w:ascii="Calibri Light" w:hAnsi="Calibri Light" w:eastAsia="" w:cs="" w:asciiTheme="majorHAnsi" w:cstheme="majorBidi" w:eastAsiaTheme="majorEastAsia" w:hAnsiTheme="majorHAnsi"/>
      <w:color w:val="2E74B5" w:themeColor="accent1" w:themeShade="bf"/>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BrdtekstTegn"/>
    <w:uiPriority w:val="99"/>
    <w:unhideWhenUsed/>
    <w:rsid w:val="00cb395f"/>
    <w:pPr>
      <w:spacing w:before="0" w:after="120"/>
    </w:pPr>
    <w:rPr/>
  </w:style>
  <w:style w:type="paragraph" w:styleId="List">
    <w:name w:val="List"/>
    <w:basedOn w:val="Normal"/>
    <w:uiPriority w:val="99"/>
    <w:unhideWhenUsed/>
    <w:rsid w:val="00d94918"/>
    <w:pPr>
      <w:spacing w:before="0" w:after="160"/>
      <w:ind w:left="283" w:hanging="283"/>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rsid w:val="00006e1b"/>
    <w:pPr>
      <w:spacing w:before="0" w:after="160"/>
      <w:ind w:left="720" w:hanging="0"/>
      <w:contextualSpacing/>
    </w:pPr>
    <w:rPr/>
  </w:style>
  <w:style w:type="paragraph" w:styleId="Footnote">
    <w:name w:val="Footnote Text"/>
    <w:basedOn w:val="Normal"/>
    <w:link w:val="FotnotetekstTegn"/>
    <w:uiPriority w:val="99"/>
    <w:semiHidden/>
    <w:unhideWhenUsed/>
    <w:rsid w:val="00cf0ada"/>
    <w:pPr>
      <w:spacing w:lineRule="auto" w:line="240" w:before="0" w:after="0"/>
    </w:pPr>
    <w:rPr>
      <w:sz w:val="20"/>
      <w:szCs w:val="20"/>
    </w:rPr>
  </w:style>
  <w:style w:type="paragraph" w:styleId="Annotationtext">
    <w:name w:val="annotation text"/>
    <w:basedOn w:val="Normal"/>
    <w:link w:val="MerknadstekstTegn"/>
    <w:uiPriority w:val="99"/>
    <w:semiHidden/>
    <w:unhideWhenUsed/>
    <w:qFormat/>
    <w:rsid w:val="00bf46ca"/>
    <w:pPr>
      <w:spacing w:lineRule="auto" w:line="240"/>
    </w:pPr>
    <w:rPr>
      <w:sz w:val="20"/>
      <w:szCs w:val="20"/>
    </w:rPr>
  </w:style>
  <w:style w:type="paragraph" w:styleId="Annotationsubject">
    <w:name w:val="annotation subject"/>
    <w:basedOn w:val="Annotationtext"/>
    <w:next w:val="Annotationtext"/>
    <w:link w:val="KommentaremneTegn"/>
    <w:uiPriority w:val="99"/>
    <w:semiHidden/>
    <w:unhideWhenUsed/>
    <w:qFormat/>
    <w:rsid w:val="00bf46ca"/>
    <w:pPr/>
    <w:rPr>
      <w:b/>
      <w:bCs/>
    </w:rPr>
  </w:style>
  <w:style w:type="paragraph" w:styleId="BalloonText">
    <w:name w:val="Balloon Text"/>
    <w:basedOn w:val="Normal"/>
    <w:link w:val="BobletekstTegn"/>
    <w:uiPriority w:val="99"/>
    <w:semiHidden/>
    <w:unhideWhenUsed/>
    <w:qFormat/>
    <w:rsid w:val="00bf46ca"/>
    <w:pPr>
      <w:spacing w:lineRule="auto" w:line="240" w:before="0" w:after="0"/>
    </w:pPr>
    <w:rPr>
      <w:rFonts w:ascii="Segoe UI" w:hAnsi="Segoe UI" w:cs="Segoe UI"/>
      <w:sz w:val="18"/>
      <w:szCs w:val="18"/>
    </w:rPr>
  </w:style>
  <w:style w:type="paragraph" w:styleId="Bibliography">
    <w:name w:val="Bibliography"/>
    <w:basedOn w:val="Normal"/>
    <w:next w:val="Normal"/>
    <w:uiPriority w:val="37"/>
    <w:unhideWhenUsed/>
    <w:qFormat/>
    <w:rsid w:val="00086d29"/>
    <w:pPr>
      <w:spacing w:lineRule="auto" w:line="480" w:before="0" w:after="0"/>
      <w:ind w:left="720" w:hanging="720"/>
    </w:pPr>
    <w:rPr/>
  </w:style>
  <w:style w:type="paragraph" w:styleId="HeaderandFooter">
    <w:name w:val="Header and Footer"/>
    <w:basedOn w:val="Normal"/>
    <w:qFormat/>
    <w:pPr/>
    <w:rPr/>
  </w:style>
  <w:style w:type="paragraph" w:styleId="Header">
    <w:name w:val="Header"/>
    <w:basedOn w:val="Normal"/>
    <w:link w:val="TopptekstTegn"/>
    <w:uiPriority w:val="99"/>
    <w:unhideWhenUsed/>
    <w:rsid w:val="00356516"/>
    <w:pPr>
      <w:tabs>
        <w:tab w:val="clear" w:pos="708"/>
        <w:tab w:val="center" w:pos="4513" w:leader="none"/>
        <w:tab w:val="right" w:pos="9026" w:leader="none"/>
      </w:tabs>
      <w:spacing w:lineRule="auto" w:line="240" w:before="0" w:after="0"/>
    </w:pPr>
    <w:rPr/>
  </w:style>
  <w:style w:type="paragraph" w:styleId="Footer">
    <w:name w:val="Footer"/>
    <w:basedOn w:val="Normal"/>
    <w:link w:val="BunntekstTegn"/>
    <w:uiPriority w:val="99"/>
    <w:unhideWhenUsed/>
    <w:rsid w:val="00356516"/>
    <w:pPr>
      <w:tabs>
        <w:tab w:val="clear" w:pos="708"/>
        <w:tab w:val="center" w:pos="4513" w:leader="none"/>
        <w:tab w:val="right" w:pos="9026" w:leader="none"/>
      </w:tabs>
      <w:spacing w:lineRule="auto" w:line="240" w:before="0" w:after="0"/>
    </w:pPr>
    <w:rPr/>
  </w:style>
  <w:style w:type="paragraph" w:styleId="TextBodyIndent">
    <w:name w:val="Body Text Indent"/>
    <w:basedOn w:val="Normal"/>
    <w:link w:val="BrdtekstinnrykkTegn"/>
    <w:uiPriority w:val="99"/>
    <w:semiHidden/>
    <w:unhideWhenUsed/>
    <w:rsid w:val="00d94918"/>
    <w:pPr>
      <w:spacing w:before="0" w:after="120"/>
      <w:ind w:left="283" w:hanging="0"/>
    </w:pPr>
    <w:rPr/>
  </w:style>
  <w:style w:type="paragraph" w:styleId="BodyTextFirstIndent2">
    <w:name w:val="Body Text First Indent 2"/>
    <w:basedOn w:val="TextBodyIndent"/>
    <w:link w:val="Brdtekst-frsteinnrykk2Tegn"/>
    <w:uiPriority w:val="99"/>
    <w:unhideWhenUsed/>
    <w:qFormat/>
    <w:rsid w:val="00d94918"/>
    <w:pPr>
      <w:spacing w:before="0" w:after="160"/>
      <w:ind w:left="360" w:firstLine="360"/>
    </w:pPr>
    <w:rPr/>
  </w:style>
  <w:style w:type="paragraph" w:styleId="Revision">
    <w:name w:val="Revision"/>
    <w:uiPriority w:val="99"/>
    <w:semiHidden/>
    <w:qFormat/>
    <w:rsid w:val="000123f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paragraph" w:styleId="ListContinue">
    <w:name w:val="List Continue"/>
    <w:basedOn w:val="Normal"/>
    <w:uiPriority w:val="99"/>
    <w:unhideWhenUsed/>
    <w:qFormat/>
    <w:rsid w:val="008378a6"/>
    <w:pPr>
      <w:spacing w:before="0" w:after="120"/>
      <w:ind w:left="283" w:hanging="0"/>
      <w:contextualSpacing/>
    </w:pPr>
    <w:rPr/>
  </w:style>
  <w:style w:type="paragraph" w:styleId="ListBullet2">
    <w:name w:val="List Bullet 2"/>
    <w:basedOn w:val="Normal"/>
    <w:uiPriority w:val="99"/>
    <w:unhideWhenUsed/>
    <w:qFormat/>
    <w:rsid w:val="00062f80"/>
    <w:pPr>
      <w:numPr>
        <w:ilvl w:val="0"/>
        <w:numId w:val="5"/>
      </w:numPr>
      <w:spacing w:before="0" w:after="160"/>
      <w:contextualSpacing/>
    </w:pPr>
    <w:rPr/>
  </w:style>
  <w:style w:type="paragraph" w:styleId="ListBullet3">
    <w:name w:val="List Bullet 3"/>
    <w:basedOn w:val="Normal"/>
    <w:uiPriority w:val="99"/>
    <w:unhideWhenUsed/>
    <w:qFormat/>
    <w:rsid w:val="00062f80"/>
    <w:pPr>
      <w:numPr>
        <w:ilvl w:val="0"/>
        <w:numId w:val="6"/>
      </w:numPr>
      <w:spacing w:before="0" w:after="160"/>
      <w:contextualSpacing/>
    </w:pPr>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83BDB-60F4-4FD2-B65E-6B84D88AC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LibreOffice/7.2.1.2$Linux_X86_64 LibreOffice_project/20$Build-2</Application>
  <AppVersion>15.0000</AppVersion>
  <Pages>14</Pages>
  <Words>6403</Words>
  <Characters>36672</Characters>
  <CharactersWithSpaces>42767</CharactersWithSpaces>
  <Paragraphs>153</Paragraphs>
  <Company>NTNU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2021-09-23T09:16:00Z</dcterms:created>
  <dc:creator>Ole Magnus Theisen</dc:creator>
  <dc:description/>
  <dc:language>en-US</dc:language>
  <cp:lastModifiedBy/>
  <dcterms:modified xsi:type="dcterms:W3CDTF">2021-10-12T09:46:07Z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id="dYOm0Jm0"/&gt;&lt;style id="http://www.zotero.org/styles/apa" locale="en-US" hasBibliography="1" bibliographyStyleHasBeenSet="1"/&gt;&lt;prefs&gt;&lt;pref name="fieldType" value="Field"/&gt;&lt;/prefs&gt;&lt;/data&gt;</vt:lpwstr>
  </property>
</Properties>
</file>