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900D3" w14:textId="73FE386E" w:rsidR="00AD6A49" w:rsidRPr="00B4111B" w:rsidRDefault="00274989" w:rsidP="00B4111B">
      <w:pPr>
        <w:shd w:val="clear" w:color="auto" w:fill="F4F4F4"/>
        <w:spacing w:line="360" w:lineRule="auto"/>
        <w:rPr>
          <w:color w:val="000000"/>
          <w:lang w:val="en-US"/>
        </w:rPr>
      </w:pPr>
      <w:r w:rsidRPr="00274989">
        <w:rPr>
          <w:color w:val="000000"/>
          <w:lang w:val="en-US"/>
        </w:rPr>
        <w:t xml:space="preserve">2) Argue the case for or against a "heavy" tax on carbon </w:t>
      </w:r>
      <w:proofErr w:type="spellStart"/>
      <w:r w:rsidRPr="00274989">
        <w:rPr>
          <w:color w:val="000000"/>
          <w:lang w:val="en-US"/>
        </w:rPr>
        <w:t>emmisions</w:t>
      </w:r>
      <w:proofErr w:type="spellEnd"/>
      <w:r w:rsidRPr="00274989">
        <w:rPr>
          <w:color w:val="000000"/>
          <w:lang w:val="en-US"/>
        </w:rPr>
        <w:t xml:space="preserve"> using political economy theory.</w:t>
      </w:r>
    </w:p>
    <w:p w14:paraId="7A9EBB69" w14:textId="08DB8638" w:rsidR="00AD6A49" w:rsidRPr="00B4111B" w:rsidRDefault="00906C47" w:rsidP="00B4111B">
      <w:pPr>
        <w:spacing w:line="360" w:lineRule="auto"/>
        <w:rPr>
          <w:b/>
          <w:bCs/>
          <w:sz w:val="28"/>
          <w:szCs w:val="28"/>
          <w:lang w:val="en-US"/>
        </w:rPr>
      </w:pPr>
      <w:r w:rsidRPr="00B4111B">
        <w:rPr>
          <w:b/>
          <w:bCs/>
          <w:sz w:val="28"/>
          <w:szCs w:val="28"/>
          <w:lang w:val="en-US"/>
        </w:rPr>
        <w:t>Introduction</w:t>
      </w:r>
    </w:p>
    <w:p w14:paraId="438F2F88" w14:textId="7511179C" w:rsidR="00E81068" w:rsidRPr="00B4111B" w:rsidRDefault="00861FE1" w:rsidP="00B4111B">
      <w:pPr>
        <w:spacing w:line="360" w:lineRule="auto"/>
        <w:rPr>
          <w:lang w:val="en-US"/>
        </w:rPr>
      </w:pPr>
      <w:r w:rsidRPr="00B4111B">
        <w:rPr>
          <w:lang w:val="en-US"/>
        </w:rPr>
        <w:t>The 2015 Paris Agreement</w:t>
      </w:r>
      <w:r w:rsidR="00B4563E" w:rsidRPr="00B4111B">
        <w:rPr>
          <w:lang w:val="en-US"/>
        </w:rPr>
        <w:t>, an international climate treaty,</w:t>
      </w:r>
      <w:r w:rsidRPr="00B4111B">
        <w:rPr>
          <w:lang w:val="en-US"/>
        </w:rPr>
        <w:t xml:space="preserve"> </w:t>
      </w:r>
      <w:r w:rsidR="00B4563E" w:rsidRPr="00B4111B">
        <w:rPr>
          <w:lang w:val="en-US"/>
        </w:rPr>
        <w:t>was adopted by nearly every nation in the world to combat and reduce greenhouse gas emissions (</w:t>
      </w:r>
      <w:proofErr w:type="spellStart"/>
      <w:r w:rsidR="00B4563E" w:rsidRPr="00B4111B">
        <w:rPr>
          <w:lang w:val="en-US"/>
        </w:rPr>
        <w:t>GHG</w:t>
      </w:r>
      <w:proofErr w:type="spellEnd"/>
      <w:r w:rsidR="00B4563E" w:rsidRPr="00B4111B">
        <w:rPr>
          <w:lang w:val="en-US"/>
        </w:rPr>
        <w:t>) to limit the global temperature increase to 2 degrees Celsius above pre-industrial levels (UNFCCC</w:t>
      </w:r>
      <w:r w:rsidR="00DE0A52" w:rsidRPr="00B4111B">
        <w:rPr>
          <w:lang w:val="en-US"/>
        </w:rPr>
        <w:t>, 2020</w:t>
      </w:r>
      <w:r w:rsidR="00B4563E" w:rsidRPr="00B4111B">
        <w:rPr>
          <w:lang w:val="en-US"/>
        </w:rPr>
        <w:t>). The agreement contains commitments to cut climate pollution from all major emitting countries and to increase these in the long run (UNFCCC</w:t>
      </w:r>
      <w:r w:rsidR="00DE0A52" w:rsidRPr="00B4111B">
        <w:rPr>
          <w:lang w:val="en-US"/>
        </w:rPr>
        <w:t>, 2020</w:t>
      </w:r>
      <w:r w:rsidR="00B4563E" w:rsidRPr="00B4111B">
        <w:rPr>
          <w:lang w:val="en-US"/>
        </w:rPr>
        <w:t xml:space="preserve">). The Paris Agreement reasserts the need for the developed nations to take the lead in providing financial assistance to the less developed and more vulnerable nations to help them achieve their </w:t>
      </w:r>
      <w:r w:rsidR="006F4E6A" w:rsidRPr="00B4111B">
        <w:rPr>
          <w:lang w:val="en-US"/>
        </w:rPr>
        <w:t>commitments to mitigate carbon emissions (UNFCCC</w:t>
      </w:r>
      <w:r w:rsidR="00DE0A52" w:rsidRPr="00B4111B">
        <w:rPr>
          <w:lang w:val="en-US"/>
        </w:rPr>
        <w:t>, 2020</w:t>
      </w:r>
      <w:r w:rsidR="006F4E6A" w:rsidRPr="00B4111B">
        <w:rPr>
          <w:lang w:val="en-US"/>
        </w:rPr>
        <w:t xml:space="preserve">). To do this, there is need for climate finance, large-scale investments are needed to reduce the </w:t>
      </w:r>
      <w:proofErr w:type="spellStart"/>
      <w:r w:rsidR="006F4E6A" w:rsidRPr="00B4111B">
        <w:rPr>
          <w:lang w:val="en-US"/>
        </w:rPr>
        <w:t>GHG</w:t>
      </w:r>
      <w:proofErr w:type="spellEnd"/>
      <w:r w:rsidR="006F4E6A" w:rsidRPr="00B4111B">
        <w:rPr>
          <w:lang w:val="en-US"/>
        </w:rPr>
        <w:t xml:space="preserve"> emissions (UNFCCC</w:t>
      </w:r>
      <w:r w:rsidR="00DE0A52" w:rsidRPr="00B4111B">
        <w:rPr>
          <w:lang w:val="en-US"/>
        </w:rPr>
        <w:t>, 2020</w:t>
      </w:r>
      <w:r w:rsidR="006F4E6A" w:rsidRPr="00B4111B">
        <w:rPr>
          <w:lang w:val="en-US"/>
        </w:rPr>
        <w:t>). It is no less important for adaptation, as adapting to adverse effects and reducing the effect of climate change will also be costly (UNFCCC</w:t>
      </w:r>
      <w:r w:rsidR="00DE0A52" w:rsidRPr="00B4111B">
        <w:rPr>
          <w:lang w:val="en-US"/>
        </w:rPr>
        <w:t>, 2020</w:t>
      </w:r>
      <w:r w:rsidR="006F4E6A" w:rsidRPr="00B4111B">
        <w:rPr>
          <w:lang w:val="en-US"/>
        </w:rPr>
        <w:t xml:space="preserve">). </w:t>
      </w:r>
      <w:r w:rsidR="006F339B" w:rsidRPr="00B4111B">
        <w:rPr>
          <w:lang w:val="en-US"/>
        </w:rPr>
        <w:t xml:space="preserve">One effective measure to reduce </w:t>
      </w:r>
      <w:proofErr w:type="spellStart"/>
      <w:r w:rsidR="006F339B" w:rsidRPr="00B4111B">
        <w:rPr>
          <w:lang w:val="en-US"/>
        </w:rPr>
        <w:t>GHG</w:t>
      </w:r>
      <w:proofErr w:type="spellEnd"/>
      <w:r w:rsidR="006F339B" w:rsidRPr="00B4111B">
        <w:rPr>
          <w:lang w:val="en-US"/>
        </w:rPr>
        <w:t xml:space="preserve"> emissions and deter the use of fossil fuels, is a heavy carbon tax (Parry, 2021). By setting an exact price on carbon by specifying a tax rate on emissions from </w:t>
      </w:r>
      <w:proofErr w:type="spellStart"/>
      <w:r w:rsidR="006F339B" w:rsidRPr="00B4111B">
        <w:rPr>
          <w:lang w:val="en-US"/>
        </w:rPr>
        <w:t>GHG</w:t>
      </w:r>
      <w:proofErr w:type="spellEnd"/>
      <w:r w:rsidR="006F339B" w:rsidRPr="00B4111B">
        <w:rPr>
          <w:lang w:val="en-US"/>
        </w:rPr>
        <w:t xml:space="preserve"> on corporations, it is possible to reduce these emissions to the lowest possible cost (Parry, 2021). Thus, the carbon tax mirrors the cost that burning carbon generates and ensures that both consumers and corporations reimburse society for the external costs they inflict on the world (</w:t>
      </w:r>
      <w:r w:rsidR="00381736" w:rsidRPr="00B4111B">
        <w:rPr>
          <w:lang w:val="en-US"/>
        </w:rPr>
        <w:t>Engineered Systems, 2021</w:t>
      </w:r>
      <w:r w:rsidR="006F339B" w:rsidRPr="00B4111B">
        <w:rPr>
          <w:lang w:val="en-US"/>
        </w:rPr>
        <w:t xml:space="preserve">). </w:t>
      </w:r>
    </w:p>
    <w:p w14:paraId="367F495A" w14:textId="1DB8BFFC" w:rsidR="000539B5" w:rsidRPr="00B4111B" w:rsidRDefault="00B4111B" w:rsidP="00B4111B">
      <w:pPr>
        <w:spacing w:line="360" w:lineRule="auto"/>
        <w:rPr>
          <w:lang w:val="en-US"/>
        </w:rPr>
      </w:pPr>
      <w:r w:rsidRPr="00B4111B">
        <w:rPr>
          <w:lang w:val="en-US"/>
        </w:rPr>
        <w:t xml:space="preserve">A carbon tax can be a very effective mitigation policy, </w:t>
      </w:r>
      <w:r w:rsidR="0020529A">
        <w:rPr>
          <w:lang w:val="en-US"/>
        </w:rPr>
        <w:t xml:space="preserve">in </w:t>
      </w:r>
      <w:r w:rsidRPr="00B4111B">
        <w:rPr>
          <w:lang w:val="en-US"/>
        </w:rPr>
        <w:t xml:space="preserve">this </w:t>
      </w:r>
      <w:r w:rsidR="00E81068" w:rsidRPr="00B4111B">
        <w:rPr>
          <w:lang w:val="en-US"/>
        </w:rPr>
        <w:t xml:space="preserve">text </w:t>
      </w:r>
      <w:r w:rsidR="0020529A">
        <w:rPr>
          <w:lang w:val="en-US"/>
        </w:rPr>
        <w:t xml:space="preserve">I </w:t>
      </w:r>
      <w:r w:rsidR="00E81068" w:rsidRPr="00B4111B">
        <w:rPr>
          <w:lang w:val="en-US"/>
        </w:rPr>
        <w:t>will</w:t>
      </w:r>
      <w:r w:rsidR="0081682F">
        <w:rPr>
          <w:lang w:val="en-US"/>
        </w:rPr>
        <w:t xml:space="preserve"> first explain what a carbon tax is, before giving a neoclassical explanation of a carbon tax as a market mechanism</w:t>
      </w:r>
      <w:r w:rsidR="0020529A">
        <w:rPr>
          <w:lang w:val="en-US"/>
        </w:rPr>
        <w:t>, then I will</w:t>
      </w:r>
      <w:r w:rsidR="00E81068" w:rsidRPr="00B4111B">
        <w:rPr>
          <w:lang w:val="en-US"/>
        </w:rPr>
        <w:t xml:space="preserve"> examine some </w:t>
      </w:r>
      <w:r w:rsidR="00AD6A49" w:rsidRPr="00B4111B">
        <w:rPr>
          <w:lang w:val="en-US"/>
        </w:rPr>
        <w:t>positive implications of imposing a heavy carbon tax</w:t>
      </w:r>
      <w:r w:rsidR="00E81068" w:rsidRPr="00B4111B">
        <w:rPr>
          <w:lang w:val="en-US"/>
        </w:rPr>
        <w:t xml:space="preserve"> and provide arguments for introducing such a tax.</w:t>
      </w:r>
      <w:r w:rsidR="00AD6A49" w:rsidRPr="00B4111B">
        <w:rPr>
          <w:lang w:val="en-US"/>
        </w:rPr>
        <w:t xml:space="preserve"> </w:t>
      </w:r>
    </w:p>
    <w:p w14:paraId="79BE0700" w14:textId="0A1F946C" w:rsidR="00AD6A49" w:rsidRPr="00B4111B" w:rsidRDefault="00AD6A49" w:rsidP="00B4111B">
      <w:pPr>
        <w:spacing w:line="360" w:lineRule="auto"/>
        <w:rPr>
          <w:lang w:val="en-US"/>
        </w:rPr>
      </w:pPr>
    </w:p>
    <w:p w14:paraId="788DABCD" w14:textId="1FD3CB1F" w:rsidR="00AD6A49" w:rsidRPr="00B4111B" w:rsidRDefault="00AD6A49" w:rsidP="00B4111B">
      <w:pPr>
        <w:spacing w:line="360" w:lineRule="auto"/>
        <w:rPr>
          <w:b/>
          <w:bCs/>
          <w:sz w:val="28"/>
          <w:szCs w:val="28"/>
          <w:lang w:val="en-US"/>
        </w:rPr>
      </w:pPr>
      <w:r w:rsidRPr="00B4111B">
        <w:rPr>
          <w:b/>
          <w:bCs/>
          <w:sz w:val="28"/>
          <w:szCs w:val="28"/>
          <w:lang w:val="en-US"/>
        </w:rPr>
        <w:t>Carbon tax</w:t>
      </w:r>
    </w:p>
    <w:p w14:paraId="7809FFFC" w14:textId="106137CC" w:rsidR="00AD6A49" w:rsidRPr="00B4111B" w:rsidRDefault="00AD6A49" w:rsidP="00B4111B">
      <w:pPr>
        <w:spacing w:line="360" w:lineRule="auto"/>
        <w:rPr>
          <w:lang w:val="en-US"/>
        </w:rPr>
      </w:pPr>
      <w:r w:rsidRPr="00B4111B">
        <w:rPr>
          <w:lang w:val="en-US"/>
        </w:rPr>
        <w:t>Carbon tax is a form of carbon pricing, which is a</w:t>
      </w:r>
      <w:r w:rsidR="00DA746D" w:rsidRPr="00B4111B">
        <w:rPr>
          <w:lang w:val="en-US"/>
        </w:rPr>
        <w:t xml:space="preserve"> promising way of reducing </w:t>
      </w:r>
      <w:proofErr w:type="spellStart"/>
      <w:r w:rsidR="00DA746D" w:rsidRPr="00B4111B">
        <w:rPr>
          <w:lang w:val="en-US"/>
        </w:rPr>
        <w:t>GHG</w:t>
      </w:r>
      <w:proofErr w:type="spellEnd"/>
      <w:r w:rsidR="00DA746D" w:rsidRPr="00B4111B">
        <w:rPr>
          <w:lang w:val="en-US"/>
        </w:rPr>
        <w:t xml:space="preserve"> emissions while avoiding unnecessary costs (Marron &amp; Morris, 2016, p. 1). A key design element of a carbon tax is how governments spend their increased tax income </w:t>
      </w:r>
      <w:r w:rsidR="00DA746D" w:rsidRPr="00B4111B">
        <w:rPr>
          <w:lang w:val="en-US"/>
        </w:rPr>
        <w:t>(Marron &amp; Morris, 2016, p. 1).</w:t>
      </w:r>
      <w:r w:rsidR="00DA746D" w:rsidRPr="00B4111B">
        <w:rPr>
          <w:lang w:val="en-US"/>
        </w:rPr>
        <w:t xml:space="preserve"> </w:t>
      </w:r>
      <w:r w:rsidR="0056708F" w:rsidRPr="00B4111B">
        <w:rPr>
          <w:lang w:val="en-US"/>
        </w:rPr>
        <w:t xml:space="preserve">In a broad policy perspective, it is beneficial to categorize the spending into </w:t>
      </w:r>
      <w:r w:rsidR="00CF60ED">
        <w:rPr>
          <w:lang w:val="en-US"/>
        </w:rPr>
        <w:t>three</w:t>
      </w:r>
      <w:r w:rsidR="0056708F" w:rsidRPr="00B4111B">
        <w:rPr>
          <w:lang w:val="en-US"/>
        </w:rPr>
        <w:t xml:space="preserve"> alternative policy goals: (1) compensating the new costs that a carbon tax imposes on consumers, producers, communities, and the broader economy; (2) supplement further efforts </w:t>
      </w:r>
      <w:r w:rsidR="0056708F" w:rsidRPr="00B4111B">
        <w:rPr>
          <w:lang w:val="en-US"/>
        </w:rPr>
        <w:lastRenderedPageBreak/>
        <w:t xml:space="preserve">of reducing </w:t>
      </w:r>
      <w:proofErr w:type="spellStart"/>
      <w:r w:rsidR="0056708F" w:rsidRPr="00B4111B">
        <w:rPr>
          <w:lang w:val="en-US"/>
        </w:rPr>
        <w:t>GHG</w:t>
      </w:r>
      <w:proofErr w:type="spellEnd"/>
      <w:r w:rsidR="0056708F" w:rsidRPr="00B4111B">
        <w:rPr>
          <w:lang w:val="en-US"/>
        </w:rPr>
        <w:t xml:space="preserve"> emissions; and (</w:t>
      </w:r>
      <w:r w:rsidR="00CF60ED">
        <w:rPr>
          <w:lang w:val="en-US"/>
        </w:rPr>
        <w:t>3</w:t>
      </w:r>
      <w:r w:rsidR="0056708F" w:rsidRPr="00B4111B">
        <w:rPr>
          <w:lang w:val="en-US"/>
        </w:rPr>
        <w:t xml:space="preserve">) funding public priorities in other areas than climate </w:t>
      </w:r>
      <w:r w:rsidR="0056708F" w:rsidRPr="00B4111B">
        <w:rPr>
          <w:lang w:val="en-US"/>
        </w:rPr>
        <w:t xml:space="preserve">(Marron &amp; Morris, 2016, p. 1). </w:t>
      </w:r>
      <w:r w:rsidR="0056708F" w:rsidRPr="00B4111B">
        <w:rPr>
          <w:lang w:val="en-US"/>
        </w:rPr>
        <w:t xml:space="preserve"> </w:t>
      </w:r>
    </w:p>
    <w:p w14:paraId="70C5FA5A" w14:textId="76223040" w:rsidR="00DA746D" w:rsidRPr="00B4111B" w:rsidRDefault="00DA746D" w:rsidP="00B4111B">
      <w:pPr>
        <w:spacing w:line="360" w:lineRule="auto"/>
        <w:rPr>
          <w:lang w:val="en-US"/>
        </w:rPr>
      </w:pPr>
    </w:p>
    <w:p w14:paraId="18A1F446" w14:textId="26F826EA" w:rsidR="00DA746D" w:rsidRPr="00B4111B" w:rsidRDefault="00A741E6" w:rsidP="00B4111B">
      <w:pPr>
        <w:spacing w:line="360" w:lineRule="auto"/>
        <w:rPr>
          <w:sz w:val="28"/>
          <w:szCs w:val="28"/>
          <w:lang w:val="en-US"/>
        </w:rPr>
      </w:pPr>
      <w:r w:rsidRPr="00B4111B">
        <w:rPr>
          <w:b/>
          <w:bCs/>
          <w:sz w:val="28"/>
          <w:szCs w:val="28"/>
          <w:lang w:val="en-US"/>
        </w:rPr>
        <w:t>Theory</w:t>
      </w:r>
    </w:p>
    <w:p w14:paraId="66375D5A" w14:textId="77777777" w:rsidR="00010DB9" w:rsidRPr="00B4111B" w:rsidRDefault="0020735D" w:rsidP="00B4111B">
      <w:pPr>
        <w:spacing w:line="360" w:lineRule="auto"/>
        <w:rPr>
          <w:lang w:val="en-US"/>
        </w:rPr>
      </w:pPr>
      <w:r w:rsidRPr="00B4111B">
        <w:rPr>
          <w:lang w:val="en-US"/>
        </w:rPr>
        <w:t>The main principles and assumption of neo</w:t>
      </w:r>
      <w:r w:rsidR="00560057" w:rsidRPr="00B4111B">
        <w:rPr>
          <w:lang w:val="en-US"/>
        </w:rPr>
        <w:t>-</w:t>
      </w:r>
      <w:r w:rsidRPr="00B4111B">
        <w:rPr>
          <w:lang w:val="en-US"/>
        </w:rPr>
        <w:t xml:space="preserve">classical economics lies in their </w:t>
      </w:r>
      <w:r w:rsidR="00560057" w:rsidRPr="00B4111B">
        <w:rPr>
          <w:lang w:val="en-US"/>
        </w:rPr>
        <w:t xml:space="preserve">faith in prices and markets as the only organizing power for economic interaction (Atkinson &amp; Heckler, 2010, p. 11). Neo-classical economics believe that with less interference from public policy in the market, the more efficient and in equilibrium it will be (Atkinson &amp; Heckler, 2010, p. 11). </w:t>
      </w:r>
    </w:p>
    <w:p w14:paraId="4BA2E3ED" w14:textId="5928BE05" w:rsidR="00A741E6" w:rsidRPr="00B4111B" w:rsidRDefault="00010DB9" w:rsidP="00B4111B">
      <w:pPr>
        <w:spacing w:line="360" w:lineRule="auto"/>
        <w:rPr>
          <w:lang w:val="en-US"/>
        </w:rPr>
      </w:pPr>
      <w:r w:rsidRPr="00B4111B">
        <w:rPr>
          <w:lang w:val="en-US"/>
        </w:rPr>
        <w:t xml:space="preserve">However, for a neo-classical economist, the limit for instituting a market failure is high </w:t>
      </w:r>
      <w:r w:rsidRPr="00B4111B">
        <w:rPr>
          <w:lang w:val="en-US"/>
        </w:rPr>
        <w:t>(Atkinson &amp; Heckler, 2010, p. 11).</w:t>
      </w:r>
      <w:r w:rsidRPr="00B4111B">
        <w:rPr>
          <w:lang w:val="en-US"/>
        </w:rPr>
        <w:t xml:space="preserve"> In this case, global warming, the production of </w:t>
      </w:r>
      <w:proofErr w:type="spellStart"/>
      <w:r w:rsidRPr="00B4111B">
        <w:rPr>
          <w:lang w:val="en-US"/>
        </w:rPr>
        <w:t>GHG</w:t>
      </w:r>
      <w:proofErr w:type="spellEnd"/>
      <w:r w:rsidRPr="00B4111B">
        <w:rPr>
          <w:lang w:val="en-US"/>
        </w:rPr>
        <w:t xml:space="preserve"> does not count as a normal good, rather an environmental externality </w:t>
      </w:r>
      <w:r w:rsidRPr="00B4111B">
        <w:rPr>
          <w:lang w:val="en-US"/>
        </w:rPr>
        <w:t>(Atkinson &amp; Heckler, 2010, p. 11).</w:t>
      </w:r>
      <w:r w:rsidRPr="00B4111B">
        <w:rPr>
          <w:lang w:val="en-US"/>
        </w:rPr>
        <w:t xml:space="preserve"> </w:t>
      </w:r>
      <w:r w:rsidRPr="00B4111B">
        <w:rPr>
          <w:lang w:val="en-US"/>
        </w:rPr>
        <w:t>Carbon emission is a by-product of a given good, and its societal costs are not mirrored in the energy price, which is a market failure (</w:t>
      </w:r>
      <w:proofErr w:type="spellStart"/>
      <w:r w:rsidRPr="00B4111B">
        <w:rPr>
          <w:lang w:val="en-US"/>
        </w:rPr>
        <w:t>Patt</w:t>
      </w:r>
      <w:proofErr w:type="spellEnd"/>
      <w:r w:rsidRPr="00B4111B">
        <w:rPr>
          <w:lang w:val="en-US"/>
        </w:rPr>
        <w:t xml:space="preserve"> &amp; </w:t>
      </w:r>
      <w:proofErr w:type="spellStart"/>
      <w:r w:rsidRPr="00B4111B">
        <w:rPr>
          <w:lang w:val="en-US"/>
        </w:rPr>
        <w:t>Lilliestam</w:t>
      </w:r>
      <w:proofErr w:type="spellEnd"/>
      <w:r w:rsidRPr="00B4111B">
        <w:rPr>
          <w:lang w:val="en-US"/>
        </w:rPr>
        <w:t xml:space="preserve">, 2018, p. 2495). Neo-classicalists </w:t>
      </w:r>
      <w:r w:rsidRPr="00B4111B">
        <w:rPr>
          <w:lang w:val="en-US"/>
        </w:rPr>
        <w:t>therefore paint global warming as a conventional pollution market failure</w:t>
      </w:r>
      <w:r w:rsidRPr="00B4111B">
        <w:rPr>
          <w:lang w:val="en-US"/>
        </w:rPr>
        <w:t xml:space="preserve"> (Atkinson &amp; Heckler, 2010, p. 11). By imposing a carbon tax, it sets a price on carbon equal to the social costs of producing the good, correcting this market failure, thus leading the market to a new optimal equilibrium (</w:t>
      </w:r>
      <w:proofErr w:type="spellStart"/>
      <w:r w:rsidRPr="00B4111B">
        <w:rPr>
          <w:lang w:val="en-US"/>
        </w:rPr>
        <w:t>Patt</w:t>
      </w:r>
      <w:proofErr w:type="spellEnd"/>
      <w:r w:rsidRPr="00B4111B">
        <w:rPr>
          <w:lang w:val="en-US"/>
        </w:rPr>
        <w:t xml:space="preserve"> &amp; </w:t>
      </w:r>
      <w:proofErr w:type="spellStart"/>
      <w:r w:rsidRPr="00B4111B">
        <w:rPr>
          <w:lang w:val="en-US"/>
        </w:rPr>
        <w:t>Lilliestam</w:t>
      </w:r>
      <w:proofErr w:type="spellEnd"/>
      <w:r w:rsidRPr="00B4111B">
        <w:rPr>
          <w:lang w:val="en-US"/>
        </w:rPr>
        <w:t xml:space="preserve">, 2018, p. 2495). </w:t>
      </w:r>
      <w:r w:rsidR="00EC5FFB" w:rsidRPr="00B4111B">
        <w:rPr>
          <w:lang w:val="en-US"/>
        </w:rPr>
        <w:t>A carbon tax is a market solution to combat the negative externality, so that producers, consumers both pay the price</w:t>
      </w:r>
      <w:r w:rsidR="00EC5FFB" w:rsidRPr="00B4111B">
        <w:rPr>
          <w:lang w:val="en-US"/>
        </w:rPr>
        <w:t xml:space="preserve"> (Atkinson &amp; Heckler, 2010, p. 11).</w:t>
      </w:r>
    </w:p>
    <w:p w14:paraId="15C21C06" w14:textId="77777777" w:rsidR="0020735D" w:rsidRPr="00B4111B" w:rsidRDefault="0020735D" w:rsidP="00B4111B">
      <w:pPr>
        <w:spacing w:line="360" w:lineRule="auto"/>
        <w:rPr>
          <w:lang w:val="en-US"/>
        </w:rPr>
      </w:pPr>
    </w:p>
    <w:p w14:paraId="60A05F46" w14:textId="10B701A7" w:rsidR="00E81068" w:rsidRPr="00B4111B" w:rsidRDefault="00240CD2" w:rsidP="00B4111B">
      <w:pPr>
        <w:spacing w:line="360" w:lineRule="auto"/>
        <w:rPr>
          <w:b/>
          <w:bCs/>
          <w:sz w:val="28"/>
          <w:szCs w:val="28"/>
          <w:lang w:val="en-US"/>
        </w:rPr>
      </w:pPr>
      <w:r w:rsidRPr="00B4111B">
        <w:rPr>
          <w:b/>
          <w:bCs/>
          <w:sz w:val="28"/>
          <w:szCs w:val="28"/>
          <w:lang w:val="en-US"/>
        </w:rPr>
        <w:t>Discussion</w:t>
      </w:r>
    </w:p>
    <w:p w14:paraId="48F77D33" w14:textId="77AA30A2" w:rsidR="00DA592D" w:rsidRPr="00B4111B" w:rsidRDefault="00DA592D" w:rsidP="00B4111B">
      <w:pPr>
        <w:spacing w:line="360" w:lineRule="auto"/>
        <w:rPr>
          <w:lang w:val="en-US"/>
        </w:rPr>
      </w:pPr>
      <w:r w:rsidRPr="00B4111B">
        <w:rPr>
          <w:lang w:val="en-US"/>
        </w:rPr>
        <w:t xml:space="preserve">By introducing a heavy carbon tax, it incentivizes people to avoid the use of fossil fuels. This is achieved through the market mechanism the tax brings along, which is higher production prices will lead to higher commodity prices </w:t>
      </w:r>
      <w:r w:rsidRPr="00B4111B">
        <w:rPr>
          <w:lang w:val="en-US"/>
        </w:rPr>
        <w:t>(Atkinson &amp; Heckler, 2010, p. 11).</w:t>
      </w:r>
      <w:r w:rsidRPr="00B4111B">
        <w:rPr>
          <w:lang w:val="en-US"/>
        </w:rPr>
        <w:t xml:space="preserve"> If consumers </w:t>
      </w:r>
      <w:r w:rsidR="00BB074E" w:rsidRPr="00B4111B">
        <w:rPr>
          <w:lang w:val="en-US"/>
        </w:rPr>
        <w:t>must</w:t>
      </w:r>
      <w:r w:rsidRPr="00B4111B">
        <w:rPr>
          <w:lang w:val="en-US"/>
        </w:rPr>
        <w:t xml:space="preserve"> pay a higher price for an item that is produced in </w:t>
      </w:r>
      <w:r w:rsidR="00BB074E" w:rsidRPr="00B4111B">
        <w:rPr>
          <w:lang w:val="en-US"/>
        </w:rPr>
        <w:t xml:space="preserve">an environmentally unfriendly way, with high </w:t>
      </w:r>
      <w:proofErr w:type="spellStart"/>
      <w:r w:rsidR="00BB074E" w:rsidRPr="00B4111B">
        <w:rPr>
          <w:lang w:val="en-US"/>
        </w:rPr>
        <w:t>GHG</w:t>
      </w:r>
      <w:proofErr w:type="spellEnd"/>
      <w:r w:rsidR="00BB074E" w:rsidRPr="00B4111B">
        <w:rPr>
          <w:lang w:val="en-US"/>
        </w:rPr>
        <w:t xml:space="preserve"> emissions, they will be encouraged to buy a cheaper product, manufactured using cleaner energy </w:t>
      </w:r>
      <w:r w:rsidR="00BB074E" w:rsidRPr="00B4111B">
        <w:rPr>
          <w:lang w:val="en-US"/>
        </w:rPr>
        <w:t>(Atkinson &amp; Heckler, 2010, p. 11).</w:t>
      </w:r>
      <w:r w:rsidR="00BB074E" w:rsidRPr="00B4111B">
        <w:rPr>
          <w:lang w:val="en-US"/>
        </w:rPr>
        <w:t xml:space="preserve"> This is an effective way of making people pay the price mirrored by the societal costs of producing the product </w:t>
      </w:r>
      <w:r w:rsidR="00BB074E" w:rsidRPr="00B4111B">
        <w:rPr>
          <w:lang w:val="en-US"/>
        </w:rPr>
        <w:t>(</w:t>
      </w:r>
      <w:proofErr w:type="spellStart"/>
      <w:r w:rsidR="00BB074E" w:rsidRPr="00B4111B">
        <w:rPr>
          <w:lang w:val="en-US"/>
        </w:rPr>
        <w:t>Patt</w:t>
      </w:r>
      <w:proofErr w:type="spellEnd"/>
      <w:r w:rsidR="00BB074E" w:rsidRPr="00B4111B">
        <w:rPr>
          <w:lang w:val="en-US"/>
        </w:rPr>
        <w:t xml:space="preserve"> &amp; </w:t>
      </w:r>
      <w:proofErr w:type="spellStart"/>
      <w:r w:rsidR="00BB074E" w:rsidRPr="00B4111B">
        <w:rPr>
          <w:lang w:val="en-US"/>
        </w:rPr>
        <w:t>Lilliestam</w:t>
      </w:r>
      <w:proofErr w:type="spellEnd"/>
      <w:r w:rsidR="00BB074E" w:rsidRPr="00B4111B">
        <w:rPr>
          <w:lang w:val="en-US"/>
        </w:rPr>
        <w:t>, 2018, p. 2495).</w:t>
      </w:r>
      <w:r w:rsidR="00BB074E" w:rsidRPr="00B4111B">
        <w:rPr>
          <w:lang w:val="en-US"/>
        </w:rPr>
        <w:t xml:space="preserve"> Some emissions will remain, because some are willing to pay the extra price, because they strongly prefer the product over the alternatives </w:t>
      </w:r>
      <w:r w:rsidR="00BB074E" w:rsidRPr="00B4111B">
        <w:rPr>
          <w:lang w:val="en-US"/>
        </w:rPr>
        <w:t>(</w:t>
      </w:r>
      <w:proofErr w:type="spellStart"/>
      <w:r w:rsidR="00BB074E" w:rsidRPr="00B4111B">
        <w:rPr>
          <w:lang w:val="en-US"/>
        </w:rPr>
        <w:t>Patt</w:t>
      </w:r>
      <w:proofErr w:type="spellEnd"/>
      <w:r w:rsidR="00BB074E" w:rsidRPr="00B4111B">
        <w:rPr>
          <w:lang w:val="en-US"/>
        </w:rPr>
        <w:t xml:space="preserve"> &amp; </w:t>
      </w:r>
      <w:proofErr w:type="spellStart"/>
      <w:r w:rsidR="00BB074E" w:rsidRPr="00B4111B">
        <w:rPr>
          <w:lang w:val="en-US"/>
        </w:rPr>
        <w:t>Lilliestam</w:t>
      </w:r>
      <w:proofErr w:type="spellEnd"/>
      <w:r w:rsidR="00BB074E" w:rsidRPr="00B4111B">
        <w:rPr>
          <w:lang w:val="en-US"/>
        </w:rPr>
        <w:t>, 2018, p. 2495).</w:t>
      </w:r>
      <w:r w:rsidR="00BB074E" w:rsidRPr="00B4111B">
        <w:rPr>
          <w:lang w:val="en-US"/>
        </w:rPr>
        <w:t xml:space="preserve"> An example of this is </w:t>
      </w:r>
      <w:r w:rsidR="0085370E" w:rsidRPr="00B4111B">
        <w:rPr>
          <w:lang w:val="en-US"/>
        </w:rPr>
        <w:t xml:space="preserve">the incentive to change from gasoline diesel cars to electric. If the price of gas increases, and/or the production of electric cars are subsidized or more environmentally friendly, it will be cheaper to own and drive electric, thus reducing </w:t>
      </w:r>
      <w:r w:rsidR="0085370E" w:rsidRPr="00B4111B">
        <w:rPr>
          <w:lang w:val="en-US"/>
        </w:rPr>
        <w:lastRenderedPageBreak/>
        <w:t xml:space="preserve">emissions. An example of </w:t>
      </w:r>
      <w:r w:rsidR="00315520" w:rsidRPr="00B4111B">
        <w:rPr>
          <w:lang w:val="en-US"/>
        </w:rPr>
        <w:t>such a big success of this can be found in Norway, where the Norwegian parliament set a goal that all new cars sold by 2025 should be zero-emission (</w:t>
      </w:r>
      <w:proofErr w:type="spellStart"/>
      <w:r w:rsidR="00315520" w:rsidRPr="00B4111B">
        <w:rPr>
          <w:lang w:val="en-US"/>
        </w:rPr>
        <w:t>Norsk</w:t>
      </w:r>
      <w:proofErr w:type="spellEnd"/>
      <w:r w:rsidR="00315520" w:rsidRPr="00B4111B">
        <w:rPr>
          <w:lang w:val="en-US"/>
        </w:rPr>
        <w:t xml:space="preserve"> </w:t>
      </w:r>
      <w:proofErr w:type="spellStart"/>
      <w:r w:rsidR="00315520" w:rsidRPr="00B4111B">
        <w:rPr>
          <w:lang w:val="en-US"/>
        </w:rPr>
        <w:t>elbilforening</w:t>
      </w:r>
      <w:proofErr w:type="spellEnd"/>
      <w:r w:rsidR="00315520" w:rsidRPr="00B4111B">
        <w:rPr>
          <w:lang w:val="en-US"/>
        </w:rPr>
        <w:t>, 2021). The result was that by the end of 2020, more than 330.000 registered battery electric cars were registered in Norway, holding a 54 % market share (</w:t>
      </w:r>
      <w:proofErr w:type="spellStart"/>
      <w:r w:rsidR="00315520" w:rsidRPr="00B4111B">
        <w:rPr>
          <w:lang w:val="en-US"/>
        </w:rPr>
        <w:t>Norsk</w:t>
      </w:r>
      <w:proofErr w:type="spellEnd"/>
      <w:r w:rsidR="00315520" w:rsidRPr="00B4111B">
        <w:rPr>
          <w:lang w:val="en-US"/>
        </w:rPr>
        <w:t xml:space="preserve"> </w:t>
      </w:r>
      <w:proofErr w:type="spellStart"/>
      <w:r w:rsidR="00315520" w:rsidRPr="00B4111B">
        <w:rPr>
          <w:lang w:val="en-US"/>
        </w:rPr>
        <w:t>elbilforening</w:t>
      </w:r>
      <w:proofErr w:type="spellEnd"/>
      <w:r w:rsidR="00315520" w:rsidRPr="00B4111B">
        <w:rPr>
          <w:lang w:val="en-US"/>
        </w:rPr>
        <w:t>, 2021). This success can be accounted for by well-put policy instruments and big incentives for consumers to choose greener cars, such as no road tolls, cheaper ferries, and exemption from 25 % VAT on purchase (</w:t>
      </w:r>
      <w:proofErr w:type="spellStart"/>
      <w:r w:rsidR="00315520" w:rsidRPr="00B4111B">
        <w:rPr>
          <w:lang w:val="en-US"/>
        </w:rPr>
        <w:t>Norsk</w:t>
      </w:r>
      <w:proofErr w:type="spellEnd"/>
      <w:r w:rsidR="00315520" w:rsidRPr="00B4111B">
        <w:rPr>
          <w:lang w:val="en-US"/>
        </w:rPr>
        <w:t xml:space="preserve"> </w:t>
      </w:r>
      <w:proofErr w:type="spellStart"/>
      <w:r w:rsidR="00315520" w:rsidRPr="00B4111B">
        <w:rPr>
          <w:lang w:val="en-US"/>
        </w:rPr>
        <w:t>elbilforening</w:t>
      </w:r>
      <w:proofErr w:type="spellEnd"/>
      <w:r w:rsidR="00315520" w:rsidRPr="00B4111B">
        <w:rPr>
          <w:lang w:val="en-US"/>
        </w:rPr>
        <w:t xml:space="preserve"> 2021). </w:t>
      </w:r>
    </w:p>
    <w:p w14:paraId="3C0E6A3E" w14:textId="100E9F19" w:rsidR="0085370E" w:rsidRPr="00B4111B" w:rsidRDefault="0085370E" w:rsidP="00B4111B">
      <w:pPr>
        <w:spacing w:line="360" w:lineRule="auto"/>
        <w:rPr>
          <w:lang w:val="en-US"/>
        </w:rPr>
      </w:pPr>
    </w:p>
    <w:p w14:paraId="6A1A8758" w14:textId="18BD60F5" w:rsidR="00112F20" w:rsidRPr="00B4111B" w:rsidRDefault="0085370E" w:rsidP="00B4111B">
      <w:pPr>
        <w:spacing w:line="360" w:lineRule="auto"/>
        <w:rPr>
          <w:lang w:val="en-US"/>
        </w:rPr>
      </w:pPr>
      <w:r w:rsidRPr="00B4111B">
        <w:rPr>
          <w:lang w:val="en-US"/>
        </w:rPr>
        <w:t xml:space="preserve">A heavy carbon tax also incentivizes companies to switch to cleaner and more renewable energy sources. Here, the argument for the people applies to companies as well. If a company has high </w:t>
      </w:r>
      <w:proofErr w:type="spellStart"/>
      <w:r w:rsidRPr="00B4111B">
        <w:rPr>
          <w:lang w:val="en-US"/>
        </w:rPr>
        <w:t>GHG</w:t>
      </w:r>
      <w:proofErr w:type="spellEnd"/>
      <w:r w:rsidRPr="00B4111B">
        <w:rPr>
          <w:lang w:val="en-US"/>
        </w:rPr>
        <w:t xml:space="preserve"> emissions, such as oil and gas companies, they should pay for the damage they induce on the climate </w:t>
      </w:r>
      <w:r w:rsidRPr="00B4111B">
        <w:rPr>
          <w:lang w:val="en-US"/>
        </w:rPr>
        <w:t>(</w:t>
      </w:r>
      <w:proofErr w:type="spellStart"/>
      <w:r w:rsidRPr="00B4111B">
        <w:rPr>
          <w:lang w:val="en-US"/>
        </w:rPr>
        <w:t>Patt</w:t>
      </w:r>
      <w:proofErr w:type="spellEnd"/>
      <w:r w:rsidRPr="00B4111B">
        <w:rPr>
          <w:lang w:val="en-US"/>
        </w:rPr>
        <w:t xml:space="preserve"> &amp; </w:t>
      </w:r>
      <w:proofErr w:type="spellStart"/>
      <w:r w:rsidRPr="00B4111B">
        <w:rPr>
          <w:lang w:val="en-US"/>
        </w:rPr>
        <w:t>Lilliestam</w:t>
      </w:r>
      <w:proofErr w:type="spellEnd"/>
      <w:r w:rsidRPr="00B4111B">
        <w:rPr>
          <w:lang w:val="en-US"/>
        </w:rPr>
        <w:t xml:space="preserve">, 2018, p. 2495). </w:t>
      </w:r>
      <w:r w:rsidRPr="00B4111B">
        <w:rPr>
          <w:lang w:val="en-US"/>
        </w:rPr>
        <w:t xml:space="preserve">However, this puts pressure on companies to transition faster, to mitigate losses from the carbon tax and potentially increase revenue </w:t>
      </w:r>
      <w:r w:rsidRPr="00B4111B">
        <w:rPr>
          <w:lang w:val="en-US"/>
        </w:rPr>
        <w:t>(Atkinson &amp; Heckler, 2010, p. 1</w:t>
      </w:r>
      <w:r w:rsidRPr="00B4111B">
        <w:rPr>
          <w:lang w:val="en-US"/>
        </w:rPr>
        <w:t>3</w:t>
      </w:r>
      <w:r w:rsidRPr="00B4111B">
        <w:rPr>
          <w:lang w:val="en-US"/>
        </w:rPr>
        <w:t>).</w:t>
      </w:r>
      <w:r w:rsidRPr="00B4111B">
        <w:rPr>
          <w:lang w:val="en-US"/>
        </w:rPr>
        <w:t xml:space="preserve"> Furthermore, this can stimulate innovation to find low-carbon alternatives to emission heavy production means </w:t>
      </w:r>
      <w:r w:rsidRPr="00B4111B">
        <w:rPr>
          <w:lang w:val="en-US"/>
        </w:rPr>
        <w:t>(Atkinson &amp; Heckler, 2010, p. 1</w:t>
      </w:r>
      <w:r w:rsidRPr="00B4111B">
        <w:rPr>
          <w:lang w:val="en-US"/>
        </w:rPr>
        <w:t>3</w:t>
      </w:r>
      <w:r w:rsidRPr="00B4111B">
        <w:rPr>
          <w:lang w:val="en-US"/>
        </w:rPr>
        <w:t>).</w:t>
      </w:r>
      <w:r w:rsidRPr="00B4111B">
        <w:rPr>
          <w:lang w:val="en-US"/>
        </w:rPr>
        <w:t xml:space="preserve"> It can also push for competition and innovation in renewable energy sources, making them cheaper and more available </w:t>
      </w:r>
      <w:r w:rsidRPr="00B4111B">
        <w:rPr>
          <w:lang w:val="en-US"/>
        </w:rPr>
        <w:t>(Atkinson &amp; Heckler, 2010, p. 1</w:t>
      </w:r>
      <w:r w:rsidRPr="00B4111B">
        <w:rPr>
          <w:lang w:val="en-US"/>
        </w:rPr>
        <w:t>3</w:t>
      </w:r>
      <w:r w:rsidRPr="00B4111B">
        <w:rPr>
          <w:lang w:val="en-US"/>
        </w:rPr>
        <w:t>).</w:t>
      </w:r>
      <w:r w:rsidR="00112F20" w:rsidRPr="00B4111B">
        <w:rPr>
          <w:lang w:val="en-US"/>
        </w:rPr>
        <w:t xml:space="preserve"> </w:t>
      </w:r>
      <w:r w:rsidR="00112F20" w:rsidRPr="00B4111B">
        <w:rPr>
          <w:lang w:val="en-US"/>
        </w:rPr>
        <w:t xml:space="preserve">In Norway, where there is a massive oil industry, policy has been set where all revenue from the carbon tax stemming from this sector (about 700 million $), will fund </w:t>
      </w:r>
      <w:r w:rsidR="00381736" w:rsidRPr="00B4111B">
        <w:rPr>
          <w:lang w:val="en-US"/>
        </w:rPr>
        <w:t>transitioning and innovation in renewable and clean energy (</w:t>
      </w:r>
      <w:proofErr w:type="spellStart"/>
      <w:r w:rsidR="00381736" w:rsidRPr="00B4111B">
        <w:rPr>
          <w:lang w:val="en-US"/>
        </w:rPr>
        <w:t>Brenne</w:t>
      </w:r>
      <w:proofErr w:type="spellEnd"/>
      <w:r w:rsidR="00381736" w:rsidRPr="00B4111B">
        <w:rPr>
          <w:lang w:val="en-US"/>
        </w:rPr>
        <w:t>, 2020).</w:t>
      </w:r>
    </w:p>
    <w:p w14:paraId="0DB6A6AB" w14:textId="77777777" w:rsidR="00DA592D" w:rsidRPr="00B4111B" w:rsidRDefault="00DA592D" w:rsidP="00B4111B">
      <w:pPr>
        <w:spacing w:line="360" w:lineRule="auto"/>
        <w:rPr>
          <w:lang w:val="en-US"/>
        </w:rPr>
      </w:pPr>
    </w:p>
    <w:p w14:paraId="0BC75AF6" w14:textId="598AD7EE" w:rsidR="00A242E9" w:rsidRPr="00B4111B" w:rsidRDefault="00A242E9" w:rsidP="00B4111B">
      <w:pPr>
        <w:spacing w:line="360" w:lineRule="auto"/>
        <w:rPr>
          <w:lang w:val="en-US"/>
        </w:rPr>
      </w:pPr>
      <w:r w:rsidRPr="00B4111B">
        <w:rPr>
          <w:lang w:val="en-US"/>
        </w:rPr>
        <w:t>The most obvious economic benefit from a heavy carbon tax is the increased government tax income. However, careful consideration is needed for how to spend this increased tax revenue.</w:t>
      </w:r>
      <w:r w:rsidR="000C07BD" w:rsidRPr="00B4111B">
        <w:rPr>
          <w:lang w:val="en-US"/>
        </w:rPr>
        <w:t xml:space="preserve"> An important way of spending it, will be to offset the burdens on consumers, producers and </w:t>
      </w:r>
      <w:proofErr w:type="gramStart"/>
      <w:r w:rsidR="000C07BD" w:rsidRPr="00B4111B">
        <w:rPr>
          <w:lang w:val="en-US"/>
        </w:rPr>
        <w:t>society as a whole</w:t>
      </w:r>
      <w:proofErr w:type="gramEnd"/>
      <w:r w:rsidR="000C07BD" w:rsidRPr="00B4111B">
        <w:rPr>
          <w:lang w:val="en-US"/>
        </w:rPr>
        <w:t xml:space="preserve"> </w:t>
      </w:r>
      <w:r w:rsidR="000C07BD" w:rsidRPr="00B4111B">
        <w:rPr>
          <w:lang w:val="en-US"/>
        </w:rPr>
        <w:t>(Marron &amp; Morris, 2016, p. 1).</w:t>
      </w:r>
      <w:r w:rsidR="000C07BD" w:rsidRPr="00B4111B">
        <w:rPr>
          <w:lang w:val="en-US"/>
        </w:rPr>
        <w:t xml:space="preserve"> It is especially important to reduce undesirable distributional harms, such as rural communities, who are more dependent on their cars and generally has a lower income, thus doubling down on these harms </w:t>
      </w:r>
      <w:r w:rsidR="000C07BD" w:rsidRPr="00B4111B">
        <w:rPr>
          <w:lang w:val="en-US"/>
        </w:rPr>
        <w:t xml:space="preserve">(Marron &amp; Morris, 2016, p. 1). </w:t>
      </w:r>
      <w:r w:rsidR="00DC6E80" w:rsidRPr="00B4111B">
        <w:rPr>
          <w:lang w:val="en-US"/>
        </w:rPr>
        <w:t>For the consumers, a carbon tax would increase prices for gasoline, electricity and other fossil fuel-based energy sources (</w:t>
      </w:r>
      <w:r w:rsidR="00DC6E80" w:rsidRPr="00B4111B">
        <w:rPr>
          <w:lang w:val="en-US"/>
        </w:rPr>
        <w:t>Marron &amp; Morris, 2016, p. 1).</w:t>
      </w:r>
      <w:r w:rsidR="00DC6E80" w:rsidRPr="00B4111B">
        <w:rPr>
          <w:lang w:val="en-US"/>
        </w:rPr>
        <w:t xml:space="preserve"> Lower income households often have a large share of their budgets allocated to energy, thus the more important offsetting some of these burdens on those who need it the most (</w:t>
      </w:r>
      <w:r w:rsidR="00DC6E80" w:rsidRPr="00B4111B">
        <w:rPr>
          <w:lang w:val="en-US"/>
        </w:rPr>
        <w:t>Marron &amp; Morris, 2016, p. 1).</w:t>
      </w:r>
      <w:r w:rsidR="00DC6E80" w:rsidRPr="00B4111B">
        <w:rPr>
          <w:lang w:val="en-US"/>
        </w:rPr>
        <w:t xml:space="preserve"> This is a clear advantage of a carbon tax over other climate policies, as it creates revenue that can help alleviate the burdens imposed on those who suffer the most (</w:t>
      </w:r>
      <w:r w:rsidR="00DC6E80" w:rsidRPr="00B4111B">
        <w:rPr>
          <w:lang w:val="en-US"/>
        </w:rPr>
        <w:t>Marron &amp; Morris, 2016, p. 1).</w:t>
      </w:r>
    </w:p>
    <w:p w14:paraId="7801BF36" w14:textId="77777777" w:rsidR="000C07BD" w:rsidRPr="00B4111B" w:rsidRDefault="000C07BD" w:rsidP="00B4111B">
      <w:pPr>
        <w:spacing w:line="360" w:lineRule="auto"/>
        <w:rPr>
          <w:lang w:val="en-US"/>
        </w:rPr>
      </w:pPr>
    </w:p>
    <w:p w14:paraId="014DA1AC" w14:textId="13C632EA" w:rsidR="0020735D" w:rsidRPr="00B4111B" w:rsidRDefault="008C710F" w:rsidP="00B4111B">
      <w:pPr>
        <w:spacing w:line="360" w:lineRule="auto"/>
        <w:rPr>
          <w:lang w:val="en-US"/>
        </w:rPr>
      </w:pPr>
      <w:r w:rsidRPr="00B4111B">
        <w:rPr>
          <w:lang w:val="en-US"/>
        </w:rPr>
        <w:t>Another benefit of i</w:t>
      </w:r>
      <w:r w:rsidR="00906C47" w:rsidRPr="00B4111B">
        <w:rPr>
          <w:lang w:val="en-US"/>
        </w:rPr>
        <w:t xml:space="preserve">mposing a carbon tax is </w:t>
      </w:r>
      <w:r w:rsidRPr="00B4111B">
        <w:rPr>
          <w:lang w:val="en-US"/>
        </w:rPr>
        <w:t xml:space="preserve">that it is </w:t>
      </w:r>
      <w:r w:rsidR="00906C47" w:rsidRPr="00B4111B">
        <w:rPr>
          <w:lang w:val="en-US"/>
        </w:rPr>
        <w:t xml:space="preserve">a very cost-effective way of reducing </w:t>
      </w:r>
      <w:proofErr w:type="spellStart"/>
      <w:r w:rsidR="00906C47" w:rsidRPr="00B4111B">
        <w:rPr>
          <w:lang w:val="en-US"/>
        </w:rPr>
        <w:t>GHG</w:t>
      </w:r>
      <w:proofErr w:type="spellEnd"/>
      <w:r w:rsidR="00906C47" w:rsidRPr="00B4111B">
        <w:rPr>
          <w:lang w:val="en-US"/>
        </w:rPr>
        <w:t xml:space="preserve"> emissions</w:t>
      </w:r>
      <w:r w:rsidR="00A242E9" w:rsidRPr="00B4111B">
        <w:rPr>
          <w:lang w:val="en-US"/>
        </w:rPr>
        <w:t xml:space="preserve"> and has become a very popular way of doing so, bringing in over 25 </w:t>
      </w:r>
      <w:r w:rsidR="00BF6E31" w:rsidRPr="00B4111B">
        <w:rPr>
          <w:lang w:val="en-US"/>
        </w:rPr>
        <w:t>b</w:t>
      </w:r>
      <w:r w:rsidR="00A242E9" w:rsidRPr="00B4111B">
        <w:rPr>
          <w:lang w:val="en-US"/>
        </w:rPr>
        <w:t xml:space="preserve">illion $ </w:t>
      </w:r>
      <w:r w:rsidRPr="00B4111B">
        <w:rPr>
          <w:lang w:val="en-US"/>
        </w:rPr>
        <w:t xml:space="preserve">worldwide, </w:t>
      </w:r>
      <w:r w:rsidR="00A242E9" w:rsidRPr="00B4111B">
        <w:rPr>
          <w:lang w:val="en-US"/>
        </w:rPr>
        <w:t>in 2018 (World Bank, p. 9)</w:t>
      </w:r>
      <w:r w:rsidR="00906C47" w:rsidRPr="00B4111B">
        <w:rPr>
          <w:lang w:val="en-US"/>
        </w:rPr>
        <w:t>.</w:t>
      </w:r>
      <w:r w:rsidR="00A242E9" w:rsidRPr="00B4111B">
        <w:rPr>
          <w:lang w:val="en-US"/>
        </w:rPr>
        <w:t xml:space="preserve"> The reason why it is so cost effective, lies in the market mechanisms it brings along with it. </w:t>
      </w:r>
      <w:r w:rsidR="00906C47" w:rsidRPr="00B4111B">
        <w:rPr>
          <w:lang w:val="en-US"/>
        </w:rPr>
        <w:t xml:space="preserve"> </w:t>
      </w:r>
      <w:r w:rsidR="0020735D" w:rsidRPr="00B4111B">
        <w:rPr>
          <w:lang w:val="en-US"/>
        </w:rPr>
        <w:t xml:space="preserve">By increasing the costs for producers to produce a </w:t>
      </w:r>
      <w:r w:rsidRPr="00B4111B">
        <w:rPr>
          <w:lang w:val="en-US"/>
        </w:rPr>
        <w:t>good</w:t>
      </w:r>
      <w:r w:rsidR="0020735D" w:rsidRPr="00B4111B">
        <w:rPr>
          <w:lang w:val="en-US"/>
        </w:rPr>
        <w:t>,</w:t>
      </w:r>
      <w:r w:rsidRPr="00B4111B">
        <w:rPr>
          <w:lang w:val="en-US"/>
        </w:rPr>
        <w:t xml:space="preserve"> through paying a tax on the </w:t>
      </w:r>
      <w:proofErr w:type="spellStart"/>
      <w:r w:rsidRPr="00B4111B">
        <w:rPr>
          <w:lang w:val="en-US"/>
        </w:rPr>
        <w:t>GHG</w:t>
      </w:r>
      <w:proofErr w:type="spellEnd"/>
      <w:r w:rsidRPr="00B4111B">
        <w:rPr>
          <w:lang w:val="en-US"/>
        </w:rPr>
        <w:t xml:space="preserve"> they emit,</w:t>
      </w:r>
      <w:r w:rsidR="0020735D" w:rsidRPr="00B4111B">
        <w:rPr>
          <w:lang w:val="en-US"/>
        </w:rPr>
        <w:t xml:space="preserve"> </w:t>
      </w:r>
      <w:r w:rsidRPr="00B4111B">
        <w:rPr>
          <w:lang w:val="en-US"/>
        </w:rPr>
        <w:t xml:space="preserve">the goods will become more expensive, thus </w:t>
      </w:r>
      <w:r w:rsidR="0020735D" w:rsidRPr="00B4111B">
        <w:rPr>
          <w:lang w:val="en-US"/>
        </w:rPr>
        <w:t xml:space="preserve">the market </w:t>
      </w:r>
      <w:r w:rsidRPr="00B4111B">
        <w:rPr>
          <w:lang w:val="en-US"/>
        </w:rPr>
        <w:t xml:space="preserve">incentivizes consumers to choose cheaper goods, which </w:t>
      </w:r>
      <w:r w:rsidR="00D76F06" w:rsidRPr="00B4111B">
        <w:rPr>
          <w:lang w:val="en-US"/>
        </w:rPr>
        <w:t xml:space="preserve">most likely </w:t>
      </w:r>
      <w:r w:rsidRPr="00B4111B">
        <w:rPr>
          <w:lang w:val="en-US"/>
        </w:rPr>
        <w:t>will have been produced in a more ecofriendly way</w:t>
      </w:r>
      <w:r w:rsidR="0066477F" w:rsidRPr="00B4111B">
        <w:rPr>
          <w:lang w:val="en-US"/>
        </w:rPr>
        <w:t xml:space="preserve"> (</w:t>
      </w:r>
      <w:r w:rsidR="0066477F" w:rsidRPr="00B4111B">
        <w:rPr>
          <w:lang w:val="en-US"/>
        </w:rPr>
        <w:t>Atkinson &amp; Heckler, 2010, p. 11).</w:t>
      </w:r>
      <w:r w:rsidR="003D0333" w:rsidRPr="00B4111B">
        <w:rPr>
          <w:lang w:val="en-US"/>
        </w:rPr>
        <w:t xml:space="preserve"> </w:t>
      </w:r>
      <w:r w:rsidR="0066477F" w:rsidRPr="00B4111B">
        <w:rPr>
          <w:lang w:val="en-US"/>
        </w:rPr>
        <w:t xml:space="preserve">However, </w:t>
      </w:r>
      <w:r w:rsidR="003D0333" w:rsidRPr="00B4111B">
        <w:rPr>
          <w:lang w:val="en-US"/>
        </w:rPr>
        <w:t>this</w:t>
      </w:r>
      <w:r w:rsidR="0066477F" w:rsidRPr="00B4111B">
        <w:rPr>
          <w:lang w:val="en-US"/>
        </w:rPr>
        <w:t xml:space="preserve"> will lead to a decrease in the fossil fuel markets, which in turn, will result in closures and layoffs in </w:t>
      </w:r>
      <w:r w:rsidR="003D0333" w:rsidRPr="00B4111B">
        <w:rPr>
          <w:lang w:val="en-US"/>
        </w:rPr>
        <w:t xml:space="preserve">fossil fuel industries, especially coal </w:t>
      </w:r>
      <w:r w:rsidR="003D0333" w:rsidRPr="00B4111B">
        <w:rPr>
          <w:lang w:val="en-US"/>
        </w:rPr>
        <w:t xml:space="preserve">(Marron &amp; Morris, 2016, p. </w:t>
      </w:r>
      <w:r w:rsidR="003D0333" w:rsidRPr="00B4111B">
        <w:rPr>
          <w:lang w:val="en-US"/>
        </w:rPr>
        <w:t>2). But, spending some of the revenue from the carbon tax can be used to finance the transition over to new greener industries, like wind or solar. If the affected workers are re-trained to work in more ecofriendly industries, it will offset the social consequences of the impact of the carbon tax on these industries.</w:t>
      </w:r>
    </w:p>
    <w:p w14:paraId="0C5B8D64" w14:textId="2F4BDACB" w:rsidR="003D0333" w:rsidRPr="00B4111B" w:rsidRDefault="003D0333" w:rsidP="00B4111B">
      <w:pPr>
        <w:spacing w:line="360" w:lineRule="auto"/>
        <w:rPr>
          <w:lang w:val="en-US"/>
        </w:rPr>
      </w:pPr>
    </w:p>
    <w:p w14:paraId="40F0C453" w14:textId="3D315EE3" w:rsidR="00CF668D" w:rsidRDefault="003D0333" w:rsidP="00B4111B">
      <w:pPr>
        <w:spacing w:line="360" w:lineRule="auto"/>
        <w:rPr>
          <w:lang w:val="en-US"/>
        </w:rPr>
      </w:pPr>
      <w:r w:rsidRPr="00B4111B">
        <w:rPr>
          <w:lang w:val="en-US"/>
        </w:rPr>
        <w:t xml:space="preserve">Another way to spend the revenue from the carbon tax, is to invest it to pursue further emission reductions, thus amplifying the climate benefits of imposing it </w:t>
      </w:r>
      <w:r w:rsidRPr="00B4111B">
        <w:rPr>
          <w:lang w:val="en-US"/>
        </w:rPr>
        <w:t xml:space="preserve">(Marron &amp; Morris, 2016, p. </w:t>
      </w:r>
      <w:r w:rsidRPr="00B4111B">
        <w:rPr>
          <w:lang w:val="en-US"/>
        </w:rPr>
        <w:t>3</w:t>
      </w:r>
      <w:r w:rsidRPr="00B4111B">
        <w:rPr>
          <w:lang w:val="en-US"/>
        </w:rPr>
        <w:t>).</w:t>
      </w:r>
      <w:r w:rsidR="002362F5" w:rsidRPr="00B4111B">
        <w:rPr>
          <w:lang w:val="en-US"/>
        </w:rPr>
        <w:t xml:space="preserve"> This can build support among the public who are skeptical to price signaling or doubt the tax price will be high enough </w:t>
      </w:r>
      <w:r w:rsidR="002362F5" w:rsidRPr="00B4111B">
        <w:rPr>
          <w:lang w:val="en-US"/>
        </w:rPr>
        <w:t xml:space="preserve">(Marron &amp; Morris, 2016, p. </w:t>
      </w:r>
      <w:r w:rsidR="002362F5" w:rsidRPr="00B4111B">
        <w:rPr>
          <w:lang w:val="en-US"/>
        </w:rPr>
        <w:t>3</w:t>
      </w:r>
      <w:r w:rsidR="002362F5" w:rsidRPr="00B4111B">
        <w:rPr>
          <w:lang w:val="en-US"/>
        </w:rPr>
        <w:t>).</w:t>
      </w:r>
      <w:r w:rsidR="002362F5" w:rsidRPr="00B4111B">
        <w:rPr>
          <w:lang w:val="en-US"/>
        </w:rPr>
        <w:t xml:space="preserve"> By introducing subsidizing policies, funded by the carbon tax revenue, aimed at filling the gap where the behavioral changes the tax misses, such as pollution cleanup etc. </w:t>
      </w:r>
      <w:r w:rsidR="002362F5" w:rsidRPr="00B4111B">
        <w:rPr>
          <w:lang w:val="en-US"/>
        </w:rPr>
        <w:t xml:space="preserve">(Marron &amp; Morris, 2016, p. </w:t>
      </w:r>
      <w:r w:rsidR="002362F5" w:rsidRPr="00B4111B">
        <w:rPr>
          <w:lang w:val="en-US"/>
        </w:rPr>
        <w:t>3</w:t>
      </w:r>
      <w:r w:rsidR="002362F5" w:rsidRPr="00B4111B">
        <w:rPr>
          <w:lang w:val="en-US"/>
        </w:rPr>
        <w:t>).</w:t>
      </w:r>
      <w:r w:rsidR="002362F5" w:rsidRPr="00B4111B">
        <w:rPr>
          <w:lang w:val="en-US"/>
        </w:rPr>
        <w:t xml:space="preserve"> Subsidies can also be spent to encourage the same behavioral changes as the tax, for example, the public could be incentivized to install rooftop solar panels or funding to power companies for building and operating renewable energy sources </w:t>
      </w:r>
      <w:r w:rsidR="002362F5" w:rsidRPr="00B4111B">
        <w:rPr>
          <w:lang w:val="en-US"/>
        </w:rPr>
        <w:t xml:space="preserve">(Marron &amp; Morris, 2016, p. </w:t>
      </w:r>
      <w:r w:rsidR="002362F5" w:rsidRPr="00B4111B">
        <w:rPr>
          <w:lang w:val="en-US"/>
        </w:rPr>
        <w:t>3</w:t>
      </w:r>
      <w:r w:rsidR="002362F5" w:rsidRPr="00B4111B">
        <w:rPr>
          <w:lang w:val="en-US"/>
        </w:rPr>
        <w:t>).</w:t>
      </w:r>
      <w:r w:rsidR="00CF668D" w:rsidRPr="00B4111B">
        <w:rPr>
          <w:lang w:val="en-US"/>
        </w:rPr>
        <w:t xml:space="preserve"> These policies can also aim at businesses and people who have already chosen cleaner or renewable energy sources, this could be tax-cuts, which the revenue of the carbon tax would offset </w:t>
      </w:r>
      <w:r w:rsidR="00CF668D" w:rsidRPr="00B4111B">
        <w:rPr>
          <w:lang w:val="en-US"/>
        </w:rPr>
        <w:t xml:space="preserve">(Marron &amp; Morris, 2016, p. </w:t>
      </w:r>
      <w:r w:rsidR="00CF668D" w:rsidRPr="00B4111B">
        <w:rPr>
          <w:lang w:val="en-US"/>
        </w:rPr>
        <w:t>3</w:t>
      </w:r>
      <w:r w:rsidR="00CF668D" w:rsidRPr="00B4111B">
        <w:rPr>
          <w:lang w:val="en-US"/>
        </w:rPr>
        <w:t>).</w:t>
      </w:r>
      <w:r w:rsidR="00CF668D" w:rsidRPr="00B4111B">
        <w:rPr>
          <w:lang w:val="en-US"/>
        </w:rPr>
        <w:t xml:space="preserve"> However, their cost may surpass the benefits they offer, as subsidies are less effective at correcting externalities than imposing an equivalent tax </w:t>
      </w:r>
      <w:r w:rsidR="00CF668D" w:rsidRPr="00B4111B">
        <w:rPr>
          <w:lang w:val="en-US"/>
        </w:rPr>
        <w:t xml:space="preserve">(Marron &amp; Morris, 2016, p. </w:t>
      </w:r>
      <w:r w:rsidR="00CF668D" w:rsidRPr="00B4111B">
        <w:rPr>
          <w:lang w:val="en-US"/>
        </w:rPr>
        <w:t>3</w:t>
      </w:r>
      <w:r w:rsidR="00CF668D" w:rsidRPr="00B4111B">
        <w:rPr>
          <w:lang w:val="en-US"/>
        </w:rPr>
        <w:t>).</w:t>
      </w:r>
      <w:r w:rsidR="00CF668D" w:rsidRPr="00B4111B">
        <w:rPr>
          <w:lang w:val="en-US"/>
        </w:rPr>
        <w:t xml:space="preserve"> A study by </w:t>
      </w:r>
      <w:proofErr w:type="spellStart"/>
      <w:r w:rsidR="00CF668D" w:rsidRPr="00B4111B">
        <w:rPr>
          <w:lang w:val="en-US"/>
        </w:rPr>
        <w:t>McKibbin</w:t>
      </w:r>
      <w:proofErr w:type="spellEnd"/>
      <w:r w:rsidR="00CF668D" w:rsidRPr="00B4111B">
        <w:rPr>
          <w:lang w:val="en-US"/>
        </w:rPr>
        <w:t xml:space="preserve">, Morris, and </w:t>
      </w:r>
      <w:proofErr w:type="spellStart"/>
      <w:r w:rsidR="00CF668D" w:rsidRPr="00B4111B">
        <w:rPr>
          <w:lang w:val="en-US"/>
        </w:rPr>
        <w:t>Wilcoxen</w:t>
      </w:r>
      <w:proofErr w:type="spellEnd"/>
      <w:r w:rsidR="00CF668D" w:rsidRPr="00B4111B">
        <w:rPr>
          <w:lang w:val="en-US"/>
        </w:rPr>
        <w:t xml:space="preserve"> (2011) show that in the US, a carbon tax would bring in 20 times more reductions in </w:t>
      </w:r>
      <w:proofErr w:type="spellStart"/>
      <w:r w:rsidR="00CF668D" w:rsidRPr="00B4111B">
        <w:rPr>
          <w:lang w:val="en-US"/>
        </w:rPr>
        <w:t>GHG</w:t>
      </w:r>
      <w:proofErr w:type="spellEnd"/>
      <w:r w:rsidR="00CF668D" w:rsidRPr="00B4111B">
        <w:rPr>
          <w:lang w:val="en-US"/>
        </w:rPr>
        <w:t xml:space="preserve"> emissions than an equivalent subsidy for cleaner and more energy efficient household items </w:t>
      </w:r>
      <w:r w:rsidR="00CF668D" w:rsidRPr="00B4111B">
        <w:rPr>
          <w:lang w:val="en-US"/>
        </w:rPr>
        <w:t xml:space="preserve">(Marron &amp; Morris, 2016, p. </w:t>
      </w:r>
      <w:r w:rsidR="00CF668D" w:rsidRPr="00B4111B">
        <w:rPr>
          <w:lang w:val="en-US"/>
        </w:rPr>
        <w:t>3</w:t>
      </w:r>
      <w:r w:rsidR="00CF668D" w:rsidRPr="00B4111B">
        <w:rPr>
          <w:lang w:val="en-US"/>
        </w:rPr>
        <w:t>).</w:t>
      </w:r>
    </w:p>
    <w:p w14:paraId="2A11FAF1" w14:textId="33E36A02" w:rsidR="00A5104A" w:rsidRDefault="00A5104A" w:rsidP="00B4111B">
      <w:pPr>
        <w:spacing w:line="360" w:lineRule="auto"/>
        <w:rPr>
          <w:lang w:val="en-US"/>
        </w:rPr>
      </w:pPr>
      <w:r>
        <w:rPr>
          <w:lang w:val="en-US"/>
        </w:rPr>
        <w:t>A final approach to sp</w:t>
      </w:r>
      <w:r w:rsidR="00C24D97">
        <w:rPr>
          <w:lang w:val="en-US"/>
        </w:rPr>
        <w:t>ending carbon tax revenue is to use it for public purposes, such as lower taxes, reduced borrowing</w:t>
      </w:r>
      <w:r w:rsidR="00D17315">
        <w:rPr>
          <w:lang w:val="en-US"/>
        </w:rPr>
        <w:t xml:space="preserve"> or higher government spending </w:t>
      </w:r>
      <w:r w:rsidR="00D17315" w:rsidRPr="00B4111B">
        <w:rPr>
          <w:lang w:val="en-US"/>
        </w:rPr>
        <w:t xml:space="preserve">(Marron &amp; Morris, 2016, p. </w:t>
      </w:r>
      <w:r w:rsidR="00D17315">
        <w:rPr>
          <w:lang w:val="en-US"/>
        </w:rPr>
        <w:t>5</w:t>
      </w:r>
      <w:r w:rsidR="00D17315" w:rsidRPr="00B4111B">
        <w:rPr>
          <w:lang w:val="en-US"/>
        </w:rPr>
        <w:t>).</w:t>
      </w:r>
      <w:r w:rsidR="000008D7">
        <w:rPr>
          <w:lang w:val="en-US"/>
        </w:rPr>
        <w:t xml:space="preserve"> By </w:t>
      </w:r>
      <w:r w:rsidR="000008D7">
        <w:rPr>
          <w:lang w:val="en-US"/>
        </w:rPr>
        <w:lastRenderedPageBreak/>
        <w:t>doing so, it woul</w:t>
      </w:r>
      <w:r w:rsidR="00526B71">
        <w:rPr>
          <w:lang w:val="en-US"/>
        </w:rPr>
        <w:t xml:space="preserve">d gain further public support, since the tax revenue will go back to the public. </w:t>
      </w:r>
      <w:r w:rsidR="008D12C4">
        <w:rPr>
          <w:lang w:val="en-US"/>
        </w:rPr>
        <w:t xml:space="preserve">It can </w:t>
      </w:r>
      <w:r w:rsidR="00D62229">
        <w:rPr>
          <w:lang w:val="en-US"/>
        </w:rPr>
        <w:t xml:space="preserve">also </w:t>
      </w:r>
      <w:r w:rsidR="008D12C4">
        <w:rPr>
          <w:lang w:val="en-US"/>
        </w:rPr>
        <w:t xml:space="preserve">be a great tool to </w:t>
      </w:r>
      <w:r w:rsidR="00C47B8E">
        <w:rPr>
          <w:lang w:val="en-US"/>
        </w:rPr>
        <w:t>balance national budgets</w:t>
      </w:r>
      <w:r w:rsidR="00EE1776">
        <w:rPr>
          <w:lang w:val="en-US"/>
        </w:rPr>
        <w:t>. Most nations undergo national budget deficits</w:t>
      </w:r>
      <w:r w:rsidR="007A2BA4">
        <w:rPr>
          <w:lang w:val="en-US"/>
        </w:rPr>
        <w:t xml:space="preserve">, and the increased tax revenue can be used to balance </w:t>
      </w:r>
      <w:r w:rsidR="00EC08B0">
        <w:rPr>
          <w:lang w:val="en-US"/>
        </w:rPr>
        <w:t xml:space="preserve">these budgets, thus </w:t>
      </w:r>
      <w:r w:rsidR="001B56E1">
        <w:rPr>
          <w:lang w:val="en-US"/>
        </w:rPr>
        <w:t xml:space="preserve">avoids worsening the deficits </w:t>
      </w:r>
      <w:r w:rsidR="001B56E1">
        <w:rPr>
          <w:lang w:val="en-US"/>
        </w:rPr>
        <w:t xml:space="preserve">and potentially </w:t>
      </w:r>
      <w:r w:rsidR="00EC08B0">
        <w:rPr>
          <w:lang w:val="en-US"/>
        </w:rPr>
        <w:t>lowering national debt</w:t>
      </w:r>
      <w:r w:rsidR="001B56E1">
        <w:rPr>
          <w:lang w:val="en-US"/>
        </w:rPr>
        <w:t xml:space="preserve"> </w:t>
      </w:r>
      <w:r w:rsidR="00EC08B0">
        <w:rPr>
          <w:lang w:val="en-US"/>
        </w:rPr>
        <w:t xml:space="preserve">(OECD, 2021). </w:t>
      </w:r>
    </w:p>
    <w:p w14:paraId="11D70126" w14:textId="77777777" w:rsidR="00A5104A" w:rsidRPr="00B4111B" w:rsidRDefault="00A5104A" w:rsidP="00B4111B">
      <w:pPr>
        <w:spacing w:line="360" w:lineRule="auto"/>
        <w:rPr>
          <w:lang w:val="en-US"/>
        </w:rPr>
      </w:pPr>
    </w:p>
    <w:p w14:paraId="1C640EF1" w14:textId="40210684" w:rsidR="00CF668D" w:rsidRPr="00B4111B" w:rsidRDefault="00505263" w:rsidP="00B4111B">
      <w:pPr>
        <w:spacing w:line="360" w:lineRule="auto"/>
        <w:rPr>
          <w:b/>
          <w:bCs/>
          <w:lang w:val="en-US"/>
        </w:rPr>
      </w:pPr>
      <w:r w:rsidRPr="00B4111B">
        <w:rPr>
          <w:b/>
          <w:bCs/>
          <w:lang w:val="en-US"/>
        </w:rPr>
        <w:t>Conclusion</w:t>
      </w:r>
    </w:p>
    <w:p w14:paraId="4E03C7D9" w14:textId="06545C80" w:rsidR="00505263" w:rsidRPr="00B4111B" w:rsidRDefault="0018115C" w:rsidP="00B4111B">
      <w:pPr>
        <w:spacing w:line="360" w:lineRule="auto"/>
        <w:rPr>
          <w:lang w:val="en-US"/>
        </w:rPr>
      </w:pPr>
      <w:r w:rsidRPr="00B4111B">
        <w:rPr>
          <w:lang w:val="en-US"/>
        </w:rPr>
        <w:t>A carbon tax can be a very</w:t>
      </w:r>
      <w:r w:rsidR="003C4FA7" w:rsidRPr="00B4111B">
        <w:rPr>
          <w:lang w:val="en-US"/>
        </w:rPr>
        <w:t xml:space="preserve"> cheap and</w:t>
      </w:r>
      <w:r w:rsidRPr="00B4111B">
        <w:rPr>
          <w:lang w:val="en-US"/>
        </w:rPr>
        <w:t xml:space="preserve"> efficient </w:t>
      </w:r>
      <w:proofErr w:type="spellStart"/>
      <w:r w:rsidRPr="00B4111B">
        <w:rPr>
          <w:lang w:val="en-US"/>
        </w:rPr>
        <w:t>GHG</w:t>
      </w:r>
      <w:proofErr w:type="spellEnd"/>
      <w:r w:rsidRPr="00B4111B">
        <w:rPr>
          <w:lang w:val="en-US"/>
        </w:rPr>
        <w:t xml:space="preserve"> mitigation policy,</w:t>
      </w:r>
      <w:r w:rsidR="003C4FA7" w:rsidRPr="00B4111B">
        <w:rPr>
          <w:lang w:val="en-US"/>
        </w:rPr>
        <w:t xml:space="preserve"> in contrast to other emission redu</w:t>
      </w:r>
      <w:r w:rsidR="00432382" w:rsidRPr="00B4111B">
        <w:rPr>
          <w:lang w:val="en-US"/>
        </w:rPr>
        <w:t>ction policies. It incentivizes both the public and companies to reduce their emissions by</w:t>
      </w:r>
      <w:r w:rsidR="0004473E" w:rsidRPr="00B4111B">
        <w:rPr>
          <w:lang w:val="en-US"/>
        </w:rPr>
        <w:t xml:space="preserve"> market mechanisms induced by the carbon tax</w:t>
      </w:r>
      <w:r w:rsidR="00915DB3" w:rsidRPr="00B4111B">
        <w:rPr>
          <w:lang w:val="en-US"/>
        </w:rPr>
        <w:t xml:space="preserve">. One reason for the tax´s effectiveness is the fact that the polluter </w:t>
      </w:r>
      <w:r w:rsidR="00AC596E" w:rsidRPr="00B4111B">
        <w:rPr>
          <w:lang w:val="en-US"/>
        </w:rPr>
        <w:t>must</w:t>
      </w:r>
      <w:r w:rsidR="00915DB3" w:rsidRPr="00B4111B">
        <w:rPr>
          <w:lang w:val="en-US"/>
        </w:rPr>
        <w:t xml:space="preserve"> pay for its emissions</w:t>
      </w:r>
      <w:r w:rsidR="00AC630E" w:rsidRPr="00B4111B">
        <w:rPr>
          <w:lang w:val="en-US"/>
        </w:rPr>
        <w:t>, correcting this market failure</w:t>
      </w:r>
      <w:r w:rsidR="00AC596E" w:rsidRPr="00B4111B">
        <w:rPr>
          <w:lang w:val="en-US"/>
        </w:rPr>
        <w:t xml:space="preserve">. It can also </w:t>
      </w:r>
      <w:r w:rsidR="000C1A00" w:rsidRPr="00B4111B">
        <w:rPr>
          <w:lang w:val="en-US"/>
        </w:rPr>
        <w:t xml:space="preserve">encourage companies and the public to switch to more environmentally friendly energy sources </w:t>
      </w:r>
      <w:r w:rsidR="0085510C" w:rsidRPr="00B4111B">
        <w:rPr>
          <w:lang w:val="en-US"/>
        </w:rPr>
        <w:t xml:space="preserve">more quickly, because they </w:t>
      </w:r>
      <w:proofErr w:type="gramStart"/>
      <w:r w:rsidR="0085510C" w:rsidRPr="00B4111B">
        <w:rPr>
          <w:lang w:val="en-US"/>
        </w:rPr>
        <w:t>have to</w:t>
      </w:r>
      <w:proofErr w:type="gramEnd"/>
      <w:r w:rsidR="0085510C" w:rsidRPr="00B4111B">
        <w:rPr>
          <w:lang w:val="en-US"/>
        </w:rPr>
        <w:t xml:space="preserve"> pay for their pollution, either as a producer or consumer. </w:t>
      </w:r>
      <w:r w:rsidR="00F53C2E" w:rsidRPr="00B4111B">
        <w:rPr>
          <w:lang w:val="en-US"/>
        </w:rPr>
        <w:t>It also stimulates</w:t>
      </w:r>
      <w:r w:rsidR="006C2215" w:rsidRPr="00B4111B">
        <w:rPr>
          <w:lang w:val="en-US"/>
        </w:rPr>
        <w:t xml:space="preserve"> innovation to find less expensive and more available clean energy sources.</w:t>
      </w:r>
      <w:r w:rsidR="00D04544" w:rsidRPr="00B4111B">
        <w:rPr>
          <w:lang w:val="en-US"/>
        </w:rPr>
        <w:t xml:space="preserve"> A carbon tax can also bring in enormous tax revenue, which can be spent to offset negative externalities of the tax or </w:t>
      </w:r>
      <w:r w:rsidR="00334A62" w:rsidRPr="00B4111B">
        <w:rPr>
          <w:lang w:val="en-US"/>
        </w:rPr>
        <w:t>invest in further emissions reduction policies.</w:t>
      </w:r>
      <w:r w:rsidR="00F819F5" w:rsidRPr="00B4111B">
        <w:rPr>
          <w:lang w:val="en-US"/>
        </w:rPr>
        <w:t xml:space="preserve"> </w:t>
      </w:r>
      <w:r w:rsidR="00191B8F" w:rsidRPr="00B4111B">
        <w:rPr>
          <w:lang w:val="en-US"/>
        </w:rPr>
        <w:t>Finally, a</w:t>
      </w:r>
      <w:r w:rsidR="00DA482B" w:rsidRPr="00B4111B">
        <w:rPr>
          <w:lang w:val="en-US"/>
        </w:rPr>
        <w:t xml:space="preserve"> carbon tax is </w:t>
      </w:r>
      <w:r w:rsidR="00FE7AB6" w:rsidRPr="00B4111B">
        <w:rPr>
          <w:lang w:val="en-US"/>
        </w:rPr>
        <w:t xml:space="preserve">a </w:t>
      </w:r>
      <w:proofErr w:type="spellStart"/>
      <w:r w:rsidR="00FE7AB6" w:rsidRPr="00B4111B">
        <w:rPr>
          <w:lang w:val="en-US"/>
        </w:rPr>
        <w:t>GHG</w:t>
      </w:r>
      <w:proofErr w:type="spellEnd"/>
      <w:r w:rsidR="00FE7AB6" w:rsidRPr="00B4111B">
        <w:rPr>
          <w:lang w:val="en-US"/>
        </w:rPr>
        <w:t xml:space="preserve"> mitigation policy that is easy to understand</w:t>
      </w:r>
      <w:r w:rsidR="007E272F" w:rsidRPr="00B4111B">
        <w:rPr>
          <w:lang w:val="en-US"/>
        </w:rPr>
        <w:t>, effective</w:t>
      </w:r>
      <w:r w:rsidR="00191B8F" w:rsidRPr="00B4111B">
        <w:rPr>
          <w:lang w:val="en-US"/>
        </w:rPr>
        <w:t xml:space="preserve"> and readily available for all policymakers</w:t>
      </w:r>
      <w:r w:rsidR="007E272F" w:rsidRPr="00B4111B">
        <w:rPr>
          <w:lang w:val="en-US"/>
        </w:rPr>
        <w:t xml:space="preserve">, however, </w:t>
      </w:r>
      <w:r w:rsidR="00A358E0" w:rsidRPr="00B4111B">
        <w:rPr>
          <w:lang w:val="en-US"/>
        </w:rPr>
        <w:t xml:space="preserve">careful consideration must be considered on how to spend this increased revenue. </w:t>
      </w:r>
    </w:p>
    <w:p w14:paraId="6357AF22" w14:textId="35E68976" w:rsidR="004E0252" w:rsidRPr="00B4111B" w:rsidRDefault="004E0252" w:rsidP="00B4111B">
      <w:pPr>
        <w:spacing w:line="360" w:lineRule="auto"/>
        <w:rPr>
          <w:lang w:val="en-US"/>
        </w:rPr>
      </w:pPr>
    </w:p>
    <w:p w14:paraId="68345319" w14:textId="3A64E11D" w:rsidR="004E0252" w:rsidRPr="00B4111B" w:rsidRDefault="004E0252" w:rsidP="00B4111B">
      <w:pPr>
        <w:spacing w:line="360" w:lineRule="auto"/>
        <w:rPr>
          <w:lang w:val="en-US"/>
        </w:rPr>
      </w:pPr>
    </w:p>
    <w:p w14:paraId="130E5D87" w14:textId="5D9E78EC" w:rsidR="002362F5" w:rsidRPr="00B4111B" w:rsidRDefault="002362F5" w:rsidP="00B4111B">
      <w:pPr>
        <w:spacing w:line="360" w:lineRule="auto"/>
        <w:rPr>
          <w:lang w:val="en-US"/>
        </w:rPr>
      </w:pPr>
    </w:p>
    <w:p w14:paraId="18F63F0C" w14:textId="2926B0B4" w:rsidR="003D0333" w:rsidRPr="00B4111B" w:rsidRDefault="003D0333" w:rsidP="00B4111B">
      <w:pPr>
        <w:spacing w:line="360" w:lineRule="auto"/>
        <w:rPr>
          <w:lang w:val="en-US"/>
        </w:rPr>
      </w:pPr>
    </w:p>
    <w:p w14:paraId="0C1570B2" w14:textId="39DD6B14" w:rsidR="003D0333" w:rsidRPr="00B4111B" w:rsidRDefault="003D0333" w:rsidP="00B4111B">
      <w:pPr>
        <w:spacing w:line="360" w:lineRule="auto"/>
        <w:rPr>
          <w:lang w:val="en-US"/>
        </w:rPr>
      </w:pPr>
      <w:r w:rsidRPr="00B4111B">
        <w:rPr>
          <w:lang w:val="en-US"/>
        </w:rPr>
        <w:t xml:space="preserve"> </w:t>
      </w:r>
    </w:p>
    <w:p w14:paraId="30EE15E2" w14:textId="01336FED" w:rsidR="0020735D" w:rsidRPr="00B4111B" w:rsidRDefault="0020735D" w:rsidP="00B4111B">
      <w:pPr>
        <w:spacing w:line="360" w:lineRule="auto"/>
        <w:rPr>
          <w:lang w:val="en-US"/>
        </w:rPr>
      </w:pPr>
    </w:p>
    <w:p w14:paraId="41FD12AD" w14:textId="77777777" w:rsidR="0020735D" w:rsidRPr="00B4111B" w:rsidRDefault="0020735D" w:rsidP="00B4111B">
      <w:pPr>
        <w:spacing w:line="360" w:lineRule="auto"/>
        <w:rPr>
          <w:lang w:val="en-US"/>
        </w:rPr>
      </w:pPr>
    </w:p>
    <w:p w14:paraId="6BD15E1E" w14:textId="77777777" w:rsidR="00906C47" w:rsidRPr="00B4111B" w:rsidRDefault="00906C47" w:rsidP="00B4111B">
      <w:pPr>
        <w:spacing w:line="360" w:lineRule="auto"/>
        <w:rPr>
          <w:lang w:val="en-US"/>
        </w:rPr>
      </w:pPr>
    </w:p>
    <w:p w14:paraId="648A6E24" w14:textId="77777777" w:rsidR="00906C47" w:rsidRPr="00B4111B" w:rsidRDefault="00906C47" w:rsidP="00B4111B">
      <w:pPr>
        <w:spacing w:line="360" w:lineRule="auto"/>
        <w:rPr>
          <w:lang w:val="en-US"/>
        </w:rPr>
      </w:pPr>
    </w:p>
    <w:p w14:paraId="5C8EC5AC" w14:textId="77777777" w:rsidR="00906C47" w:rsidRPr="00B4111B" w:rsidRDefault="00906C47" w:rsidP="00B4111B">
      <w:pPr>
        <w:spacing w:line="360" w:lineRule="auto"/>
        <w:rPr>
          <w:lang w:val="en-US"/>
        </w:rPr>
      </w:pPr>
    </w:p>
    <w:p w14:paraId="4AD8CD7A" w14:textId="5F7EE1FC" w:rsidR="00861FE1" w:rsidRDefault="00861FE1" w:rsidP="00B4111B">
      <w:pPr>
        <w:spacing w:line="360" w:lineRule="auto"/>
        <w:rPr>
          <w:lang w:val="en-US"/>
        </w:rPr>
      </w:pPr>
    </w:p>
    <w:p w14:paraId="21B07C08" w14:textId="0A92FF93" w:rsidR="00B13F19" w:rsidRDefault="00B13F19" w:rsidP="00B4111B">
      <w:pPr>
        <w:spacing w:line="360" w:lineRule="auto"/>
        <w:rPr>
          <w:lang w:val="en-US"/>
        </w:rPr>
      </w:pPr>
    </w:p>
    <w:p w14:paraId="44635483" w14:textId="77777777" w:rsidR="00B13F19" w:rsidRPr="00B4111B" w:rsidRDefault="00B13F19" w:rsidP="00B4111B">
      <w:pPr>
        <w:spacing w:line="360" w:lineRule="auto"/>
        <w:rPr>
          <w:lang w:val="en-US"/>
        </w:rPr>
      </w:pPr>
    </w:p>
    <w:p w14:paraId="6F09EABE" w14:textId="77777777" w:rsidR="00861FE1" w:rsidRPr="00B4111B" w:rsidRDefault="00861FE1" w:rsidP="00B4111B">
      <w:pPr>
        <w:spacing w:line="360" w:lineRule="auto"/>
        <w:rPr>
          <w:lang w:val="en-US"/>
        </w:rPr>
      </w:pPr>
    </w:p>
    <w:p w14:paraId="3396A0A2" w14:textId="77777777" w:rsidR="00861FE1" w:rsidRPr="00B4111B" w:rsidRDefault="00861FE1" w:rsidP="00B4111B">
      <w:pPr>
        <w:spacing w:line="360" w:lineRule="auto"/>
        <w:rPr>
          <w:lang w:val="en-US"/>
        </w:rPr>
      </w:pPr>
    </w:p>
    <w:p w14:paraId="3257E7ED" w14:textId="71694CD5" w:rsidR="00A358E0" w:rsidRPr="00B4111B" w:rsidRDefault="00A358E0" w:rsidP="00B4111B">
      <w:pPr>
        <w:spacing w:line="360" w:lineRule="auto"/>
        <w:rPr>
          <w:lang w:val="en-US"/>
        </w:rPr>
      </w:pPr>
    </w:p>
    <w:p w14:paraId="6FB56A22" w14:textId="1EC2DF57" w:rsidR="00A358E0" w:rsidRPr="00B4111B" w:rsidRDefault="00A358E0" w:rsidP="00B4111B">
      <w:pPr>
        <w:spacing w:line="360" w:lineRule="auto"/>
        <w:rPr>
          <w:b/>
          <w:bCs/>
          <w:lang w:val="en-US"/>
        </w:rPr>
      </w:pPr>
      <w:r w:rsidRPr="00B4111B">
        <w:rPr>
          <w:b/>
          <w:bCs/>
          <w:lang w:val="en-US"/>
        </w:rPr>
        <w:lastRenderedPageBreak/>
        <w:t>Bibliography</w:t>
      </w:r>
    </w:p>
    <w:p w14:paraId="4332630F" w14:textId="1F60E144" w:rsidR="00861FE1" w:rsidRPr="00B4111B" w:rsidRDefault="006A5078" w:rsidP="00B4111B">
      <w:pPr>
        <w:spacing w:line="360" w:lineRule="auto"/>
        <w:rPr>
          <w:lang w:val="en-US"/>
        </w:rPr>
      </w:pPr>
      <w:r w:rsidRPr="00B4111B">
        <w:rPr>
          <w:lang w:val="en-US"/>
        </w:rPr>
        <w:t xml:space="preserve">Atkinson, Rob &amp; Hackler, </w:t>
      </w:r>
      <w:proofErr w:type="spellStart"/>
      <w:r w:rsidRPr="00B4111B">
        <w:rPr>
          <w:lang w:val="en-US"/>
        </w:rPr>
        <w:t>Darrene</w:t>
      </w:r>
      <w:proofErr w:type="spellEnd"/>
      <w:r w:rsidRPr="00B4111B">
        <w:rPr>
          <w:lang w:val="en-US"/>
        </w:rPr>
        <w:t>. (2010</w:t>
      </w:r>
      <w:r w:rsidRPr="00B4111B">
        <w:rPr>
          <w:lang w:val="en-US"/>
        </w:rPr>
        <w:t>, October</w:t>
      </w:r>
      <w:r w:rsidRPr="00B4111B">
        <w:rPr>
          <w:lang w:val="en-US"/>
        </w:rPr>
        <w:t>). Economic Doctrines and Approaches to Climate Change Policy.</w:t>
      </w:r>
      <w:r w:rsidRPr="00B4111B">
        <w:rPr>
          <w:lang w:val="en-US"/>
        </w:rPr>
        <w:t xml:space="preserve"> </w:t>
      </w:r>
      <w:r w:rsidRPr="00B4111B">
        <w:rPr>
          <w:i/>
          <w:iCs/>
          <w:lang w:val="en-US"/>
        </w:rPr>
        <w:t>The Information Technology &amp; Innovation Foundation</w:t>
      </w:r>
      <w:r w:rsidRPr="00B4111B">
        <w:rPr>
          <w:lang w:val="en-US"/>
        </w:rPr>
        <w:t xml:space="preserve">. </w:t>
      </w:r>
      <w:r w:rsidRPr="00B4111B">
        <w:rPr>
          <w:lang w:val="en-US"/>
        </w:rPr>
        <w:t>https://www.researchgate.net/publication/50427059_Economic_Doctrines_and_Approaches_to_Climate_Change_Policy</w:t>
      </w:r>
    </w:p>
    <w:p w14:paraId="7CFF9A6F" w14:textId="343D5F29" w:rsidR="00861FE1" w:rsidRPr="00B4111B" w:rsidRDefault="00861FE1" w:rsidP="00B4111B">
      <w:pPr>
        <w:spacing w:line="360" w:lineRule="auto"/>
        <w:rPr>
          <w:lang w:val="en-US"/>
        </w:rPr>
      </w:pPr>
    </w:p>
    <w:p w14:paraId="31787EAA" w14:textId="43AAD413" w:rsidR="00381736" w:rsidRPr="00B4111B" w:rsidRDefault="00381736" w:rsidP="00B4111B">
      <w:pPr>
        <w:spacing w:line="360" w:lineRule="auto"/>
      </w:pPr>
      <w:r w:rsidRPr="00B4111B">
        <w:rPr>
          <w:lang w:val="en-US"/>
        </w:rPr>
        <w:t xml:space="preserve">Brenna, A. L. (2020, 9. October). </w:t>
      </w:r>
      <w:r w:rsidRPr="00B4111B">
        <w:rPr>
          <w:i/>
          <w:iCs/>
        </w:rPr>
        <w:t>CO2-avgiftene finansierer de store klimatiltakene.</w:t>
      </w:r>
      <w:r w:rsidRPr="00B4111B">
        <w:t xml:space="preserve"> </w:t>
      </w:r>
      <w:proofErr w:type="spellStart"/>
      <w:r w:rsidRPr="00B4111B">
        <w:t>Enerwe</w:t>
      </w:r>
      <w:proofErr w:type="spellEnd"/>
      <w:r w:rsidRPr="00B4111B">
        <w:t>.</w:t>
      </w:r>
    </w:p>
    <w:p w14:paraId="16001870" w14:textId="5008BBA2" w:rsidR="00381736" w:rsidRPr="00B4111B" w:rsidRDefault="00381736" w:rsidP="00B4111B">
      <w:pPr>
        <w:spacing w:line="360" w:lineRule="auto"/>
      </w:pPr>
      <w:hyperlink r:id="rId4" w:history="1">
        <w:r w:rsidRPr="00B4111B">
          <w:rPr>
            <w:rStyle w:val="Hyperkobling"/>
          </w:rPr>
          <w:t>https://enerwe.n</w:t>
        </w:r>
        <w:r w:rsidRPr="00B4111B">
          <w:rPr>
            <w:rStyle w:val="Hyperkobling"/>
          </w:rPr>
          <w:t>o</w:t>
        </w:r>
        <w:r w:rsidRPr="00B4111B">
          <w:rPr>
            <w:rStyle w:val="Hyperkobling"/>
          </w:rPr>
          <w:t>/co2-avgift-klima-kommentar/co2-avgiftene-finansierer-de-store-klimatiltakene/382151</w:t>
        </w:r>
      </w:hyperlink>
    </w:p>
    <w:p w14:paraId="4CC96A85" w14:textId="77777777" w:rsidR="006634E6" w:rsidRPr="00B4111B" w:rsidRDefault="006634E6" w:rsidP="00B4111B">
      <w:pPr>
        <w:spacing w:line="360" w:lineRule="auto"/>
        <w:rPr>
          <w:lang w:val="en-US"/>
        </w:rPr>
      </w:pPr>
    </w:p>
    <w:p w14:paraId="48422722" w14:textId="6425AAB9" w:rsidR="00DE0A52" w:rsidRPr="00B4111B" w:rsidRDefault="00381736" w:rsidP="00B4111B">
      <w:pPr>
        <w:spacing w:line="360" w:lineRule="auto"/>
        <w:rPr>
          <w:lang w:val="en-US"/>
        </w:rPr>
      </w:pPr>
      <w:r w:rsidRPr="00B4111B">
        <w:rPr>
          <w:lang w:val="en-US"/>
        </w:rPr>
        <w:t xml:space="preserve">Engineered Systems. (2021, 14. April). Carbon Pricing vs. Carbon Tax: Understanding </w:t>
      </w:r>
      <w:proofErr w:type="gramStart"/>
      <w:r w:rsidRPr="00B4111B">
        <w:rPr>
          <w:lang w:val="en-US"/>
        </w:rPr>
        <w:t>The</w:t>
      </w:r>
      <w:proofErr w:type="gramEnd"/>
      <w:r w:rsidRPr="00B4111B">
        <w:rPr>
          <w:lang w:val="en-US"/>
        </w:rPr>
        <w:t xml:space="preserve"> Difference.</w:t>
      </w:r>
    </w:p>
    <w:p w14:paraId="046EE78D" w14:textId="537B739E" w:rsidR="00DE0A52" w:rsidRPr="00B4111B" w:rsidRDefault="00A741E6" w:rsidP="00B4111B">
      <w:pPr>
        <w:spacing w:line="360" w:lineRule="auto"/>
        <w:rPr>
          <w:lang w:val="en-US"/>
        </w:rPr>
      </w:pPr>
      <w:hyperlink r:id="rId5" w:history="1">
        <w:r w:rsidRPr="00B4111B">
          <w:rPr>
            <w:rStyle w:val="Hyperkobling"/>
            <w:lang w:val="en-US"/>
          </w:rPr>
          <w:t>https://www.esmagazine.com/a</w:t>
        </w:r>
        <w:r w:rsidRPr="00B4111B">
          <w:rPr>
            <w:rStyle w:val="Hyperkobling"/>
            <w:lang w:val="en-US"/>
          </w:rPr>
          <w:t>r</w:t>
        </w:r>
        <w:r w:rsidRPr="00B4111B">
          <w:rPr>
            <w:rStyle w:val="Hyperkobling"/>
            <w:lang w:val="en-US"/>
          </w:rPr>
          <w:t>ticles/101384-carbon-pricing-vs-carbon-tax-understanding-the-difference</w:t>
        </w:r>
      </w:hyperlink>
    </w:p>
    <w:p w14:paraId="6F112FB2" w14:textId="77777777" w:rsidR="006634E6" w:rsidRDefault="006634E6" w:rsidP="006634E6">
      <w:pPr>
        <w:spacing w:line="360" w:lineRule="auto"/>
      </w:pPr>
    </w:p>
    <w:p w14:paraId="785603BE" w14:textId="2FFF4545" w:rsidR="006634E6" w:rsidRPr="00B4111B" w:rsidRDefault="006634E6" w:rsidP="006634E6">
      <w:pPr>
        <w:spacing w:line="360" w:lineRule="auto"/>
        <w:rPr>
          <w:lang w:val="en-US"/>
        </w:rPr>
      </w:pPr>
      <w:r w:rsidRPr="00B4111B">
        <w:t xml:space="preserve">Norsk elbilforening. (2021). </w:t>
      </w:r>
      <w:r w:rsidRPr="00B4111B">
        <w:rPr>
          <w:i/>
          <w:iCs/>
        </w:rPr>
        <w:t>Norwegian EV policy</w:t>
      </w:r>
      <w:r w:rsidRPr="00B4111B">
        <w:t xml:space="preserve">. </w:t>
      </w:r>
      <w:r w:rsidRPr="00B4111B">
        <w:rPr>
          <w:lang w:val="en-US"/>
        </w:rPr>
        <w:t xml:space="preserve">Used from </w:t>
      </w:r>
    </w:p>
    <w:p w14:paraId="16DA994B" w14:textId="77777777" w:rsidR="006634E6" w:rsidRPr="00B4111B" w:rsidRDefault="006634E6" w:rsidP="006634E6">
      <w:pPr>
        <w:spacing w:line="360" w:lineRule="auto"/>
        <w:rPr>
          <w:lang w:val="en-US"/>
        </w:rPr>
      </w:pPr>
      <w:hyperlink r:id="rId6" w:history="1">
        <w:r w:rsidRPr="00B4111B">
          <w:rPr>
            <w:rStyle w:val="Hyperkobling"/>
            <w:lang w:val="en-US"/>
          </w:rPr>
          <w:t>https://elbil.no/english/norwegian-ev-policy/</w:t>
        </w:r>
      </w:hyperlink>
    </w:p>
    <w:p w14:paraId="5B37A318" w14:textId="77777777" w:rsidR="006634E6" w:rsidRDefault="006634E6" w:rsidP="006634E6">
      <w:pPr>
        <w:spacing w:line="360" w:lineRule="auto"/>
        <w:rPr>
          <w:lang w:val="en-US"/>
        </w:rPr>
      </w:pPr>
    </w:p>
    <w:p w14:paraId="0078A930" w14:textId="77777777" w:rsidR="006634E6" w:rsidRDefault="006634E6" w:rsidP="006634E6">
      <w:pPr>
        <w:spacing w:line="360" w:lineRule="auto"/>
        <w:rPr>
          <w:lang w:val="en-US"/>
        </w:rPr>
      </w:pPr>
      <w:r w:rsidRPr="006634E6">
        <w:rPr>
          <w:lang w:val="en-US"/>
        </w:rPr>
        <w:t xml:space="preserve">OECD (2021), General government deficit (indicator). </w:t>
      </w:r>
      <w:proofErr w:type="spellStart"/>
      <w:r w:rsidRPr="006634E6">
        <w:rPr>
          <w:lang w:val="en-US"/>
        </w:rPr>
        <w:t>doi</w:t>
      </w:r>
      <w:proofErr w:type="spellEnd"/>
      <w:r w:rsidRPr="006634E6">
        <w:rPr>
          <w:lang w:val="en-US"/>
        </w:rPr>
        <w:t>: 10.1787/77079edb-en (Accessed on 26 October 2021)</w:t>
      </w:r>
    </w:p>
    <w:p w14:paraId="25B47BDD" w14:textId="77777777" w:rsidR="00381736" w:rsidRPr="00B4111B" w:rsidRDefault="00381736" w:rsidP="00B4111B">
      <w:pPr>
        <w:spacing w:line="360" w:lineRule="auto"/>
        <w:rPr>
          <w:lang w:val="en-US"/>
        </w:rPr>
      </w:pPr>
    </w:p>
    <w:p w14:paraId="7BFAC876" w14:textId="3A2B2EF0" w:rsidR="00381736" w:rsidRPr="00B4111B" w:rsidRDefault="00381736" w:rsidP="00B4111B">
      <w:pPr>
        <w:spacing w:line="360" w:lineRule="auto"/>
        <w:rPr>
          <w:lang w:val="en-US"/>
        </w:rPr>
      </w:pPr>
      <w:r w:rsidRPr="00B4111B">
        <w:rPr>
          <w:lang w:val="en-US"/>
        </w:rPr>
        <w:t xml:space="preserve">Parry, I. (2021, September). </w:t>
      </w:r>
      <w:r w:rsidRPr="00B4111B">
        <w:rPr>
          <w:i/>
          <w:iCs/>
          <w:lang w:val="en-US"/>
        </w:rPr>
        <w:t xml:space="preserve">Five Things </w:t>
      </w:r>
      <w:proofErr w:type="gramStart"/>
      <w:r w:rsidRPr="00B4111B">
        <w:rPr>
          <w:i/>
          <w:iCs/>
          <w:lang w:val="en-US"/>
        </w:rPr>
        <w:t>To</w:t>
      </w:r>
      <w:proofErr w:type="gramEnd"/>
      <w:r w:rsidRPr="00B4111B">
        <w:rPr>
          <w:i/>
          <w:iCs/>
          <w:lang w:val="en-US"/>
        </w:rPr>
        <w:t xml:space="preserve"> Know About Carbon Pricing</w:t>
      </w:r>
      <w:r w:rsidRPr="00B4111B">
        <w:rPr>
          <w:lang w:val="en-US"/>
        </w:rPr>
        <w:t>. International Monetary Fund, Finance &amp; Development.</w:t>
      </w:r>
    </w:p>
    <w:p w14:paraId="3ABB6CE8" w14:textId="66297215" w:rsidR="00A741E6" w:rsidRPr="00B4111B" w:rsidRDefault="00381736" w:rsidP="00B4111B">
      <w:pPr>
        <w:spacing w:line="360" w:lineRule="auto"/>
        <w:rPr>
          <w:lang w:val="en-US"/>
        </w:rPr>
      </w:pPr>
      <w:hyperlink r:id="rId7" w:history="1">
        <w:r w:rsidRPr="00B4111B">
          <w:rPr>
            <w:rStyle w:val="Hyperkobling"/>
            <w:lang w:val="en-US"/>
          </w:rPr>
          <w:t>https://www.imf.org/external/pubs/ft/fandd/2021/09/pdf/five-things-to-know-about-carbon-pricing-parry.pdf</w:t>
        </w:r>
      </w:hyperlink>
    </w:p>
    <w:p w14:paraId="2FFF9B6F" w14:textId="77777777" w:rsidR="00381736" w:rsidRPr="00B4111B" w:rsidRDefault="00381736" w:rsidP="00B4111B">
      <w:pPr>
        <w:spacing w:line="360" w:lineRule="auto"/>
        <w:rPr>
          <w:lang w:val="en-US"/>
        </w:rPr>
      </w:pPr>
    </w:p>
    <w:p w14:paraId="622A9575" w14:textId="76C7A14C" w:rsidR="00A741E6" w:rsidRPr="00B4111B" w:rsidRDefault="00A741E6" w:rsidP="00B4111B">
      <w:pPr>
        <w:spacing w:line="360" w:lineRule="auto"/>
        <w:rPr>
          <w:lang w:val="en-US"/>
        </w:rPr>
      </w:pPr>
      <w:proofErr w:type="spellStart"/>
      <w:r w:rsidRPr="00B4111B">
        <w:rPr>
          <w:lang w:val="en-US"/>
        </w:rPr>
        <w:t>Patt</w:t>
      </w:r>
      <w:proofErr w:type="spellEnd"/>
      <w:r w:rsidRPr="00B4111B">
        <w:rPr>
          <w:lang w:val="en-US"/>
        </w:rPr>
        <w:t>,</w:t>
      </w:r>
      <w:r w:rsidRPr="00B4111B">
        <w:rPr>
          <w:lang w:val="en-US"/>
        </w:rPr>
        <w:t xml:space="preserve"> A. &amp;</w:t>
      </w:r>
      <w:r w:rsidRPr="00B4111B">
        <w:rPr>
          <w:lang w:val="en-US"/>
        </w:rPr>
        <w:t xml:space="preserve"> </w:t>
      </w:r>
      <w:proofErr w:type="spellStart"/>
      <w:r w:rsidRPr="00B4111B">
        <w:rPr>
          <w:lang w:val="en-US"/>
        </w:rPr>
        <w:t>Lilliestam</w:t>
      </w:r>
      <w:proofErr w:type="spellEnd"/>
      <w:r w:rsidRPr="00B4111B">
        <w:rPr>
          <w:lang w:val="en-US"/>
        </w:rPr>
        <w:t>,</w:t>
      </w:r>
      <w:r w:rsidRPr="00B4111B">
        <w:rPr>
          <w:lang w:val="en-US"/>
        </w:rPr>
        <w:t xml:space="preserve"> J.</w:t>
      </w:r>
      <w:r w:rsidR="009829AF" w:rsidRPr="00B4111B">
        <w:rPr>
          <w:lang w:val="en-US"/>
        </w:rPr>
        <w:t xml:space="preserve"> (2018).</w:t>
      </w:r>
      <w:r w:rsidRPr="00B4111B">
        <w:rPr>
          <w:lang w:val="en-US"/>
        </w:rPr>
        <w:t xml:space="preserve"> </w:t>
      </w:r>
      <w:r w:rsidRPr="00B4111B">
        <w:rPr>
          <w:lang w:val="en-US"/>
        </w:rPr>
        <w:t>The Case against Carbon Prices,</w:t>
      </w:r>
      <w:r w:rsidRPr="00B4111B">
        <w:rPr>
          <w:lang w:val="en-US"/>
        </w:rPr>
        <w:t xml:space="preserve"> </w:t>
      </w:r>
      <w:r w:rsidRPr="00B4111B">
        <w:rPr>
          <w:i/>
          <w:iCs/>
          <w:lang w:val="en-US"/>
        </w:rPr>
        <w:t>Joule</w:t>
      </w:r>
      <w:r w:rsidRPr="00B4111B">
        <w:rPr>
          <w:lang w:val="en-US"/>
        </w:rPr>
        <w:t>,</w:t>
      </w:r>
      <w:r w:rsidRPr="00B4111B">
        <w:rPr>
          <w:lang w:val="en-US"/>
        </w:rPr>
        <w:t xml:space="preserve"> </w:t>
      </w:r>
      <w:r w:rsidRPr="00B4111B">
        <w:rPr>
          <w:lang w:val="en-US"/>
        </w:rPr>
        <w:t>Volume 2, Issue 12,</w:t>
      </w:r>
      <w:r w:rsidRPr="00B4111B">
        <w:rPr>
          <w:lang w:val="en-US"/>
        </w:rPr>
        <w:t xml:space="preserve"> </w:t>
      </w:r>
      <w:r w:rsidRPr="00B4111B">
        <w:rPr>
          <w:lang w:val="en-US"/>
        </w:rPr>
        <w:t>Pages</w:t>
      </w:r>
      <w:r w:rsidRPr="00B4111B">
        <w:rPr>
          <w:lang w:val="en-US"/>
        </w:rPr>
        <w:t xml:space="preserve"> </w:t>
      </w:r>
      <w:r w:rsidRPr="00B4111B">
        <w:rPr>
          <w:lang w:val="en-US"/>
        </w:rPr>
        <w:t>2494-2498,</w:t>
      </w:r>
      <w:r w:rsidRPr="00B4111B">
        <w:rPr>
          <w:lang w:val="en-US"/>
        </w:rPr>
        <w:t xml:space="preserve"> </w:t>
      </w:r>
      <w:r w:rsidRPr="00B4111B">
        <w:rPr>
          <w:lang w:val="en-US"/>
        </w:rPr>
        <w:t>ISSN 2542-4351,</w:t>
      </w:r>
      <w:r w:rsidRPr="00B4111B">
        <w:rPr>
          <w:lang w:val="en-US"/>
        </w:rPr>
        <w:t xml:space="preserve"> </w:t>
      </w:r>
      <w:hyperlink r:id="rId8" w:history="1">
        <w:r w:rsidR="00315520" w:rsidRPr="00B4111B">
          <w:rPr>
            <w:rStyle w:val="Hyperkobling"/>
            <w:lang w:val="en-US"/>
          </w:rPr>
          <w:t>https://doi.org/10.1016/j.joule.2018.11.018</w:t>
        </w:r>
      </w:hyperlink>
      <w:r w:rsidRPr="00B4111B">
        <w:rPr>
          <w:lang w:val="en-US"/>
        </w:rPr>
        <w:t>.</w:t>
      </w:r>
    </w:p>
    <w:p w14:paraId="7C74ED75" w14:textId="5BE6230F" w:rsidR="00315520" w:rsidRPr="00B4111B" w:rsidRDefault="00315520" w:rsidP="00B4111B">
      <w:pPr>
        <w:spacing w:line="360" w:lineRule="auto"/>
      </w:pPr>
    </w:p>
    <w:p w14:paraId="5B7625AC" w14:textId="77777777" w:rsidR="00381736" w:rsidRPr="00B4111B" w:rsidRDefault="00381736" w:rsidP="00B4111B">
      <w:pPr>
        <w:spacing w:line="360" w:lineRule="auto"/>
        <w:rPr>
          <w:lang w:val="en-US"/>
        </w:rPr>
      </w:pPr>
      <w:r w:rsidRPr="00B4111B">
        <w:rPr>
          <w:lang w:val="en-US"/>
        </w:rPr>
        <w:t xml:space="preserve">United Nations Framework Convention on Climate Change. (2020). The Paris Agreement in in </w:t>
      </w:r>
      <w:r w:rsidRPr="00B4111B">
        <w:rPr>
          <w:i/>
          <w:iCs/>
          <w:lang w:val="en-US"/>
        </w:rPr>
        <w:t>United Nations Framework Convention on Climate Change.</w:t>
      </w:r>
      <w:r w:rsidRPr="00B4111B">
        <w:rPr>
          <w:lang w:val="en-US"/>
        </w:rPr>
        <w:t xml:space="preserve"> Used 20. October 2021 from:</w:t>
      </w:r>
    </w:p>
    <w:p w14:paraId="5E901D03" w14:textId="77777777" w:rsidR="00381736" w:rsidRPr="00B4111B" w:rsidRDefault="00381736" w:rsidP="00B4111B">
      <w:pPr>
        <w:spacing w:line="360" w:lineRule="auto"/>
        <w:rPr>
          <w:lang w:val="en-US"/>
        </w:rPr>
      </w:pPr>
      <w:r w:rsidRPr="00B4111B">
        <w:rPr>
          <w:lang w:val="en-US"/>
        </w:rPr>
        <w:t>https://unfccc.int/process-and-meetings/the-paris-agreement/the-paris-agreement</w:t>
      </w:r>
    </w:p>
    <w:p w14:paraId="26DBDB3B" w14:textId="3445B213" w:rsidR="00381736" w:rsidRPr="00B4111B" w:rsidRDefault="00381736" w:rsidP="00B4111B">
      <w:pPr>
        <w:spacing w:line="360" w:lineRule="auto"/>
        <w:rPr>
          <w:lang w:val="en-US"/>
        </w:rPr>
      </w:pPr>
    </w:p>
    <w:p w14:paraId="2A6DAF5B" w14:textId="363A2DBD" w:rsidR="00C7435E" w:rsidRPr="00B4111B" w:rsidRDefault="00C7435E" w:rsidP="00B4111B">
      <w:pPr>
        <w:spacing w:line="360" w:lineRule="auto"/>
        <w:rPr>
          <w:lang w:val="en-US"/>
        </w:rPr>
      </w:pPr>
      <w:r w:rsidRPr="00B4111B">
        <w:rPr>
          <w:lang w:val="en-US"/>
        </w:rPr>
        <w:t xml:space="preserve">World Bank. (2019, June). </w:t>
      </w:r>
      <w:r w:rsidRPr="00B4111B">
        <w:rPr>
          <w:i/>
          <w:iCs/>
          <w:lang w:val="en-US"/>
        </w:rPr>
        <w:t>State and Trends of Carbon Pricing</w:t>
      </w:r>
      <w:r w:rsidRPr="00B4111B">
        <w:rPr>
          <w:lang w:val="en-US"/>
        </w:rPr>
        <w:t xml:space="preserve">. </w:t>
      </w:r>
      <w:r w:rsidR="00097AF9" w:rsidRPr="00B4111B">
        <w:rPr>
          <w:lang w:val="en-US"/>
        </w:rPr>
        <w:t>World Bank Group.</w:t>
      </w:r>
    </w:p>
    <w:p w14:paraId="3A6E5FEC" w14:textId="5F85C321" w:rsidR="00C7435E" w:rsidRPr="00B4111B" w:rsidRDefault="00C7435E" w:rsidP="00B4111B">
      <w:pPr>
        <w:spacing w:line="360" w:lineRule="auto"/>
        <w:rPr>
          <w:lang w:val="en-US"/>
        </w:rPr>
      </w:pPr>
      <w:r w:rsidRPr="00B4111B">
        <w:rPr>
          <w:lang w:val="en-US"/>
        </w:rPr>
        <w:lastRenderedPageBreak/>
        <w:t>https://documents1.worldbank.org/curated/en/191801559846379845/pdf/State-and-Trends-of-Carbon-Pricing-2019.pdf</w:t>
      </w:r>
    </w:p>
    <w:p w14:paraId="632E3DD0" w14:textId="77777777" w:rsidR="00381736" w:rsidRPr="00B4111B" w:rsidRDefault="00381736" w:rsidP="00B4111B">
      <w:pPr>
        <w:spacing w:line="360" w:lineRule="auto"/>
        <w:rPr>
          <w:lang w:val="en-US"/>
        </w:rPr>
      </w:pPr>
    </w:p>
    <w:sectPr w:rsidR="00381736" w:rsidRPr="00B4111B" w:rsidSect="0040102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89"/>
    <w:rsid w:val="000008D7"/>
    <w:rsid w:val="00010DB9"/>
    <w:rsid w:val="0004473E"/>
    <w:rsid w:val="000539B5"/>
    <w:rsid w:val="00097AF9"/>
    <w:rsid w:val="000C07BD"/>
    <w:rsid w:val="000C1A00"/>
    <w:rsid w:val="00112F20"/>
    <w:rsid w:val="0018115C"/>
    <w:rsid w:val="00191B8F"/>
    <w:rsid w:val="001B56E1"/>
    <w:rsid w:val="0020529A"/>
    <w:rsid w:val="0020735D"/>
    <w:rsid w:val="002362F5"/>
    <w:rsid w:val="00240CD2"/>
    <w:rsid w:val="00274989"/>
    <w:rsid w:val="002B411D"/>
    <w:rsid w:val="00310696"/>
    <w:rsid w:val="00315520"/>
    <w:rsid w:val="00334A62"/>
    <w:rsid w:val="00381736"/>
    <w:rsid w:val="003C4FA7"/>
    <w:rsid w:val="003D0333"/>
    <w:rsid w:val="003D1B6A"/>
    <w:rsid w:val="00401021"/>
    <w:rsid w:val="00432382"/>
    <w:rsid w:val="004E0252"/>
    <w:rsid w:val="00505263"/>
    <w:rsid w:val="00526B71"/>
    <w:rsid w:val="00560057"/>
    <w:rsid w:val="0056708F"/>
    <w:rsid w:val="0062788F"/>
    <w:rsid w:val="006634E6"/>
    <w:rsid w:val="0066477F"/>
    <w:rsid w:val="006836E1"/>
    <w:rsid w:val="006A5078"/>
    <w:rsid w:val="006C2215"/>
    <w:rsid w:val="006F339B"/>
    <w:rsid w:val="006F4E6A"/>
    <w:rsid w:val="007A2BA4"/>
    <w:rsid w:val="007A3191"/>
    <w:rsid w:val="007D758F"/>
    <w:rsid w:val="007E272F"/>
    <w:rsid w:val="0081682F"/>
    <w:rsid w:val="0085370E"/>
    <w:rsid w:val="0085510C"/>
    <w:rsid w:val="00861FE1"/>
    <w:rsid w:val="008C529E"/>
    <w:rsid w:val="008C710F"/>
    <w:rsid w:val="008D12C4"/>
    <w:rsid w:val="00906C47"/>
    <w:rsid w:val="00915DB3"/>
    <w:rsid w:val="009829AF"/>
    <w:rsid w:val="00A242E9"/>
    <w:rsid w:val="00A358E0"/>
    <w:rsid w:val="00A5104A"/>
    <w:rsid w:val="00A741E6"/>
    <w:rsid w:val="00AB2118"/>
    <w:rsid w:val="00AC596E"/>
    <w:rsid w:val="00AC630E"/>
    <w:rsid w:val="00AD6A49"/>
    <w:rsid w:val="00B13F19"/>
    <w:rsid w:val="00B4111B"/>
    <w:rsid w:val="00B4563E"/>
    <w:rsid w:val="00BB074E"/>
    <w:rsid w:val="00BD614B"/>
    <w:rsid w:val="00BF6E31"/>
    <w:rsid w:val="00C24D97"/>
    <w:rsid w:val="00C47B8E"/>
    <w:rsid w:val="00C7435E"/>
    <w:rsid w:val="00CF60ED"/>
    <w:rsid w:val="00CF668D"/>
    <w:rsid w:val="00D04544"/>
    <w:rsid w:val="00D17315"/>
    <w:rsid w:val="00D62229"/>
    <w:rsid w:val="00D76F06"/>
    <w:rsid w:val="00D823B2"/>
    <w:rsid w:val="00D8514D"/>
    <w:rsid w:val="00DA482B"/>
    <w:rsid w:val="00DA592D"/>
    <w:rsid w:val="00DA746D"/>
    <w:rsid w:val="00DC6E80"/>
    <w:rsid w:val="00DE0A52"/>
    <w:rsid w:val="00E81068"/>
    <w:rsid w:val="00EC08B0"/>
    <w:rsid w:val="00EC5FFB"/>
    <w:rsid w:val="00EE1776"/>
    <w:rsid w:val="00F53C2E"/>
    <w:rsid w:val="00F819F5"/>
    <w:rsid w:val="00FE7AB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6E1E291"/>
  <w15:chartTrackingRefBased/>
  <w15:docId w15:val="{91F117D9-96DC-B24F-9FE9-38FA4B685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20"/>
    <w:rPr>
      <w:rFonts w:ascii="Times New Roman" w:eastAsia="Times New Roman" w:hAnsi="Times New Roman" w:cs="Times New Roman"/>
      <w:lang w:eastAsia="nb-NO"/>
    </w:rPr>
  </w:style>
  <w:style w:type="paragraph" w:styleId="Overskrift1">
    <w:name w:val="heading 1"/>
    <w:basedOn w:val="Normal"/>
    <w:link w:val="Overskrift1Tegn"/>
    <w:uiPriority w:val="9"/>
    <w:qFormat/>
    <w:rsid w:val="00315520"/>
    <w:pPr>
      <w:spacing w:before="100" w:beforeAutospacing="1" w:after="100" w:afterAutospacing="1"/>
      <w:outlineLvl w:val="0"/>
    </w:pPr>
    <w:rPr>
      <w:b/>
      <w:bCs/>
      <w:kern w:val="36"/>
      <w:sz w:val="48"/>
      <w:szCs w:val="4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274989"/>
    <w:rPr>
      <w:color w:val="0563C1" w:themeColor="hyperlink"/>
      <w:u w:val="single"/>
    </w:rPr>
  </w:style>
  <w:style w:type="character" w:styleId="Ulstomtale">
    <w:name w:val="Unresolved Mention"/>
    <w:basedOn w:val="Standardskriftforavsnitt"/>
    <w:uiPriority w:val="99"/>
    <w:semiHidden/>
    <w:unhideWhenUsed/>
    <w:rsid w:val="00274989"/>
    <w:rPr>
      <w:color w:val="605E5C"/>
      <w:shd w:val="clear" w:color="auto" w:fill="E1DFDD"/>
    </w:rPr>
  </w:style>
  <w:style w:type="character" w:styleId="Utheving">
    <w:name w:val="Emphasis"/>
    <w:basedOn w:val="Standardskriftforavsnitt"/>
    <w:uiPriority w:val="20"/>
    <w:qFormat/>
    <w:rsid w:val="00274989"/>
    <w:rPr>
      <w:i/>
      <w:iCs/>
    </w:rPr>
  </w:style>
  <w:style w:type="character" w:styleId="Sterk">
    <w:name w:val="Strong"/>
    <w:basedOn w:val="Standardskriftforavsnitt"/>
    <w:uiPriority w:val="22"/>
    <w:qFormat/>
    <w:rsid w:val="00B4563E"/>
    <w:rPr>
      <w:b/>
      <w:bCs/>
    </w:rPr>
  </w:style>
  <w:style w:type="character" w:customStyle="1" w:styleId="Overskrift1Tegn">
    <w:name w:val="Overskrift 1 Tegn"/>
    <w:basedOn w:val="Standardskriftforavsnitt"/>
    <w:link w:val="Overskrift1"/>
    <w:uiPriority w:val="9"/>
    <w:rsid w:val="00315520"/>
    <w:rPr>
      <w:rFonts w:ascii="Times New Roman" w:eastAsia="Times New Roman" w:hAnsi="Times New Roman" w:cs="Times New Roman"/>
      <w:b/>
      <w:bCs/>
      <w:kern w:val="36"/>
      <w:sz w:val="48"/>
      <w:szCs w:val="48"/>
      <w:lang w:eastAsia="nb-NO"/>
    </w:rPr>
  </w:style>
  <w:style w:type="paragraph" w:customStyle="1" w:styleId="wp-block-t2-ingress">
    <w:name w:val="wp-block-t2-ingress"/>
    <w:basedOn w:val="Normal"/>
    <w:rsid w:val="00315520"/>
    <w:pPr>
      <w:spacing w:before="100" w:beforeAutospacing="1" w:after="100" w:afterAutospacing="1"/>
    </w:pPr>
  </w:style>
  <w:style w:type="character" w:styleId="Fulgthyperkobling">
    <w:name w:val="FollowedHyperlink"/>
    <w:basedOn w:val="Standardskriftforavsnitt"/>
    <w:uiPriority w:val="99"/>
    <w:semiHidden/>
    <w:unhideWhenUsed/>
    <w:rsid w:val="003817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0035">
      <w:bodyDiv w:val="1"/>
      <w:marLeft w:val="0"/>
      <w:marRight w:val="0"/>
      <w:marTop w:val="0"/>
      <w:marBottom w:val="0"/>
      <w:divBdr>
        <w:top w:val="none" w:sz="0" w:space="0" w:color="auto"/>
        <w:left w:val="none" w:sz="0" w:space="0" w:color="auto"/>
        <w:bottom w:val="none" w:sz="0" w:space="0" w:color="auto"/>
        <w:right w:val="none" w:sz="0" w:space="0" w:color="auto"/>
      </w:divBdr>
    </w:div>
    <w:div w:id="271908943">
      <w:bodyDiv w:val="1"/>
      <w:marLeft w:val="0"/>
      <w:marRight w:val="0"/>
      <w:marTop w:val="0"/>
      <w:marBottom w:val="0"/>
      <w:divBdr>
        <w:top w:val="none" w:sz="0" w:space="0" w:color="auto"/>
        <w:left w:val="none" w:sz="0" w:space="0" w:color="auto"/>
        <w:bottom w:val="none" w:sz="0" w:space="0" w:color="auto"/>
        <w:right w:val="none" w:sz="0" w:space="0" w:color="auto"/>
      </w:divBdr>
    </w:div>
    <w:div w:id="315577312">
      <w:bodyDiv w:val="1"/>
      <w:marLeft w:val="0"/>
      <w:marRight w:val="0"/>
      <w:marTop w:val="0"/>
      <w:marBottom w:val="0"/>
      <w:divBdr>
        <w:top w:val="none" w:sz="0" w:space="0" w:color="auto"/>
        <w:left w:val="none" w:sz="0" w:space="0" w:color="auto"/>
        <w:bottom w:val="none" w:sz="0" w:space="0" w:color="auto"/>
        <w:right w:val="none" w:sz="0" w:space="0" w:color="auto"/>
      </w:divBdr>
    </w:div>
    <w:div w:id="498817169">
      <w:bodyDiv w:val="1"/>
      <w:marLeft w:val="0"/>
      <w:marRight w:val="0"/>
      <w:marTop w:val="0"/>
      <w:marBottom w:val="0"/>
      <w:divBdr>
        <w:top w:val="none" w:sz="0" w:space="0" w:color="auto"/>
        <w:left w:val="none" w:sz="0" w:space="0" w:color="auto"/>
        <w:bottom w:val="none" w:sz="0" w:space="0" w:color="auto"/>
        <w:right w:val="none" w:sz="0" w:space="0" w:color="auto"/>
      </w:divBdr>
    </w:div>
    <w:div w:id="562565188">
      <w:bodyDiv w:val="1"/>
      <w:marLeft w:val="0"/>
      <w:marRight w:val="0"/>
      <w:marTop w:val="0"/>
      <w:marBottom w:val="0"/>
      <w:divBdr>
        <w:top w:val="none" w:sz="0" w:space="0" w:color="auto"/>
        <w:left w:val="none" w:sz="0" w:space="0" w:color="auto"/>
        <w:bottom w:val="none" w:sz="0" w:space="0" w:color="auto"/>
        <w:right w:val="none" w:sz="0" w:space="0" w:color="auto"/>
      </w:divBdr>
    </w:div>
    <w:div w:id="631179535">
      <w:bodyDiv w:val="1"/>
      <w:marLeft w:val="0"/>
      <w:marRight w:val="0"/>
      <w:marTop w:val="0"/>
      <w:marBottom w:val="0"/>
      <w:divBdr>
        <w:top w:val="none" w:sz="0" w:space="0" w:color="auto"/>
        <w:left w:val="none" w:sz="0" w:space="0" w:color="auto"/>
        <w:bottom w:val="none" w:sz="0" w:space="0" w:color="auto"/>
        <w:right w:val="none" w:sz="0" w:space="0" w:color="auto"/>
      </w:divBdr>
    </w:div>
    <w:div w:id="678771941">
      <w:bodyDiv w:val="1"/>
      <w:marLeft w:val="0"/>
      <w:marRight w:val="0"/>
      <w:marTop w:val="0"/>
      <w:marBottom w:val="0"/>
      <w:divBdr>
        <w:top w:val="none" w:sz="0" w:space="0" w:color="auto"/>
        <w:left w:val="none" w:sz="0" w:space="0" w:color="auto"/>
        <w:bottom w:val="none" w:sz="0" w:space="0" w:color="auto"/>
        <w:right w:val="none" w:sz="0" w:space="0" w:color="auto"/>
      </w:divBdr>
    </w:div>
    <w:div w:id="904950157">
      <w:bodyDiv w:val="1"/>
      <w:marLeft w:val="0"/>
      <w:marRight w:val="0"/>
      <w:marTop w:val="0"/>
      <w:marBottom w:val="0"/>
      <w:divBdr>
        <w:top w:val="none" w:sz="0" w:space="0" w:color="auto"/>
        <w:left w:val="none" w:sz="0" w:space="0" w:color="auto"/>
        <w:bottom w:val="none" w:sz="0" w:space="0" w:color="auto"/>
        <w:right w:val="none" w:sz="0" w:space="0" w:color="auto"/>
      </w:divBdr>
    </w:div>
    <w:div w:id="971982983">
      <w:bodyDiv w:val="1"/>
      <w:marLeft w:val="0"/>
      <w:marRight w:val="0"/>
      <w:marTop w:val="0"/>
      <w:marBottom w:val="0"/>
      <w:divBdr>
        <w:top w:val="none" w:sz="0" w:space="0" w:color="auto"/>
        <w:left w:val="none" w:sz="0" w:space="0" w:color="auto"/>
        <w:bottom w:val="none" w:sz="0" w:space="0" w:color="auto"/>
        <w:right w:val="none" w:sz="0" w:space="0" w:color="auto"/>
      </w:divBdr>
    </w:div>
    <w:div w:id="1178929323">
      <w:bodyDiv w:val="1"/>
      <w:marLeft w:val="0"/>
      <w:marRight w:val="0"/>
      <w:marTop w:val="0"/>
      <w:marBottom w:val="0"/>
      <w:divBdr>
        <w:top w:val="none" w:sz="0" w:space="0" w:color="auto"/>
        <w:left w:val="none" w:sz="0" w:space="0" w:color="auto"/>
        <w:bottom w:val="none" w:sz="0" w:space="0" w:color="auto"/>
        <w:right w:val="none" w:sz="0" w:space="0" w:color="auto"/>
      </w:divBdr>
    </w:div>
    <w:div w:id="1193105527">
      <w:bodyDiv w:val="1"/>
      <w:marLeft w:val="0"/>
      <w:marRight w:val="0"/>
      <w:marTop w:val="0"/>
      <w:marBottom w:val="0"/>
      <w:divBdr>
        <w:top w:val="none" w:sz="0" w:space="0" w:color="auto"/>
        <w:left w:val="none" w:sz="0" w:space="0" w:color="auto"/>
        <w:bottom w:val="none" w:sz="0" w:space="0" w:color="auto"/>
        <w:right w:val="none" w:sz="0" w:space="0" w:color="auto"/>
      </w:divBdr>
    </w:div>
    <w:div w:id="1313102314">
      <w:bodyDiv w:val="1"/>
      <w:marLeft w:val="0"/>
      <w:marRight w:val="0"/>
      <w:marTop w:val="0"/>
      <w:marBottom w:val="0"/>
      <w:divBdr>
        <w:top w:val="none" w:sz="0" w:space="0" w:color="auto"/>
        <w:left w:val="none" w:sz="0" w:space="0" w:color="auto"/>
        <w:bottom w:val="none" w:sz="0" w:space="0" w:color="auto"/>
        <w:right w:val="none" w:sz="0" w:space="0" w:color="auto"/>
      </w:divBdr>
    </w:div>
    <w:div w:id="1445073664">
      <w:bodyDiv w:val="1"/>
      <w:marLeft w:val="0"/>
      <w:marRight w:val="0"/>
      <w:marTop w:val="0"/>
      <w:marBottom w:val="0"/>
      <w:divBdr>
        <w:top w:val="none" w:sz="0" w:space="0" w:color="auto"/>
        <w:left w:val="none" w:sz="0" w:space="0" w:color="auto"/>
        <w:bottom w:val="none" w:sz="0" w:space="0" w:color="auto"/>
        <w:right w:val="none" w:sz="0" w:space="0" w:color="auto"/>
      </w:divBdr>
    </w:div>
    <w:div w:id="1511945859">
      <w:bodyDiv w:val="1"/>
      <w:marLeft w:val="0"/>
      <w:marRight w:val="0"/>
      <w:marTop w:val="0"/>
      <w:marBottom w:val="0"/>
      <w:divBdr>
        <w:top w:val="none" w:sz="0" w:space="0" w:color="auto"/>
        <w:left w:val="none" w:sz="0" w:space="0" w:color="auto"/>
        <w:bottom w:val="none" w:sz="0" w:space="0" w:color="auto"/>
        <w:right w:val="none" w:sz="0" w:space="0" w:color="auto"/>
      </w:divBdr>
    </w:div>
    <w:div w:id="1542984980">
      <w:bodyDiv w:val="1"/>
      <w:marLeft w:val="0"/>
      <w:marRight w:val="0"/>
      <w:marTop w:val="0"/>
      <w:marBottom w:val="0"/>
      <w:divBdr>
        <w:top w:val="none" w:sz="0" w:space="0" w:color="auto"/>
        <w:left w:val="none" w:sz="0" w:space="0" w:color="auto"/>
        <w:bottom w:val="none" w:sz="0" w:space="0" w:color="auto"/>
        <w:right w:val="none" w:sz="0" w:space="0" w:color="auto"/>
      </w:divBdr>
    </w:div>
    <w:div w:id="1568222303">
      <w:bodyDiv w:val="1"/>
      <w:marLeft w:val="0"/>
      <w:marRight w:val="0"/>
      <w:marTop w:val="0"/>
      <w:marBottom w:val="0"/>
      <w:divBdr>
        <w:top w:val="none" w:sz="0" w:space="0" w:color="auto"/>
        <w:left w:val="none" w:sz="0" w:space="0" w:color="auto"/>
        <w:bottom w:val="none" w:sz="0" w:space="0" w:color="auto"/>
        <w:right w:val="none" w:sz="0" w:space="0" w:color="auto"/>
      </w:divBdr>
      <w:divsChild>
        <w:div w:id="26106261">
          <w:marLeft w:val="0"/>
          <w:marRight w:val="0"/>
          <w:marTop w:val="0"/>
          <w:marBottom w:val="240"/>
          <w:divBdr>
            <w:top w:val="none" w:sz="0" w:space="0" w:color="auto"/>
            <w:left w:val="none" w:sz="0" w:space="0" w:color="auto"/>
            <w:bottom w:val="none" w:sz="0" w:space="0" w:color="auto"/>
            <w:right w:val="none" w:sz="0" w:space="0" w:color="auto"/>
          </w:divBdr>
        </w:div>
        <w:div w:id="1201092546">
          <w:marLeft w:val="0"/>
          <w:marRight w:val="0"/>
          <w:marTop w:val="0"/>
          <w:marBottom w:val="240"/>
          <w:divBdr>
            <w:top w:val="none" w:sz="0" w:space="0" w:color="auto"/>
            <w:left w:val="none" w:sz="0" w:space="0" w:color="auto"/>
            <w:bottom w:val="none" w:sz="0" w:space="0" w:color="auto"/>
            <w:right w:val="none" w:sz="0" w:space="0" w:color="auto"/>
          </w:divBdr>
        </w:div>
        <w:div w:id="464928565">
          <w:marLeft w:val="0"/>
          <w:marRight w:val="0"/>
          <w:marTop w:val="0"/>
          <w:marBottom w:val="240"/>
          <w:divBdr>
            <w:top w:val="none" w:sz="0" w:space="0" w:color="auto"/>
            <w:left w:val="none" w:sz="0" w:space="0" w:color="auto"/>
            <w:bottom w:val="none" w:sz="0" w:space="0" w:color="auto"/>
            <w:right w:val="none" w:sz="0" w:space="0" w:color="auto"/>
          </w:divBdr>
        </w:div>
        <w:div w:id="1900707793">
          <w:marLeft w:val="0"/>
          <w:marRight w:val="0"/>
          <w:marTop w:val="0"/>
          <w:marBottom w:val="240"/>
          <w:divBdr>
            <w:top w:val="none" w:sz="0" w:space="0" w:color="auto"/>
            <w:left w:val="none" w:sz="0" w:space="0" w:color="auto"/>
            <w:bottom w:val="none" w:sz="0" w:space="0" w:color="auto"/>
            <w:right w:val="none" w:sz="0" w:space="0" w:color="auto"/>
          </w:divBdr>
        </w:div>
        <w:div w:id="759134376">
          <w:marLeft w:val="0"/>
          <w:marRight w:val="0"/>
          <w:marTop w:val="0"/>
          <w:marBottom w:val="240"/>
          <w:divBdr>
            <w:top w:val="none" w:sz="0" w:space="0" w:color="auto"/>
            <w:left w:val="none" w:sz="0" w:space="0" w:color="auto"/>
            <w:bottom w:val="none" w:sz="0" w:space="0" w:color="auto"/>
            <w:right w:val="none" w:sz="0" w:space="0" w:color="auto"/>
          </w:divBdr>
        </w:div>
        <w:div w:id="1832715804">
          <w:marLeft w:val="0"/>
          <w:marRight w:val="0"/>
          <w:marTop w:val="0"/>
          <w:marBottom w:val="240"/>
          <w:divBdr>
            <w:top w:val="none" w:sz="0" w:space="0" w:color="auto"/>
            <w:left w:val="none" w:sz="0" w:space="0" w:color="auto"/>
            <w:bottom w:val="none" w:sz="0" w:space="0" w:color="auto"/>
            <w:right w:val="none" w:sz="0" w:space="0" w:color="auto"/>
          </w:divBdr>
        </w:div>
        <w:div w:id="2080905357">
          <w:marLeft w:val="0"/>
          <w:marRight w:val="0"/>
          <w:marTop w:val="0"/>
          <w:marBottom w:val="240"/>
          <w:divBdr>
            <w:top w:val="none" w:sz="0" w:space="0" w:color="auto"/>
            <w:left w:val="none" w:sz="0" w:space="0" w:color="auto"/>
            <w:bottom w:val="none" w:sz="0" w:space="0" w:color="auto"/>
            <w:right w:val="none" w:sz="0" w:space="0" w:color="auto"/>
          </w:divBdr>
        </w:div>
        <w:div w:id="1638998154">
          <w:marLeft w:val="0"/>
          <w:marRight w:val="0"/>
          <w:marTop w:val="0"/>
          <w:marBottom w:val="240"/>
          <w:divBdr>
            <w:top w:val="none" w:sz="0" w:space="0" w:color="auto"/>
            <w:left w:val="none" w:sz="0" w:space="0" w:color="auto"/>
            <w:bottom w:val="none" w:sz="0" w:space="0" w:color="auto"/>
            <w:right w:val="none" w:sz="0" w:space="0" w:color="auto"/>
          </w:divBdr>
        </w:div>
      </w:divsChild>
    </w:div>
    <w:div w:id="1637880049">
      <w:bodyDiv w:val="1"/>
      <w:marLeft w:val="0"/>
      <w:marRight w:val="0"/>
      <w:marTop w:val="0"/>
      <w:marBottom w:val="0"/>
      <w:divBdr>
        <w:top w:val="none" w:sz="0" w:space="0" w:color="auto"/>
        <w:left w:val="none" w:sz="0" w:space="0" w:color="auto"/>
        <w:bottom w:val="none" w:sz="0" w:space="0" w:color="auto"/>
        <w:right w:val="none" w:sz="0" w:space="0" w:color="auto"/>
      </w:divBdr>
    </w:div>
    <w:div w:id="1658071192">
      <w:bodyDiv w:val="1"/>
      <w:marLeft w:val="0"/>
      <w:marRight w:val="0"/>
      <w:marTop w:val="0"/>
      <w:marBottom w:val="0"/>
      <w:divBdr>
        <w:top w:val="none" w:sz="0" w:space="0" w:color="auto"/>
        <w:left w:val="none" w:sz="0" w:space="0" w:color="auto"/>
        <w:bottom w:val="none" w:sz="0" w:space="0" w:color="auto"/>
        <w:right w:val="none" w:sz="0" w:space="0" w:color="auto"/>
      </w:divBdr>
    </w:div>
    <w:div w:id="1726247670">
      <w:bodyDiv w:val="1"/>
      <w:marLeft w:val="0"/>
      <w:marRight w:val="0"/>
      <w:marTop w:val="0"/>
      <w:marBottom w:val="0"/>
      <w:divBdr>
        <w:top w:val="none" w:sz="0" w:space="0" w:color="auto"/>
        <w:left w:val="none" w:sz="0" w:space="0" w:color="auto"/>
        <w:bottom w:val="none" w:sz="0" w:space="0" w:color="auto"/>
        <w:right w:val="none" w:sz="0" w:space="0" w:color="auto"/>
      </w:divBdr>
    </w:div>
    <w:div w:id="1909999989">
      <w:bodyDiv w:val="1"/>
      <w:marLeft w:val="0"/>
      <w:marRight w:val="0"/>
      <w:marTop w:val="0"/>
      <w:marBottom w:val="0"/>
      <w:divBdr>
        <w:top w:val="none" w:sz="0" w:space="0" w:color="auto"/>
        <w:left w:val="none" w:sz="0" w:space="0" w:color="auto"/>
        <w:bottom w:val="none" w:sz="0" w:space="0" w:color="auto"/>
        <w:right w:val="none" w:sz="0" w:space="0" w:color="auto"/>
      </w:divBdr>
    </w:div>
    <w:div w:id="1996716310">
      <w:bodyDiv w:val="1"/>
      <w:marLeft w:val="0"/>
      <w:marRight w:val="0"/>
      <w:marTop w:val="0"/>
      <w:marBottom w:val="0"/>
      <w:divBdr>
        <w:top w:val="none" w:sz="0" w:space="0" w:color="auto"/>
        <w:left w:val="none" w:sz="0" w:space="0" w:color="auto"/>
        <w:bottom w:val="none" w:sz="0" w:space="0" w:color="auto"/>
        <w:right w:val="none" w:sz="0" w:space="0" w:color="auto"/>
      </w:divBdr>
    </w:div>
    <w:div w:id="212665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oule.2018.11.018" TargetMode="External"/><Relationship Id="rId3" Type="http://schemas.openxmlformats.org/officeDocument/2006/relationships/webSettings" Target="webSettings.xml"/><Relationship Id="rId7" Type="http://schemas.openxmlformats.org/officeDocument/2006/relationships/hyperlink" Target="https://www.imf.org/external/pubs/ft/fandd/2021/09/pdf/five-things-to-know-about-carbon-pricing-parry.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bil.no/english/norwegian-ev-policy/" TargetMode="External"/><Relationship Id="rId5" Type="http://schemas.openxmlformats.org/officeDocument/2006/relationships/hyperlink" Target="https://www.esmagazine.com/articles/101384-carbon-pricing-vs-carbon-tax-understanding-the-difference" TargetMode="External"/><Relationship Id="rId10" Type="http://schemas.openxmlformats.org/officeDocument/2006/relationships/theme" Target="theme/theme1.xml"/><Relationship Id="rId4" Type="http://schemas.openxmlformats.org/officeDocument/2006/relationships/hyperlink" Target="https://enerwe.no/co2-avgift-klima-kommentar/co2-avgiftene-finansierer-de-store-klimatiltakene/382151" TargetMode="Externa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2257</Words>
  <Characters>11964</Characters>
  <Application>Microsoft Office Word</Application>
  <DocSecurity>0</DocSecurity>
  <Lines>99</Lines>
  <Paragraphs>28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Sørensen Woje</dc:creator>
  <cp:keywords/>
  <dc:description/>
  <cp:lastModifiedBy>Alexander Sørensen Woje</cp:lastModifiedBy>
  <cp:revision>2</cp:revision>
  <dcterms:created xsi:type="dcterms:W3CDTF">2021-10-26T12:51:00Z</dcterms:created>
  <dcterms:modified xsi:type="dcterms:W3CDTF">2021-10-26T12:51:00Z</dcterms:modified>
</cp:coreProperties>
</file>