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36"/>
        </w:rPr>
      </w:pPr>
      <w:r>
        <w:rPr>
          <w:b/>
          <w:bCs/>
          <w:sz w:val="40"/>
          <w:szCs w:val="36"/>
        </w:rPr>
      </w:r>
    </w:p>
    <w:p>
      <w:pPr>
        <w:pStyle w:val="Normal"/>
        <w:jc w:val="center"/>
        <w:rPr>
          <w:sz w:val="44"/>
          <w:szCs w:val="40"/>
        </w:rPr>
      </w:pPr>
      <w:r>
        <w:rPr>
          <w:sz w:val="44"/>
          <w:szCs w:val="40"/>
        </w:rPr>
      </w:r>
    </w:p>
    <w:p>
      <w:pPr>
        <w:pStyle w:val="Normal"/>
        <w:jc w:val="center"/>
        <w:rPr>
          <w:sz w:val="44"/>
          <w:szCs w:val="40"/>
        </w:rPr>
      </w:pPr>
      <w:r>
        <w:rPr>
          <w:sz w:val="44"/>
          <w:szCs w:val="40"/>
        </w:rPr>
        <w:t>Politisk maktdeling i Afrika:</w:t>
      </w:r>
    </w:p>
    <w:p>
      <w:pPr>
        <w:pStyle w:val="Normal"/>
        <w:jc w:val="center"/>
        <w:rPr>
          <w:sz w:val="36"/>
          <w:szCs w:val="32"/>
        </w:rPr>
      </w:pPr>
      <w:r>
        <w:rPr>
          <w:sz w:val="36"/>
          <w:szCs w:val="32"/>
        </w:rPr>
        <w:t>En studie av undertrykte samfunnsgruppers politiske tillit i post-konfliktland</w:t>
      </w:r>
    </w:p>
    <w:p>
      <w:pPr>
        <w:pStyle w:val="Normal"/>
        <w:jc w:val="center"/>
        <w:rPr>
          <w:b/>
          <w:b/>
          <w:bCs/>
          <w:sz w:val="32"/>
          <w:szCs w:val="28"/>
        </w:rPr>
      </w:pPr>
      <w:r>
        <w:rPr>
          <w:b/>
          <w:bCs/>
          <w:sz w:val="32"/>
          <w:szCs w:val="28"/>
        </w:rPr>
      </w:r>
    </w:p>
    <w:p>
      <w:pPr>
        <w:pStyle w:val="Normal"/>
        <w:jc w:val="center"/>
        <w:rPr>
          <w:b/>
          <w:b/>
          <w:bCs/>
          <w:sz w:val="32"/>
          <w:szCs w:val="28"/>
        </w:rPr>
      </w:pPr>
      <w:r>
        <w:rPr>
          <w:b/>
          <w:bCs/>
          <w:sz w:val="32"/>
          <w:szCs w:val="28"/>
        </w:rPr>
      </w:r>
    </w:p>
    <w:p>
      <w:pPr>
        <w:pStyle w:val="Normal"/>
        <w:jc w:val="center"/>
        <w:rPr>
          <w:b/>
          <w:b/>
          <w:bCs/>
          <w:sz w:val="32"/>
          <w:szCs w:val="28"/>
        </w:rPr>
      </w:pPr>
      <w:r>
        <w:rPr>
          <w:b/>
          <w:bCs/>
          <w:sz w:val="32"/>
          <w:szCs w:val="28"/>
        </w:rPr>
      </w:r>
    </w:p>
    <w:p>
      <w:pPr>
        <w:pStyle w:val="Normal"/>
        <w:jc w:val="center"/>
        <w:rPr>
          <w:b/>
          <w:b/>
          <w:bCs/>
          <w:sz w:val="32"/>
          <w:szCs w:val="28"/>
        </w:rPr>
      </w:pPr>
      <w:r>
        <w:rPr>
          <w:b/>
          <w:bCs/>
          <w:sz w:val="32"/>
          <w:szCs w:val="28"/>
        </w:rPr>
      </w:r>
    </w:p>
    <w:p>
      <w:pPr>
        <w:pStyle w:val="Normal"/>
        <w:jc w:val="center"/>
        <w:rPr>
          <w:b/>
          <w:b/>
          <w:bCs/>
          <w:sz w:val="32"/>
          <w:szCs w:val="28"/>
        </w:rPr>
      </w:pPr>
      <w:r>
        <w:rPr>
          <w:b/>
          <w:bCs/>
          <w:sz w:val="32"/>
          <w:szCs w:val="28"/>
        </w:rPr>
      </w:r>
    </w:p>
    <w:p>
      <w:pPr>
        <w:pStyle w:val="Normal"/>
        <w:jc w:val="center"/>
        <w:rPr>
          <w:b/>
          <w:b/>
          <w:bCs/>
          <w:sz w:val="32"/>
          <w:szCs w:val="28"/>
        </w:rPr>
      </w:pPr>
      <w:r>
        <w:rPr>
          <w:b/>
          <w:bCs/>
          <w:sz w:val="32"/>
          <w:szCs w:val="28"/>
        </w:rPr>
      </w:r>
    </w:p>
    <w:p>
      <w:pPr>
        <w:pStyle w:val="Normal"/>
        <w:jc w:val="center"/>
        <w:rPr>
          <w:b/>
          <w:b/>
          <w:bCs/>
          <w:sz w:val="32"/>
          <w:szCs w:val="28"/>
        </w:rPr>
      </w:pPr>
      <w:r>
        <w:rPr>
          <w:b/>
          <w:bCs/>
          <w:sz w:val="32"/>
          <w:szCs w:val="28"/>
        </w:rPr>
      </w:r>
    </w:p>
    <w:p>
      <w:pPr>
        <w:pStyle w:val="Normal"/>
        <w:jc w:val="center"/>
        <w:rPr>
          <w:b/>
          <w:b/>
          <w:bCs/>
          <w:sz w:val="32"/>
          <w:szCs w:val="28"/>
        </w:rPr>
      </w:pPr>
      <w:r>
        <w:rPr>
          <w:b/>
          <w:bCs/>
          <w:sz w:val="32"/>
          <w:szCs w:val="28"/>
        </w:rPr>
      </w:r>
    </w:p>
    <w:p>
      <w:pPr>
        <w:pStyle w:val="Normal"/>
        <w:jc w:val="center"/>
        <w:rPr>
          <w:b/>
          <w:b/>
          <w:bCs/>
          <w:sz w:val="32"/>
          <w:szCs w:val="28"/>
        </w:rPr>
      </w:pPr>
      <w:r>
        <w:rPr>
          <w:b/>
          <w:bCs/>
          <w:sz w:val="32"/>
          <w:szCs w:val="28"/>
        </w:rPr>
      </w:r>
    </w:p>
    <w:p>
      <w:pPr>
        <w:pStyle w:val="Normal"/>
        <w:rPr>
          <w:b/>
          <w:b/>
          <w:bCs/>
          <w:sz w:val="32"/>
          <w:szCs w:val="28"/>
        </w:rPr>
      </w:pPr>
      <w:r>
        <w:rPr>
          <w:b/>
          <w:bCs/>
          <w:sz w:val="32"/>
          <w:szCs w:val="28"/>
        </w:rPr>
      </w:r>
    </w:p>
    <w:p>
      <w:pPr>
        <w:pStyle w:val="Normal"/>
        <w:rPr>
          <w:b/>
          <w:b/>
          <w:bCs/>
          <w:sz w:val="32"/>
          <w:szCs w:val="28"/>
        </w:rPr>
      </w:pPr>
      <w:r>
        <w:rPr>
          <w:b/>
          <w:bCs/>
          <w:sz w:val="32"/>
          <w:szCs w:val="28"/>
        </w:rPr>
      </w:r>
    </w:p>
    <w:p>
      <w:pPr>
        <w:pStyle w:val="Normal"/>
        <w:rPr>
          <w:b/>
          <w:b/>
          <w:bCs/>
          <w:sz w:val="32"/>
          <w:szCs w:val="28"/>
        </w:rPr>
      </w:pPr>
      <w:r>
        <w:rPr>
          <w:b/>
          <w:bCs/>
          <w:sz w:val="32"/>
          <w:szCs w:val="28"/>
        </w:rPr>
      </w:r>
    </w:p>
    <w:p>
      <w:pPr>
        <w:pStyle w:val="Normal"/>
        <w:rPr>
          <w:b/>
          <w:b/>
          <w:bCs/>
          <w:sz w:val="32"/>
          <w:szCs w:val="28"/>
        </w:rPr>
      </w:pPr>
      <w:r>
        <w:rPr>
          <w:b/>
          <w:bCs/>
          <w:sz w:val="32"/>
          <w:szCs w:val="28"/>
        </w:rPr>
      </w:r>
    </w:p>
    <w:p>
      <w:pPr>
        <w:pStyle w:val="Normal"/>
        <w:jc w:val="center"/>
        <w:rPr>
          <w:b/>
          <w:b/>
          <w:bCs/>
          <w:sz w:val="40"/>
          <w:szCs w:val="36"/>
        </w:rPr>
      </w:pPr>
      <w:r>
        <w:rPr>
          <w:b/>
          <w:bCs/>
          <w:sz w:val="40"/>
          <w:szCs w:val="36"/>
        </w:rPr>
        <w:t>Kristoffer Eikemo</w:t>
      </w:r>
    </w:p>
    <w:p>
      <w:pPr>
        <w:pStyle w:val="Normal"/>
        <w:jc w:val="center"/>
        <w:rPr>
          <w:b/>
          <w:b/>
          <w:bCs/>
          <w:sz w:val="40"/>
          <w:szCs w:val="36"/>
        </w:rPr>
      </w:pPr>
      <w:r>
        <w:rPr>
          <w:b/>
          <w:bCs/>
          <w:sz w:val="40"/>
          <w:szCs w:val="36"/>
        </w:rPr>
      </w:r>
    </w:p>
    <w:p>
      <w:pPr>
        <w:pStyle w:val="Normal"/>
        <w:rPr>
          <w:sz w:val="28"/>
          <w:szCs w:val="24"/>
        </w:rPr>
      </w:pPr>
      <w:r>
        <w:rPr>
          <w:sz w:val="28"/>
          <w:szCs w:val="24"/>
        </w:rPr>
        <w:t>Masteroppgave i statsvitenskap</w:t>
      </w:r>
    </w:p>
    <w:p>
      <w:pPr>
        <w:pStyle w:val="Normal"/>
        <w:rPr>
          <w:sz w:val="28"/>
          <w:szCs w:val="24"/>
        </w:rPr>
      </w:pPr>
      <w:r>
        <w:rPr>
          <w:sz w:val="28"/>
          <w:szCs w:val="24"/>
        </w:rPr>
        <w:t>Institutt for sosiologi og statsvitenskap</w:t>
      </w:r>
    </w:p>
    <w:p>
      <w:pPr>
        <w:pStyle w:val="Normal"/>
        <w:rPr>
          <w:sz w:val="28"/>
          <w:szCs w:val="24"/>
        </w:rPr>
      </w:pPr>
      <w:r>
        <w:rPr>
          <w:sz w:val="28"/>
          <w:szCs w:val="24"/>
        </w:rPr>
        <w:t>NTNU</w:t>
      </w:r>
    </w:p>
    <w:p>
      <w:pPr>
        <w:pStyle w:val="Normal"/>
        <w:rPr>
          <w:sz w:val="28"/>
          <w:szCs w:val="24"/>
        </w:rPr>
      </w:pPr>
      <w:r>
        <w:rPr>
          <w:sz w:val="28"/>
          <w:szCs w:val="24"/>
        </w:rPr>
        <w:t>Trondheim, mai 2021</w:t>
      </w:r>
    </w:p>
    <w:p>
      <w:pPr>
        <w:pStyle w:val="Normal"/>
        <w:jc w:val="left"/>
        <w:rPr>
          <w:sz w:val="28"/>
          <w:szCs w:val="24"/>
        </w:rPr>
      </w:pPr>
      <w:r>
        <w:rPr>
          <w:sz w:val="28"/>
          <w:szCs w:val="24"/>
        </w:rPr>
      </w:r>
      <w:r>
        <w:br w:type="page"/>
      </w:r>
    </w:p>
    <w:p>
      <w:pPr>
        <w:pStyle w:val="Normal"/>
        <w:jc w:val="center"/>
        <w:rPr>
          <w:sz w:val="28"/>
          <w:szCs w:val="24"/>
        </w:rPr>
      </w:pPr>
      <w:r>
        <w:rPr>
          <w:sz w:val="28"/>
          <w:szCs w:val="24"/>
        </w:rPr>
        <w:t>Dedikasjon</w:t>
      </w:r>
    </w:p>
    <w:p>
      <w:pPr>
        <w:pStyle w:val="Normal"/>
        <w:jc w:val="center"/>
        <w:rPr>
          <w:sz w:val="28"/>
          <w:szCs w:val="24"/>
        </w:rPr>
      </w:pPr>
      <w:r>
        <w:rPr>
          <w:sz w:val="28"/>
          <w:szCs w:val="24"/>
        </w:rPr>
      </w:r>
    </w:p>
    <w:p>
      <w:pPr>
        <w:pStyle w:val="Normal"/>
        <w:jc w:val="center"/>
        <w:rPr>
          <w:sz w:val="28"/>
          <w:szCs w:val="24"/>
        </w:rPr>
      </w:pPr>
      <w:r>
        <w:rPr>
          <w:sz w:val="28"/>
          <w:szCs w:val="24"/>
        </w:rPr>
      </w:r>
    </w:p>
    <w:p>
      <w:pPr>
        <w:pStyle w:val="Normal"/>
        <w:jc w:val="center"/>
        <w:rPr>
          <w:sz w:val="28"/>
          <w:szCs w:val="24"/>
        </w:rPr>
      </w:pPr>
      <w:r>
        <w:rPr>
          <w:sz w:val="28"/>
          <w:szCs w:val="24"/>
        </w:rPr>
      </w:r>
    </w:p>
    <w:p>
      <w:pPr>
        <w:pStyle w:val="Normal"/>
        <w:jc w:val="left"/>
        <w:rPr>
          <w:sz w:val="28"/>
          <w:szCs w:val="24"/>
        </w:rPr>
      </w:pPr>
      <w:r>
        <w:rPr>
          <w:sz w:val="28"/>
          <w:szCs w:val="24"/>
        </w:rPr>
      </w:r>
      <w:r>
        <w:br w:type="page"/>
      </w:r>
    </w:p>
    <w:p>
      <w:pPr>
        <w:pStyle w:val="Normal"/>
        <w:jc w:val="left"/>
        <w:rPr>
          <w:sz w:val="28"/>
          <w:szCs w:val="24"/>
        </w:rPr>
      </w:pPr>
      <w:r>
        <w:rPr>
          <w:sz w:val="28"/>
          <w:szCs w:val="24"/>
        </w:rPr>
      </w:r>
      <w:r>
        <w:br w:type="page"/>
      </w:r>
    </w:p>
    <w:p>
      <w:pPr>
        <w:pStyle w:val="Normal"/>
        <w:jc w:val="center"/>
        <w:rPr>
          <w:sz w:val="28"/>
          <w:szCs w:val="24"/>
        </w:rPr>
      </w:pPr>
      <w:r>
        <w:rPr>
          <w:sz w:val="28"/>
          <w:szCs w:val="24"/>
        </w:rPr>
        <w:t>Forord</w:t>
      </w:r>
    </w:p>
    <w:p>
      <w:pPr>
        <w:pStyle w:val="Normal"/>
        <w:jc w:val="center"/>
        <w:rPr>
          <w:sz w:val="28"/>
          <w:szCs w:val="24"/>
        </w:rPr>
      </w:pPr>
      <w:r>
        <w:rPr>
          <w:sz w:val="28"/>
          <w:szCs w:val="24"/>
        </w:rPr>
      </w:r>
    </w:p>
    <w:p>
      <w:pPr>
        <w:pStyle w:val="Normal"/>
        <w:jc w:val="center"/>
        <w:rPr>
          <w:sz w:val="28"/>
          <w:szCs w:val="24"/>
        </w:rPr>
      </w:pPr>
      <w:r>
        <w:rPr>
          <w:sz w:val="28"/>
          <w:szCs w:val="24"/>
        </w:rPr>
      </w:r>
    </w:p>
    <w:p>
      <w:pPr>
        <w:pStyle w:val="Normal"/>
        <w:jc w:val="left"/>
        <w:rPr>
          <w:sz w:val="28"/>
          <w:szCs w:val="24"/>
        </w:rPr>
      </w:pPr>
      <w:r>
        <w:rPr>
          <w:sz w:val="28"/>
          <w:szCs w:val="24"/>
        </w:rPr>
      </w:r>
      <w:r>
        <w:br w:type="page"/>
      </w:r>
    </w:p>
    <w:p>
      <w:pPr>
        <w:pStyle w:val="Normal"/>
        <w:jc w:val="left"/>
        <w:rPr>
          <w:sz w:val="28"/>
          <w:szCs w:val="24"/>
        </w:rPr>
      </w:pPr>
      <w:r>
        <w:rPr>
          <w:sz w:val="28"/>
          <w:szCs w:val="24"/>
        </w:rPr>
      </w:r>
      <w:r>
        <w:br w:type="page"/>
      </w:r>
    </w:p>
    <w:p>
      <w:pPr>
        <w:pStyle w:val="Title"/>
        <w:spacing w:lineRule="auto" w:line="360"/>
        <w:jc w:val="center"/>
        <w:rPr>
          <w:sz w:val="40"/>
          <w:szCs w:val="40"/>
        </w:rPr>
      </w:pPr>
      <w:r>
        <w:rPr>
          <w:sz w:val="40"/>
          <w:szCs w:val="40"/>
        </w:rPr>
      </w:r>
    </w:p>
    <w:p>
      <w:pPr>
        <w:pStyle w:val="Title"/>
        <w:spacing w:lineRule="auto" w:line="360"/>
        <w:jc w:val="center"/>
        <w:rPr>
          <w:sz w:val="40"/>
          <w:szCs w:val="40"/>
        </w:rPr>
      </w:pPr>
      <w:r>
        <w:rPr>
          <w:sz w:val="40"/>
          <w:szCs w:val="40"/>
        </w:rPr>
      </w:r>
    </w:p>
    <w:p>
      <w:pPr>
        <w:pStyle w:val="Title"/>
        <w:spacing w:lineRule="auto" w:line="360"/>
        <w:jc w:val="center"/>
        <w:rPr>
          <w:sz w:val="40"/>
          <w:szCs w:val="40"/>
        </w:rPr>
      </w:pPr>
      <w:r>
        <w:rPr>
          <w:sz w:val="40"/>
          <w:szCs w:val="40"/>
        </w:rPr>
      </w:r>
    </w:p>
    <w:p>
      <w:pPr>
        <w:pStyle w:val="Title"/>
        <w:spacing w:lineRule="auto" w:line="360"/>
        <w:jc w:val="center"/>
        <w:rPr>
          <w:sz w:val="40"/>
          <w:szCs w:val="40"/>
        </w:rPr>
      </w:pPr>
      <w:r>
        <w:rPr>
          <w:sz w:val="40"/>
          <w:szCs w:val="40"/>
        </w:rPr>
      </w:r>
    </w:p>
    <w:p>
      <w:pPr>
        <w:pStyle w:val="Title"/>
        <w:spacing w:lineRule="auto" w:line="360"/>
        <w:jc w:val="center"/>
        <w:rPr>
          <w:sz w:val="40"/>
          <w:szCs w:val="40"/>
        </w:rPr>
      </w:pPr>
      <w:r>
        <w:rPr>
          <w:sz w:val="40"/>
          <w:szCs w:val="40"/>
        </w:rPr>
        <w:t>Abstrakt</w:t>
      </w:r>
    </w:p>
    <w:p>
      <w:pPr>
        <w:pStyle w:val="Normal"/>
        <w:jc w:val="left"/>
        <w:rPr/>
      </w:pPr>
      <w:r>
        <w:rPr>
          <w:sz w:val="22"/>
          <w:szCs w:val="20"/>
        </w:rPr>
        <w:t xml:space="preserve">Maktdelingslitteraturen har i stor grad vært rettet mot hvilke forhold på landnivå som påvirker statlig utvikling, men vi vet lite om hvordan ulike samfunnsgruppers holdninger skiller seg fra land uten maktdelingsavtaler etter konflikt. Jeg presenterer et teoretisk rammeverk som knytter spørsmålet om staters legitimitet og institusjonenes kapasitet til å allokere politiske goder, til den politiske tilliten hos historisk undertrykte samfunnsgrupper: politisk undertrykte etniske grupper og kvinner.  Jeg anvender flernivåanalyse ved </w:t>
      </w:r>
      <w:r>
        <w:rPr>
          <w:i/>
          <w:iCs/>
          <w:sz w:val="22"/>
          <w:szCs w:val="20"/>
        </w:rPr>
        <w:t xml:space="preserve">random intercept </w:t>
      </w:r>
      <w:r>
        <w:rPr>
          <w:sz w:val="22"/>
          <w:szCs w:val="20"/>
        </w:rPr>
        <w:t xml:space="preserve">for å måle om grupper i land med politisk maktdeling har høyere tillit enn i land uten politisk maktdeling. Generell politisk tillit i maktdelingsland og land med closed-list PR måles med variabler på landnivå. Ved å inkludere samspillsledd mellom individvariablene for undertrykte grupper og kvinner med politisk maktdeling og closed-list PR, måler jeg hvorvidt politisk tillit hos disse samfunnsgruppene avhenger av det aktuelle forholdet på landnivå. Data på individnivå er hentet fra Afrobarometer, mens informasjon om undertrykte grupper er hentet fra Ethnic Power Relations. Undertrykte grupper ser ut til å ha </w:t>
      </w:r>
      <w:r>
        <w:rPr>
          <w:i/>
          <w:iCs/>
          <w:sz w:val="22"/>
          <w:szCs w:val="20"/>
        </w:rPr>
        <w:t xml:space="preserve">lavere </w:t>
      </w:r>
      <w:r>
        <w:rPr>
          <w:sz w:val="22"/>
          <w:szCs w:val="20"/>
        </w:rPr>
        <w:t>politisk tillit i maktdelingsland. Imidlertid er det knyttet usikkerhet til disse resultatene grunnet problemer med antall frihetsgrader. Kvinner er assosiert med høyere politisk tillit i land med closed-list PR. Generell politisk tillit i maktdelingsland og closed-list PR-land viser ingen effekt. Det gjelder også for kvinners politiske tillit i maktdelingsland, som ikke oppnår statistisk signifikans. Funnene indikerer at closed-list PR gir et godt utgangspunkt for videre statlig utvikling, mens politisk maktdeling som helhet svekker den politiske tilliten hos utsatte samfunnsgrupper og dermed svekker egne sjanser for en demokratisk og fredelig fremtid.</w:t>
      </w:r>
      <w:r>
        <w:br w:type="page"/>
      </w:r>
    </w:p>
    <w:p>
      <w:pPr>
        <w:pStyle w:val="Normal"/>
        <w:jc w:val="left"/>
        <w:rPr>
          <w:sz w:val="28"/>
          <w:szCs w:val="24"/>
        </w:rPr>
      </w:pPr>
      <w:r>
        <w:rPr>
          <w:sz w:val="28"/>
          <w:szCs w:val="24"/>
        </w:rPr>
      </w:r>
    </w:p>
    <w:sdt>
      <w:sdtPr>
        <w:docPartObj>
          <w:docPartGallery w:val="Table of Contents"/>
          <w:docPartUnique w:val="true"/>
        </w:docPartObj>
      </w:sdtPr>
      <w:sdtContent>
        <w:p>
          <w:pPr>
            <w:pStyle w:val="TOCHeading"/>
            <w:rPr/>
          </w:pPr>
          <w:r>
            <w:br w:type="page"/>
          </w:r>
          <w:r>
            <w:rPr/>
            <w:t>Innholdsfortegnelse</w:t>
          </w:r>
        </w:p>
        <w:p>
          <w:pPr>
            <w:pStyle w:val="Contents1"/>
            <w:tabs>
              <w:tab w:val="clear" w:pos="708"/>
              <w:tab w:val="right" w:pos="9062" w:leader="dot"/>
            </w:tabs>
            <w:rPr/>
          </w:pPr>
          <w:r>
            <w:fldChar w:fldCharType="begin"/>
          </w:r>
          <w:r>
            <w:rPr>
              <w:rStyle w:val="IndexLink"/>
            </w:rPr>
            <w:instrText> TOC \o "1-3" \h</w:instrText>
          </w:r>
          <w:r>
            <w:rPr>
              <w:rStyle w:val="IndexLink"/>
            </w:rPr>
            <w:fldChar w:fldCharType="separate"/>
          </w:r>
          <w:hyperlink w:anchor="_Toc72502709">
            <w:r>
              <w:rPr>
                <w:rStyle w:val="IndexLink"/>
              </w:rPr>
              <w:t>Kapittel 1. Innledning</w:t>
            </w:r>
          </w:hyperlink>
          <w:hyperlink w:anchor="_Toc72502709">
            <w:r>
              <w:rPr>
                <w:webHidden/>
              </w:rPr>
              <w:fldChar w:fldCharType="begin"/>
            </w:r>
            <w:r>
              <w:rPr>
                <w:webHidden/>
              </w:rPr>
              <w:instrText>PAGEREF _Toc72502709 \h</w:instrText>
            </w:r>
            <w:r>
              <w:rPr>
                <w:webHidden/>
              </w:rPr>
              <w:fldChar w:fldCharType="separate"/>
            </w:r>
            <w:r>
              <w:rPr>
                <w:rStyle w:val="IndexLink"/>
                <w:vanish w:val="false"/>
              </w:rPr>
              <w:tab/>
              <w:t>12</w:t>
            </w:r>
            <w:r>
              <w:rPr>
                <w:webHidden/>
              </w:rPr>
              <w:fldChar w:fldCharType="end"/>
            </w:r>
          </w:hyperlink>
        </w:p>
        <w:p>
          <w:pPr>
            <w:pStyle w:val="Contents2"/>
            <w:tabs>
              <w:tab w:val="clear" w:pos="708"/>
              <w:tab w:val="left" w:pos="880" w:leader="none"/>
              <w:tab w:val="right" w:pos="9062" w:leader="dot"/>
            </w:tabs>
            <w:rPr/>
          </w:pPr>
          <w:hyperlink w:anchor="_Toc72502710">
            <w:r>
              <w:rPr>
                <w:rStyle w:val="IndexLink"/>
                <w:lang w:val="en-US"/>
              </w:rPr>
              <w:t>1.1.</w:t>
            </w:r>
          </w:hyperlink>
          <w:hyperlink w:anchor="_Toc72502710">
            <w:r>
              <w:rPr>
                <w:webHidden/>
              </w:rPr>
              <w:fldChar w:fldCharType="begin"/>
            </w:r>
            <w:r>
              <w:rPr>
                <w:webHidden/>
              </w:rPr>
              <w:instrText>PAGEREF _Toc72502710 \h</w:instrText>
            </w:r>
            <w:r>
              <w:rPr>
                <w:webHidden/>
              </w:rPr>
              <w:fldChar w:fldCharType="separate"/>
            </w:r>
            <w:r>
              <w:rPr>
                <w:rStyle w:val="IndexLink"/>
                <w:rFonts w:ascii="Calibri" w:hAnsi="Calibri"/>
                <w:sz w:val="22"/>
                <w:lang w:eastAsia="nb-NO"/>
              </w:rPr>
              <w:tab/>
            </w:r>
            <w:r>
              <w:rPr>
                <w:webHidden/>
              </w:rPr>
              <w:fldChar w:fldCharType="end"/>
            </w:r>
          </w:hyperlink>
          <w:hyperlink w:anchor="_Toc72502710">
            <w:r>
              <w:rPr>
                <w:webHidden/>
              </w:rPr>
              <w:fldChar w:fldCharType="begin"/>
            </w:r>
            <w:r>
              <w:rPr>
                <w:webHidden/>
              </w:rPr>
              <w:instrText>PAGEREF _Toc72502710 \h</w:instrText>
            </w:r>
            <w:r>
              <w:rPr>
                <w:webHidden/>
              </w:rPr>
              <w:fldChar w:fldCharType="separate"/>
            </w:r>
            <w:r>
              <w:rPr>
                <w:rStyle w:val="IndexLink"/>
                <w:lang w:val="en-US"/>
              </w:rPr>
              <w:t>Introduksjon</w:t>
            </w:r>
            <w:r>
              <w:rPr>
                <w:webHidden/>
              </w:rPr>
              <w:fldChar w:fldCharType="end"/>
            </w:r>
          </w:hyperlink>
          <w:hyperlink w:anchor="_Toc72502710">
            <w:r>
              <w:rPr>
                <w:webHidden/>
              </w:rPr>
              <w:fldChar w:fldCharType="begin"/>
            </w:r>
            <w:r>
              <w:rPr>
                <w:webHidden/>
              </w:rPr>
              <w:instrText>PAGEREF _Toc72502710 \h</w:instrText>
            </w:r>
            <w:r>
              <w:rPr>
                <w:webHidden/>
              </w:rPr>
              <w:fldChar w:fldCharType="separate"/>
            </w:r>
            <w:r>
              <w:rPr>
                <w:rStyle w:val="IndexLink"/>
                <w:vanish w:val="false"/>
              </w:rPr>
              <w:tab/>
              <w:t>12</w:t>
            </w:r>
            <w:r>
              <w:rPr>
                <w:webHidden/>
              </w:rPr>
              <w:fldChar w:fldCharType="end"/>
            </w:r>
          </w:hyperlink>
        </w:p>
        <w:p>
          <w:pPr>
            <w:pStyle w:val="Contents2"/>
            <w:tabs>
              <w:tab w:val="clear" w:pos="708"/>
              <w:tab w:val="left" w:pos="880" w:leader="none"/>
              <w:tab w:val="right" w:pos="9062" w:leader="dot"/>
            </w:tabs>
            <w:rPr/>
          </w:pPr>
          <w:hyperlink w:anchor="_Toc72502711">
            <w:r>
              <w:rPr>
                <w:rStyle w:val="IndexLink"/>
                <w:lang w:val="en-US"/>
              </w:rPr>
              <w:t>1.2.</w:t>
            </w:r>
          </w:hyperlink>
          <w:hyperlink w:anchor="_Toc72502711">
            <w:r>
              <w:rPr>
                <w:webHidden/>
              </w:rPr>
              <w:fldChar w:fldCharType="begin"/>
            </w:r>
            <w:r>
              <w:rPr>
                <w:webHidden/>
              </w:rPr>
              <w:instrText>PAGEREF _Toc72502711 \h</w:instrText>
            </w:r>
            <w:r>
              <w:rPr>
                <w:webHidden/>
              </w:rPr>
              <w:fldChar w:fldCharType="separate"/>
            </w:r>
            <w:r>
              <w:rPr>
                <w:rStyle w:val="IndexLink"/>
                <w:rFonts w:ascii="Calibri" w:hAnsi="Calibri"/>
                <w:sz w:val="22"/>
                <w:lang w:eastAsia="nb-NO"/>
              </w:rPr>
              <w:tab/>
            </w:r>
            <w:r>
              <w:rPr>
                <w:webHidden/>
              </w:rPr>
              <w:fldChar w:fldCharType="end"/>
            </w:r>
          </w:hyperlink>
          <w:hyperlink w:anchor="_Toc72502711">
            <w:r>
              <w:rPr>
                <w:webHidden/>
              </w:rPr>
              <w:fldChar w:fldCharType="begin"/>
            </w:r>
            <w:r>
              <w:rPr>
                <w:webHidden/>
              </w:rPr>
              <w:instrText>PAGEREF _Toc72502711 \h</w:instrText>
            </w:r>
            <w:r>
              <w:rPr>
                <w:webHidden/>
              </w:rPr>
              <w:fldChar w:fldCharType="separate"/>
            </w:r>
            <w:r>
              <w:rPr>
                <w:rStyle w:val="IndexLink"/>
                <w:lang w:val="en-US"/>
              </w:rPr>
              <w:t>Struktur</w:t>
            </w:r>
            <w:r>
              <w:rPr>
                <w:webHidden/>
              </w:rPr>
              <w:fldChar w:fldCharType="end"/>
            </w:r>
          </w:hyperlink>
          <w:hyperlink w:anchor="_Toc72502711">
            <w:r>
              <w:rPr>
                <w:webHidden/>
              </w:rPr>
              <w:fldChar w:fldCharType="begin"/>
            </w:r>
            <w:r>
              <w:rPr>
                <w:webHidden/>
              </w:rPr>
              <w:instrText>PAGEREF _Toc72502711 \h</w:instrText>
            </w:r>
            <w:r>
              <w:rPr>
                <w:webHidden/>
              </w:rPr>
              <w:fldChar w:fldCharType="separate"/>
            </w:r>
            <w:r>
              <w:rPr>
                <w:rStyle w:val="IndexLink"/>
                <w:vanish w:val="false"/>
              </w:rPr>
              <w:tab/>
              <w:t>13</w:t>
            </w:r>
            <w:r>
              <w:rPr>
                <w:webHidden/>
              </w:rPr>
              <w:fldChar w:fldCharType="end"/>
            </w:r>
          </w:hyperlink>
        </w:p>
        <w:p>
          <w:pPr>
            <w:pStyle w:val="Contents1"/>
            <w:tabs>
              <w:tab w:val="clear" w:pos="708"/>
              <w:tab w:val="right" w:pos="9062" w:leader="dot"/>
            </w:tabs>
            <w:rPr/>
          </w:pPr>
          <w:hyperlink w:anchor="_Toc72502712">
            <w:r>
              <w:rPr>
                <w:rStyle w:val="IndexLink"/>
              </w:rPr>
              <w:t>Kapittel 2. Begrepsavklaring</w:t>
            </w:r>
          </w:hyperlink>
          <w:hyperlink w:anchor="_Toc72502712">
            <w:r>
              <w:rPr>
                <w:webHidden/>
              </w:rPr>
              <w:fldChar w:fldCharType="begin"/>
            </w:r>
            <w:r>
              <w:rPr>
                <w:webHidden/>
              </w:rPr>
              <w:instrText>PAGEREF _Toc72502712 \h</w:instrText>
            </w:r>
            <w:r>
              <w:rPr>
                <w:webHidden/>
              </w:rPr>
              <w:fldChar w:fldCharType="separate"/>
            </w:r>
            <w:r>
              <w:rPr>
                <w:rStyle w:val="IndexLink"/>
                <w:vanish w:val="false"/>
              </w:rPr>
              <w:tab/>
              <w:t>14</w:t>
            </w:r>
            <w:r>
              <w:rPr>
                <w:webHidden/>
              </w:rPr>
              <w:fldChar w:fldCharType="end"/>
            </w:r>
          </w:hyperlink>
        </w:p>
        <w:p>
          <w:pPr>
            <w:pStyle w:val="Contents2"/>
            <w:tabs>
              <w:tab w:val="clear" w:pos="708"/>
              <w:tab w:val="right" w:pos="9062" w:leader="dot"/>
            </w:tabs>
            <w:rPr/>
          </w:pPr>
          <w:hyperlink w:anchor="_Toc72502713">
            <w:r>
              <w:rPr>
                <w:rStyle w:val="IndexLink"/>
              </w:rPr>
              <w:t>2.1. Politisk tillit</w:t>
            </w:r>
          </w:hyperlink>
          <w:hyperlink w:anchor="_Toc72502713">
            <w:r>
              <w:rPr>
                <w:webHidden/>
              </w:rPr>
              <w:fldChar w:fldCharType="begin"/>
            </w:r>
            <w:r>
              <w:rPr>
                <w:webHidden/>
              </w:rPr>
              <w:instrText>PAGEREF _Toc72502713 \h</w:instrText>
            </w:r>
            <w:r>
              <w:rPr>
                <w:webHidden/>
              </w:rPr>
              <w:fldChar w:fldCharType="separate"/>
            </w:r>
            <w:r>
              <w:rPr>
                <w:rStyle w:val="IndexLink"/>
                <w:vanish w:val="false"/>
              </w:rPr>
              <w:tab/>
              <w:t>14</w:t>
            </w:r>
            <w:r>
              <w:rPr>
                <w:webHidden/>
              </w:rPr>
              <w:fldChar w:fldCharType="end"/>
            </w:r>
          </w:hyperlink>
        </w:p>
        <w:p>
          <w:pPr>
            <w:pStyle w:val="Contents2"/>
            <w:tabs>
              <w:tab w:val="clear" w:pos="708"/>
              <w:tab w:val="right" w:pos="9062" w:leader="dot"/>
            </w:tabs>
            <w:rPr/>
          </w:pPr>
          <w:hyperlink w:anchor="_Toc72502714">
            <w:r>
              <w:rPr>
                <w:rStyle w:val="IndexLink"/>
              </w:rPr>
              <w:t>2.2. Maktdeling</w:t>
            </w:r>
          </w:hyperlink>
          <w:hyperlink w:anchor="_Toc72502714">
            <w:r>
              <w:rPr>
                <w:webHidden/>
              </w:rPr>
              <w:fldChar w:fldCharType="begin"/>
            </w:r>
            <w:r>
              <w:rPr>
                <w:webHidden/>
              </w:rPr>
              <w:instrText>PAGEREF _Toc72502714 \h</w:instrText>
            </w:r>
            <w:r>
              <w:rPr>
                <w:webHidden/>
              </w:rPr>
              <w:fldChar w:fldCharType="separate"/>
            </w:r>
            <w:r>
              <w:rPr>
                <w:rStyle w:val="IndexLink"/>
                <w:vanish w:val="false"/>
              </w:rPr>
              <w:tab/>
              <w:t>15</w:t>
            </w:r>
            <w:r>
              <w:rPr>
                <w:webHidden/>
              </w:rPr>
              <w:fldChar w:fldCharType="end"/>
            </w:r>
          </w:hyperlink>
        </w:p>
        <w:p>
          <w:pPr>
            <w:pStyle w:val="Contents3"/>
            <w:tabs>
              <w:tab w:val="clear" w:pos="708"/>
              <w:tab w:val="right" w:pos="9062" w:leader="dot"/>
            </w:tabs>
            <w:rPr/>
          </w:pPr>
          <w:hyperlink w:anchor="_Toc72502715">
            <w:r>
              <w:rPr>
                <w:rStyle w:val="IndexLink"/>
              </w:rPr>
              <w:t>2.2.1. Hva er maktdeling?</w:t>
            </w:r>
          </w:hyperlink>
          <w:hyperlink w:anchor="_Toc72502715">
            <w:r>
              <w:rPr>
                <w:webHidden/>
              </w:rPr>
              <w:fldChar w:fldCharType="begin"/>
            </w:r>
            <w:r>
              <w:rPr>
                <w:webHidden/>
              </w:rPr>
              <w:instrText>PAGEREF _Toc72502715 \h</w:instrText>
            </w:r>
            <w:r>
              <w:rPr>
                <w:webHidden/>
              </w:rPr>
              <w:fldChar w:fldCharType="separate"/>
            </w:r>
            <w:r>
              <w:rPr>
                <w:rStyle w:val="IndexLink"/>
                <w:vanish w:val="false"/>
              </w:rPr>
              <w:tab/>
              <w:t>15</w:t>
            </w:r>
            <w:r>
              <w:rPr>
                <w:webHidden/>
              </w:rPr>
              <w:fldChar w:fldCharType="end"/>
            </w:r>
          </w:hyperlink>
        </w:p>
        <w:p>
          <w:pPr>
            <w:pStyle w:val="Contents3"/>
            <w:tabs>
              <w:tab w:val="clear" w:pos="708"/>
              <w:tab w:val="right" w:pos="9062" w:leader="dot"/>
            </w:tabs>
            <w:rPr/>
          </w:pPr>
          <w:hyperlink w:anchor="_Toc72502716">
            <w:r>
              <w:rPr>
                <w:rStyle w:val="IndexLink"/>
              </w:rPr>
              <w:t>2.2.2. Former for maktdeling</w:t>
            </w:r>
          </w:hyperlink>
          <w:hyperlink w:anchor="_Toc72502716">
            <w:r>
              <w:rPr>
                <w:webHidden/>
              </w:rPr>
              <w:fldChar w:fldCharType="begin"/>
            </w:r>
            <w:r>
              <w:rPr>
                <w:webHidden/>
              </w:rPr>
              <w:instrText>PAGEREF _Toc72502716 \h</w:instrText>
            </w:r>
            <w:r>
              <w:rPr>
                <w:webHidden/>
              </w:rPr>
              <w:fldChar w:fldCharType="separate"/>
            </w:r>
            <w:r>
              <w:rPr>
                <w:rStyle w:val="IndexLink"/>
                <w:vanish w:val="false"/>
              </w:rPr>
              <w:tab/>
              <w:t>16</w:t>
            </w:r>
            <w:r>
              <w:rPr>
                <w:webHidden/>
              </w:rPr>
              <w:fldChar w:fldCharType="end"/>
            </w:r>
          </w:hyperlink>
        </w:p>
        <w:p>
          <w:pPr>
            <w:pStyle w:val="Contents3"/>
            <w:tabs>
              <w:tab w:val="clear" w:pos="708"/>
              <w:tab w:val="right" w:pos="9062" w:leader="dot"/>
            </w:tabs>
            <w:rPr/>
          </w:pPr>
          <w:hyperlink w:anchor="_Toc72502717">
            <w:r>
              <w:rPr>
                <w:rStyle w:val="IndexLink"/>
              </w:rPr>
              <w:t>2.2.3. Politisk maktdeling</w:t>
            </w:r>
          </w:hyperlink>
          <w:hyperlink w:anchor="_Toc72502717">
            <w:r>
              <w:rPr>
                <w:webHidden/>
              </w:rPr>
              <w:fldChar w:fldCharType="begin"/>
            </w:r>
            <w:r>
              <w:rPr>
                <w:webHidden/>
              </w:rPr>
              <w:instrText>PAGEREF _Toc72502717 \h</w:instrText>
            </w:r>
            <w:r>
              <w:rPr>
                <w:webHidden/>
              </w:rPr>
              <w:fldChar w:fldCharType="separate"/>
            </w:r>
            <w:r>
              <w:rPr>
                <w:rStyle w:val="IndexLink"/>
                <w:vanish w:val="false"/>
              </w:rPr>
              <w:tab/>
              <w:t>17</w:t>
            </w:r>
            <w:r>
              <w:rPr>
                <w:webHidden/>
              </w:rPr>
              <w:fldChar w:fldCharType="end"/>
            </w:r>
          </w:hyperlink>
        </w:p>
        <w:p>
          <w:pPr>
            <w:pStyle w:val="Contents1"/>
            <w:tabs>
              <w:tab w:val="clear" w:pos="708"/>
              <w:tab w:val="right" w:pos="9062" w:leader="dot"/>
            </w:tabs>
            <w:rPr/>
          </w:pPr>
          <w:hyperlink w:anchor="_Toc72502718">
            <w:r>
              <w:rPr>
                <w:rStyle w:val="IndexLink"/>
              </w:rPr>
              <w:t>Kapittel 3. Historie</w:t>
            </w:r>
          </w:hyperlink>
          <w:hyperlink w:anchor="_Toc72502718">
            <w:r>
              <w:rPr>
                <w:webHidden/>
              </w:rPr>
              <w:fldChar w:fldCharType="begin"/>
            </w:r>
            <w:r>
              <w:rPr>
                <w:webHidden/>
              </w:rPr>
              <w:instrText>PAGEREF _Toc72502718 \h</w:instrText>
            </w:r>
            <w:r>
              <w:rPr>
                <w:webHidden/>
              </w:rPr>
              <w:fldChar w:fldCharType="separate"/>
            </w:r>
            <w:r>
              <w:rPr>
                <w:rStyle w:val="IndexLink"/>
                <w:vanish w:val="false"/>
              </w:rPr>
              <w:tab/>
              <w:t>18</w:t>
            </w:r>
            <w:r>
              <w:rPr>
                <w:webHidden/>
              </w:rPr>
              <w:fldChar w:fldCharType="end"/>
            </w:r>
          </w:hyperlink>
        </w:p>
        <w:p>
          <w:pPr>
            <w:pStyle w:val="Contents2"/>
            <w:tabs>
              <w:tab w:val="clear" w:pos="708"/>
              <w:tab w:val="left" w:pos="880" w:leader="none"/>
              <w:tab w:val="right" w:pos="9062" w:leader="dot"/>
            </w:tabs>
            <w:rPr/>
          </w:pPr>
          <w:hyperlink w:anchor="_Toc72502719">
            <w:r>
              <w:rPr>
                <w:rStyle w:val="IndexLink"/>
              </w:rPr>
              <w:t>3.1.</w:t>
            </w:r>
          </w:hyperlink>
          <w:hyperlink w:anchor="_Toc72502719">
            <w:r>
              <w:rPr>
                <w:webHidden/>
              </w:rPr>
              <w:fldChar w:fldCharType="begin"/>
            </w:r>
            <w:r>
              <w:rPr>
                <w:webHidden/>
              </w:rPr>
              <w:instrText>PAGEREF _Toc72502719 \h</w:instrText>
            </w:r>
            <w:r>
              <w:rPr>
                <w:webHidden/>
              </w:rPr>
              <w:fldChar w:fldCharType="separate"/>
            </w:r>
            <w:r>
              <w:rPr>
                <w:rStyle w:val="IndexLink"/>
                <w:rFonts w:ascii="Calibri" w:hAnsi="Calibri"/>
                <w:sz w:val="22"/>
                <w:lang w:eastAsia="nb-NO"/>
              </w:rPr>
              <w:tab/>
            </w:r>
            <w:r>
              <w:rPr>
                <w:webHidden/>
              </w:rPr>
              <w:fldChar w:fldCharType="end"/>
            </w:r>
          </w:hyperlink>
          <w:hyperlink w:anchor="_Toc72502719">
            <w:r>
              <w:rPr>
                <w:webHidden/>
              </w:rPr>
              <w:fldChar w:fldCharType="begin"/>
            </w:r>
            <w:r>
              <w:rPr>
                <w:webHidden/>
              </w:rPr>
              <w:instrText>PAGEREF _Toc72502719 \h</w:instrText>
            </w:r>
            <w:r>
              <w:rPr>
                <w:webHidden/>
              </w:rPr>
              <w:fldChar w:fldCharType="separate"/>
            </w:r>
            <w:r>
              <w:rPr>
                <w:rStyle w:val="IndexLink"/>
              </w:rPr>
              <w:t>Bakgrunn: Kolonisering</w:t>
            </w:r>
            <w:r>
              <w:rPr>
                <w:webHidden/>
              </w:rPr>
              <w:fldChar w:fldCharType="end"/>
            </w:r>
          </w:hyperlink>
          <w:hyperlink w:anchor="_Toc72502719">
            <w:r>
              <w:rPr>
                <w:webHidden/>
              </w:rPr>
              <w:fldChar w:fldCharType="begin"/>
            </w:r>
            <w:r>
              <w:rPr>
                <w:webHidden/>
              </w:rPr>
              <w:instrText>PAGEREF _Toc72502719 \h</w:instrText>
            </w:r>
            <w:r>
              <w:rPr>
                <w:webHidden/>
              </w:rPr>
              <w:fldChar w:fldCharType="separate"/>
            </w:r>
            <w:r>
              <w:rPr>
                <w:rStyle w:val="IndexLink"/>
                <w:vanish w:val="false"/>
              </w:rPr>
              <w:tab/>
              <w:t>18</w:t>
            </w:r>
            <w:r>
              <w:rPr>
                <w:webHidden/>
              </w:rPr>
              <w:fldChar w:fldCharType="end"/>
            </w:r>
          </w:hyperlink>
        </w:p>
        <w:p>
          <w:pPr>
            <w:pStyle w:val="Contents2"/>
            <w:tabs>
              <w:tab w:val="clear" w:pos="708"/>
              <w:tab w:val="left" w:pos="880" w:leader="none"/>
              <w:tab w:val="right" w:pos="9062" w:leader="dot"/>
            </w:tabs>
            <w:rPr/>
          </w:pPr>
          <w:hyperlink w:anchor="_Toc72502720">
            <w:r>
              <w:rPr>
                <w:rStyle w:val="IndexLink"/>
              </w:rPr>
              <w:t>3.2.</w:t>
            </w:r>
          </w:hyperlink>
          <w:hyperlink w:anchor="_Toc72502720">
            <w:r>
              <w:rPr>
                <w:webHidden/>
              </w:rPr>
              <w:fldChar w:fldCharType="begin"/>
            </w:r>
            <w:r>
              <w:rPr>
                <w:webHidden/>
              </w:rPr>
              <w:instrText>PAGEREF _Toc72502720 \h</w:instrText>
            </w:r>
            <w:r>
              <w:rPr>
                <w:webHidden/>
              </w:rPr>
              <w:fldChar w:fldCharType="separate"/>
            </w:r>
            <w:r>
              <w:rPr>
                <w:rStyle w:val="IndexLink"/>
                <w:rFonts w:ascii="Calibri" w:hAnsi="Calibri"/>
                <w:sz w:val="22"/>
                <w:lang w:eastAsia="nb-NO"/>
              </w:rPr>
              <w:tab/>
            </w:r>
            <w:r>
              <w:rPr>
                <w:webHidden/>
              </w:rPr>
              <w:fldChar w:fldCharType="end"/>
            </w:r>
          </w:hyperlink>
          <w:hyperlink w:anchor="_Toc72502720">
            <w:r>
              <w:rPr>
                <w:webHidden/>
              </w:rPr>
              <w:fldChar w:fldCharType="begin"/>
            </w:r>
            <w:r>
              <w:rPr>
                <w:webHidden/>
              </w:rPr>
              <w:instrText>PAGEREF _Toc72502720 \h</w:instrText>
            </w:r>
            <w:r>
              <w:rPr>
                <w:webHidden/>
              </w:rPr>
              <w:fldChar w:fldCharType="separate"/>
            </w:r>
            <w:r>
              <w:rPr>
                <w:rStyle w:val="IndexLink"/>
                <w:shd w:fill="FFFFFF" w:val="clear"/>
              </w:rPr>
              <w:t>Maktdeling: Case-eksempler fra Afrika</w:t>
            </w:r>
            <w:r>
              <w:rPr>
                <w:webHidden/>
              </w:rPr>
              <w:fldChar w:fldCharType="end"/>
            </w:r>
          </w:hyperlink>
          <w:hyperlink w:anchor="_Toc72502720">
            <w:r>
              <w:rPr>
                <w:webHidden/>
              </w:rPr>
              <w:fldChar w:fldCharType="begin"/>
            </w:r>
            <w:r>
              <w:rPr>
                <w:webHidden/>
              </w:rPr>
              <w:instrText>PAGEREF _Toc72502720 \h</w:instrText>
            </w:r>
            <w:r>
              <w:rPr>
                <w:webHidden/>
              </w:rPr>
              <w:fldChar w:fldCharType="separate"/>
            </w:r>
            <w:r>
              <w:rPr>
                <w:rStyle w:val="IndexLink"/>
                <w:vanish w:val="false"/>
              </w:rPr>
              <w:tab/>
              <w:t>19</w:t>
            </w:r>
            <w:r>
              <w:rPr>
                <w:webHidden/>
              </w:rPr>
              <w:fldChar w:fldCharType="end"/>
            </w:r>
          </w:hyperlink>
        </w:p>
        <w:p>
          <w:pPr>
            <w:pStyle w:val="Contents1"/>
            <w:tabs>
              <w:tab w:val="clear" w:pos="708"/>
              <w:tab w:val="right" w:pos="9062" w:leader="dot"/>
            </w:tabs>
            <w:rPr/>
          </w:pPr>
          <w:hyperlink w:anchor="_Toc72502721">
            <w:r>
              <w:rPr>
                <w:rStyle w:val="IndexLink"/>
              </w:rPr>
              <w:t>Kapittel 4. Tidligere forskning</w:t>
            </w:r>
          </w:hyperlink>
          <w:hyperlink w:anchor="_Toc72502721">
            <w:r>
              <w:rPr>
                <w:webHidden/>
              </w:rPr>
              <w:fldChar w:fldCharType="begin"/>
            </w:r>
            <w:r>
              <w:rPr>
                <w:webHidden/>
              </w:rPr>
              <w:instrText>PAGEREF _Toc72502721 \h</w:instrText>
            </w:r>
            <w:r>
              <w:rPr>
                <w:webHidden/>
              </w:rPr>
              <w:fldChar w:fldCharType="separate"/>
            </w:r>
            <w:r>
              <w:rPr>
                <w:rStyle w:val="IndexLink"/>
                <w:vanish w:val="false"/>
              </w:rPr>
              <w:tab/>
              <w:t>21</w:t>
            </w:r>
            <w:r>
              <w:rPr>
                <w:webHidden/>
              </w:rPr>
              <w:fldChar w:fldCharType="end"/>
            </w:r>
          </w:hyperlink>
        </w:p>
        <w:p>
          <w:pPr>
            <w:pStyle w:val="Contents2"/>
            <w:tabs>
              <w:tab w:val="clear" w:pos="708"/>
              <w:tab w:val="right" w:pos="9062" w:leader="dot"/>
            </w:tabs>
            <w:rPr/>
          </w:pPr>
          <w:hyperlink w:anchor="_Toc72502722">
            <w:r>
              <w:rPr>
                <w:rStyle w:val="IndexLink"/>
              </w:rPr>
              <w:t>4.1. Maktdeling og politisk tillit</w:t>
            </w:r>
          </w:hyperlink>
          <w:hyperlink w:anchor="_Toc72502722">
            <w:r>
              <w:rPr>
                <w:webHidden/>
              </w:rPr>
              <w:fldChar w:fldCharType="begin"/>
            </w:r>
            <w:r>
              <w:rPr>
                <w:webHidden/>
              </w:rPr>
              <w:instrText>PAGEREF _Toc72502722 \h</w:instrText>
            </w:r>
            <w:r>
              <w:rPr>
                <w:webHidden/>
              </w:rPr>
              <w:fldChar w:fldCharType="separate"/>
            </w:r>
            <w:r>
              <w:rPr>
                <w:rStyle w:val="IndexLink"/>
                <w:vanish w:val="false"/>
              </w:rPr>
              <w:tab/>
              <w:t>21</w:t>
            </w:r>
            <w:r>
              <w:rPr>
                <w:webHidden/>
              </w:rPr>
              <w:fldChar w:fldCharType="end"/>
            </w:r>
          </w:hyperlink>
        </w:p>
        <w:p>
          <w:pPr>
            <w:pStyle w:val="Contents2"/>
            <w:tabs>
              <w:tab w:val="clear" w:pos="708"/>
              <w:tab w:val="right" w:pos="9062" w:leader="dot"/>
            </w:tabs>
            <w:rPr/>
          </w:pPr>
          <w:hyperlink w:anchor="_Toc72502723">
            <w:r>
              <w:rPr>
                <w:rStyle w:val="IndexLink"/>
                <w:shd w:fill="FFFFFF" w:val="clear"/>
              </w:rPr>
              <w:t>4.2. Maktdeling og etniske grupper</w:t>
            </w:r>
          </w:hyperlink>
          <w:hyperlink w:anchor="_Toc72502723">
            <w:r>
              <w:rPr>
                <w:webHidden/>
              </w:rPr>
              <w:fldChar w:fldCharType="begin"/>
            </w:r>
            <w:r>
              <w:rPr>
                <w:webHidden/>
              </w:rPr>
              <w:instrText>PAGEREF _Toc72502723 \h</w:instrText>
            </w:r>
            <w:r>
              <w:rPr>
                <w:webHidden/>
              </w:rPr>
              <w:fldChar w:fldCharType="separate"/>
            </w:r>
            <w:r>
              <w:rPr>
                <w:rStyle w:val="IndexLink"/>
                <w:vanish w:val="false"/>
              </w:rPr>
              <w:tab/>
              <w:t>21</w:t>
            </w:r>
            <w:r>
              <w:rPr>
                <w:webHidden/>
              </w:rPr>
              <w:fldChar w:fldCharType="end"/>
            </w:r>
          </w:hyperlink>
        </w:p>
        <w:p>
          <w:pPr>
            <w:pStyle w:val="Contents2"/>
            <w:tabs>
              <w:tab w:val="clear" w:pos="708"/>
              <w:tab w:val="right" w:pos="9062" w:leader="dot"/>
            </w:tabs>
            <w:rPr/>
          </w:pPr>
          <w:hyperlink w:anchor="_Toc72502724">
            <w:r>
              <w:rPr>
                <w:rStyle w:val="IndexLink"/>
              </w:rPr>
              <w:t>4.3. Kvinners rettigheter i kjølvannet av konflikt</w:t>
            </w:r>
          </w:hyperlink>
          <w:hyperlink w:anchor="_Toc72502724">
            <w:r>
              <w:rPr>
                <w:webHidden/>
              </w:rPr>
              <w:fldChar w:fldCharType="begin"/>
            </w:r>
            <w:r>
              <w:rPr>
                <w:webHidden/>
              </w:rPr>
              <w:instrText>PAGEREF _Toc72502724 \h</w:instrText>
            </w:r>
            <w:r>
              <w:rPr>
                <w:webHidden/>
              </w:rPr>
              <w:fldChar w:fldCharType="separate"/>
            </w:r>
            <w:r>
              <w:rPr>
                <w:rStyle w:val="IndexLink"/>
                <w:vanish w:val="false"/>
              </w:rPr>
              <w:tab/>
              <w:t>21</w:t>
            </w:r>
            <w:r>
              <w:rPr>
                <w:webHidden/>
              </w:rPr>
              <w:fldChar w:fldCharType="end"/>
            </w:r>
          </w:hyperlink>
        </w:p>
        <w:p>
          <w:pPr>
            <w:pStyle w:val="Contents2"/>
            <w:tabs>
              <w:tab w:val="clear" w:pos="708"/>
              <w:tab w:val="right" w:pos="9062" w:leader="dot"/>
            </w:tabs>
            <w:rPr/>
          </w:pPr>
          <w:hyperlink w:anchor="_Toc72502725">
            <w:r>
              <w:rPr>
                <w:rStyle w:val="IndexLink"/>
              </w:rPr>
              <w:t>4.4.  Maktdeling og konsekvenser på landnivå</w:t>
            </w:r>
          </w:hyperlink>
          <w:hyperlink w:anchor="_Toc72502725">
            <w:r>
              <w:rPr>
                <w:webHidden/>
              </w:rPr>
              <w:fldChar w:fldCharType="begin"/>
            </w:r>
            <w:r>
              <w:rPr>
                <w:webHidden/>
              </w:rPr>
              <w:instrText>PAGEREF _Toc72502725 \h</w:instrText>
            </w:r>
            <w:r>
              <w:rPr>
                <w:webHidden/>
              </w:rPr>
              <w:fldChar w:fldCharType="separate"/>
            </w:r>
            <w:r>
              <w:rPr>
                <w:rStyle w:val="IndexLink"/>
                <w:vanish w:val="false"/>
              </w:rPr>
              <w:tab/>
            </w:r>
            <w:r>
              <w:rPr>
                <w:webHidden/>
              </w:rPr>
              <w:fldChar w:fldCharType="end"/>
            </w:r>
          </w:hyperlink>
          <w:hyperlink w:anchor="_Toc72502725">
            <w:r>
              <w:rPr>
                <w:webHidden/>
              </w:rPr>
              <w:fldChar w:fldCharType="begin"/>
            </w:r>
            <w:r>
              <w:rPr>
                <w:webHidden/>
              </w:rPr>
              <w:instrText>PAGEREF _Toc72502725 \h</w:instrText>
            </w:r>
            <w:r>
              <w:rPr>
                <w:webHidden/>
              </w:rPr>
              <w:fldChar w:fldCharType="separate"/>
            </w:r>
            <w:r>
              <w:rPr>
                <w:rStyle w:val="IndexLink"/>
                <w:vanish w:val="false"/>
              </w:rPr>
              <w:t>ø</w:t>
            </w:r>
            <w:r>
              <w:rPr>
                <w:webHidden/>
              </w:rPr>
              <w:fldChar w:fldCharType="end"/>
            </w:r>
          </w:hyperlink>
          <w:hyperlink w:anchor="_Toc72502725">
            <w:r>
              <w:rPr>
                <w:webHidden/>
              </w:rPr>
              <w:fldChar w:fldCharType="begin"/>
            </w:r>
            <w:r>
              <w:rPr>
                <w:webHidden/>
              </w:rPr>
              <w:instrText>PAGEREF _Toc72502725 \h</w:instrText>
            </w:r>
            <w:r>
              <w:rPr>
                <w:webHidden/>
              </w:rPr>
              <w:fldChar w:fldCharType="separate"/>
            </w:r>
            <w:r>
              <w:rPr>
                <w:rStyle w:val="IndexLink"/>
                <w:vanish w:val="false"/>
              </w:rPr>
              <w:t>ø</w:t>
            </w:r>
            <w:r>
              <w:rPr>
                <w:webHidden/>
              </w:rPr>
              <w:fldChar w:fldCharType="end"/>
            </w:r>
          </w:hyperlink>
          <w:hyperlink w:anchor="_Toc72502725">
            <w:r>
              <w:rPr>
                <w:webHidden/>
              </w:rPr>
              <w:fldChar w:fldCharType="begin"/>
            </w:r>
            <w:r>
              <w:rPr>
                <w:webHidden/>
              </w:rPr>
              <w:instrText>PAGEREF _Toc72502725 \h</w:instrText>
            </w:r>
            <w:r>
              <w:rPr>
                <w:webHidden/>
              </w:rPr>
              <w:fldChar w:fldCharType="separate"/>
            </w:r>
            <w:r>
              <w:rPr>
                <w:rStyle w:val="IndexLink"/>
                <w:vanish w:val="false"/>
              </w:rPr>
              <w:t>22</w:t>
            </w:r>
            <w:r>
              <w:rPr>
                <w:webHidden/>
              </w:rPr>
              <w:fldChar w:fldCharType="end"/>
            </w:r>
          </w:hyperlink>
        </w:p>
        <w:p>
          <w:pPr>
            <w:pStyle w:val="Contents2"/>
            <w:tabs>
              <w:tab w:val="clear" w:pos="708"/>
              <w:tab w:val="right" w:pos="9062" w:leader="dot"/>
            </w:tabs>
            <w:rPr/>
          </w:pPr>
          <w:hyperlink w:anchor="_Toc72502726">
            <w:r>
              <w:rPr>
                <w:rStyle w:val="IndexLink"/>
              </w:rPr>
              <w:t>4.5. Institusjonsbygging</w:t>
            </w:r>
          </w:hyperlink>
          <w:hyperlink w:anchor="_Toc72502726">
            <w:r>
              <w:rPr>
                <w:webHidden/>
              </w:rPr>
              <w:fldChar w:fldCharType="begin"/>
            </w:r>
            <w:r>
              <w:rPr>
                <w:webHidden/>
              </w:rPr>
              <w:instrText>PAGEREF _Toc72502726 \h</w:instrText>
            </w:r>
            <w:r>
              <w:rPr>
                <w:webHidden/>
              </w:rPr>
              <w:fldChar w:fldCharType="separate"/>
            </w:r>
            <w:r>
              <w:rPr>
                <w:rStyle w:val="IndexLink"/>
                <w:vanish w:val="false"/>
              </w:rPr>
              <w:tab/>
              <w:t>23</w:t>
            </w:r>
            <w:r>
              <w:rPr>
                <w:webHidden/>
              </w:rPr>
              <w:fldChar w:fldCharType="end"/>
            </w:r>
          </w:hyperlink>
        </w:p>
        <w:p>
          <w:pPr>
            <w:pStyle w:val="Contents1"/>
            <w:tabs>
              <w:tab w:val="clear" w:pos="708"/>
              <w:tab w:val="right" w:pos="9062" w:leader="dot"/>
            </w:tabs>
            <w:rPr/>
          </w:pPr>
          <w:hyperlink w:anchor="_Toc72502727">
            <w:r>
              <w:rPr>
                <w:rStyle w:val="IndexLink"/>
              </w:rPr>
              <w:t>Kapittel 5. Teoretisk rammeverk</w:t>
            </w:r>
          </w:hyperlink>
          <w:hyperlink w:anchor="_Toc72502727">
            <w:r>
              <w:rPr>
                <w:webHidden/>
              </w:rPr>
              <w:fldChar w:fldCharType="begin"/>
            </w:r>
            <w:r>
              <w:rPr>
                <w:webHidden/>
              </w:rPr>
              <w:instrText>PAGEREF _Toc72502727 \h</w:instrText>
            </w:r>
            <w:r>
              <w:rPr>
                <w:webHidden/>
              </w:rPr>
              <w:fldChar w:fldCharType="separate"/>
            </w:r>
            <w:r>
              <w:rPr>
                <w:rStyle w:val="IndexLink"/>
                <w:vanish w:val="false"/>
              </w:rPr>
              <w:tab/>
              <w:t>24</w:t>
            </w:r>
            <w:r>
              <w:rPr>
                <w:webHidden/>
              </w:rPr>
              <w:fldChar w:fldCharType="end"/>
            </w:r>
          </w:hyperlink>
        </w:p>
        <w:p>
          <w:pPr>
            <w:pStyle w:val="Contents2"/>
            <w:tabs>
              <w:tab w:val="clear" w:pos="708"/>
              <w:tab w:val="left" w:pos="880" w:leader="none"/>
              <w:tab w:val="right" w:pos="9062" w:leader="dot"/>
            </w:tabs>
            <w:rPr/>
          </w:pPr>
          <w:hyperlink w:anchor="_Toc72502728">
            <w:r>
              <w:rPr>
                <w:rStyle w:val="IndexLink"/>
              </w:rPr>
              <w:t>5.1.</w:t>
            </w:r>
          </w:hyperlink>
          <w:hyperlink w:anchor="_Toc72502728">
            <w:r>
              <w:rPr>
                <w:webHidden/>
              </w:rPr>
              <w:fldChar w:fldCharType="begin"/>
            </w:r>
            <w:r>
              <w:rPr>
                <w:webHidden/>
              </w:rPr>
              <w:instrText>PAGEREF _Toc72502728 \h</w:instrText>
            </w:r>
            <w:r>
              <w:rPr>
                <w:webHidden/>
              </w:rPr>
              <w:fldChar w:fldCharType="separate"/>
            </w:r>
            <w:r>
              <w:rPr>
                <w:rStyle w:val="IndexLink"/>
                <w:rFonts w:ascii="Calibri" w:hAnsi="Calibri"/>
                <w:sz w:val="22"/>
                <w:lang w:eastAsia="nb-NO"/>
              </w:rPr>
              <w:tab/>
            </w:r>
            <w:r>
              <w:rPr>
                <w:webHidden/>
              </w:rPr>
              <w:fldChar w:fldCharType="end"/>
            </w:r>
          </w:hyperlink>
          <w:hyperlink w:anchor="_Toc72502728">
            <w:r>
              <w:rPr>
                <w:webHidden/>
              </w:rPr>
              <w:fldChar w:fldCharType="begin"/>
            </w:r>
            <w:r>
              <w:rPr>
                <w:webHidden/>
              </w:rPr>
              <w:instrText>PAGEREF _Toc72502728 \h</w:instrText>
            </w:r>
            <w:r>
              <w:rPr>
                <w:webHidden/>
              </w:rPr>
              <w:fldChar w:fldCharType="separate"/>
            </w:r>
            <w:r>
              <w:rPr>
                <w:rStyle w:val="IndexLink"/>
              </w:rPr>
              <w:t>Politisk tillit</w:t>
            </w:r>
            <w:r>
              <w:rPr>
                <w:webHidden/>
              </w:rPr>
              <w:fldChar w:fldCharType="end"/>
            </w:r>
          </w:hyperlink>
          <w:hyperlink w:anchor="_Toc72502728">
            <w:r>
              <w:rPr>
                <w:webHidden/>
              </w:rPr>
              <w:fldChar w:fldCharType="begin"/>
            </w:r>
            <w:r>
              <w:rPr>
                <w:webHidden/>
              </w:rPr>
              <w:instrText>PAGEREF _Toc72502728 \h</w:instrText>
            </w:r>
            <w:r>
              <w:rPr>
                <w:webHidden/>
              </w:rPr>
              <w:fldChar w:fldCharType="separate"/>
            </w:r>
            <w:r>
              <w:rPr>
                <w:rStyle w:val="IndexLink"/>
                <w:vanish w:val="false"/>
              </w:rPr>
              <w:tab/>
              <w:t>24</w:t>
            </w:r>
            <w:r>
              <w:rPr>
                <w:webHidden/>
              </w:rPr>
              <w:fldChar w:fldCharType="end"/>
            </w:r>
          </w:hyperlink>
        </w:p>
        <w:p>
          <w:pPr>
            <w:pStyle w:val="Contents3"/>
            <w:tabs>
              <w:tab w:val="clear" w:pos="708"/>
              <w:tab w:val="left" w:pos="1320" w:leader="none"/>
              <w:tab w:val="right" w:pos="9062" w:leader="dot"/>
            </w:tabs>
            <w:rPr/>
          </w:pPr>
          <w:hyperlink w:anchor="_Toc72502729">
            <w:r>
              <w:rPr>
                <w:rStyle w:val="IndexLink"/>
              </w:rPr>
              <w:t>5.1.1.</w:t>
            </w:r>
          </w:hyperlink>
          <w:hyperlink w:anchor="_Toc72502729">
            <w:r>
              <w:rPr>
                <w:webHidden/>
              </w:rPr>
              <w:fldChar w:fldCharType="begin"/>
            </w:r>
            <w:r>
              <w:rPr>
                <w:webHidden/>
              </w:rPr>
              <w:instrText>PAGEREF _Toc72502729 \h</w:instrText>
            </w:r>
            <w:r>
              <w:rPr>
                <w:webHidden/>
              </w:rPr>
              <w:fldChar w:fldCharType="separate"/>
            </w:r>
            <w:r>
              <w:rPr>
                <w:rStyle w:val="IndexLink"/>
                <w:rFonts w:ascii="Calibri" w:hAnsi="Calibri"/>
                <w:sz w:val="22"/>
                <w:lang w:eastAsia="nb-NO"/>
              </w:rPr>
              <w:tab/>
            </w:r>
            <w:r>
              <w:rPr>
                <w:webHidden/>
              </w:rPr>
              <w:fldChar w:fldCharType="end"/>
            </w:r>
          </w:hyperlink>
          <w:hyperlink w:anchor="_Toc72502729">
            <w:r>
              <w:rPr>
                <w:webHidden/>
              </w:rPr>
              <w:fldChar w:fldCharType="begin"/>
            </w:r>
            <w:r>
              <w:rPr>
                <w:webHidden/>
              </w:rPr>
              <w:instrText>PAGEREF _Toc72502729 \h</w:instrText>
            </w:r>
            <w:r>
              <w:rPr>
                <w:webHidden/>
              </w:rPr>
              <w:fldChar w:fldCharType="separate"/>
            </w:r>
            <w:r>
              <w:rPr>
                <w:rStyle w:val="IndexLink"/>
              </w:rPr>
              <w:t>Betydningen av politisk tillit</w:t>
            </w:r>
            <w:r>
              <w:rPr>
                <w:webHidden/>
              </w:rPr>
              <w:fldChar w:fldCharType="end"/>
            </w:r>
          </w:hyperlink>
          <w:hyperlink w:anchor="_Toc72502729">
            <w:r>
              <w:rPr>
                <w:webHidden/>
              </w:rPr>
              <w:fldChar w:fldCharType="begin"/>
            </w:r>
            <w:r>
              <w:rPr>
                <w:webHidden/>
              </w:rPr>
              <w:instrText>PAGEREF _Toc72502729 \h</w:instrText>
            </w:r>
            <w:r>
              <w:rPr>
                <w:webHidden/>
              </w:rPr>
              <w:fldChar w:fldCharType="separate"/>
            </w:r>
            <w:r>
              <w:rPr>
                <w:rStyle w:val="IndexLink"/>
                <w:vanish w:val="false"/>
              </w:rPr>
              <w:tab/>
              <w:t>24</w:t>
            </w:r>
            <w:r>
              <w:rPr>
                <w:webHidden/>
              </w:rPr>
              <w:fldChar w:fldCharType="end"/>
            </w:r>
          </w:hyperlink>
        </w:p>
        <w:p>
          <w:pPr>
            <w:pStyle w:val="Contents3"/>
            <w:tabs>
              <w:tab w:val="clear" w:pos="708"/>
              <w:tab w:val="left" w:pos="1320" w:leader="none"/>
              <w:tab w:val="right" w:pos="9062" w:leader="dot"/>
            </w:tabs>
            <w:rPr/>
          </w:pPr>
          <w:hyperlink w:anchor="_Toc72502730">
            <w:r>
              <w:rPr>
                <w:rStyle w:val="IndexLink"/>
              </w:rPr>
              <w:t>5.1.2.</w:t>
            </w:r>
          </w:hyperlink>
          <w:hyperlink w:anchor="_Toc72502730">
            <w:r>
              <w:rPr>
                <w:webHidden/>
              </w:rPr>
              <w:fldChar w:fldCharType="begin"/>
            </w:r>
            <w:r>
              <w:rPr>
                <w:webHidden/>
              </w:rPr>
              <w:instrText>PAGEREF _Toc72502730 \h</w:instrText>
            </w:r>
            <w:r>
              <w:rPr>
                <w:webHidden/>
              </w:rPr>
              <w:fldChar w:fldCharType="separate"/>
            </w:r>
            <w:r>
              <w:rPr>
                <w:rStyle w:val="IndexLink"/>
                <w:rFonts w:ascii="Calibri" w:hAnsi="Calibri"/>
                <w:sz w:val="22"/>
                <w:lang w:eastAsia="nb-NO"/>
              </w:rPr>
              <w:tab/>
            </w:r>
            <w:r>
              <w:rPr>
                <w:webHidden/>
              </w:rPr>
              <w:fldChar w:fldCharType="end"/>
            </w:r>
          </w:hyperlink>
          <w:hyperlink w:anchor="_Toc72502730">
            <w:r>
              <w:rPr>
                <w:webHidden/>
              </w:rPr>
              <w:fldChar w:fldCharType="begin"/>
            </w:r>
            <w:r>
              <w:rPr>
                <w:webHidden/>
              </w:rPr>
              <w:instrText>PAGEREF _Toc72502730 \h</w:instrText>
            </w:r>
            <w:r>
              <w:rPr>
                <w:webHidden/>
              </w:rPr>
              <w:fldChar w:fldCharType="separate"/>
            </w:r>
            <w:r>
              <w:rPr>
                <w:rStyle w:val="IndexLink"/>
              </w:rPr>
              <w:t>Politisk tillit i Afrika</w:t>
            </w:r>
            <w:r>
              <w:rPr>
                <w:webHidden/>
              </w:rPr>
              <w:fldChar w:fldCharType="end"/>
            </w:r>
          </w:hyperlink>
          <w:hyperlink w:anchor="_Toc72502730">
            <w:r>
              <w:rPr>
                <w:webHidden/>
              </w:rPr>
              <w:fldChar w:fldCharType="begin"/>
            </w:r>
            <w:r>
              <w:rPr>
                <w:webHidden/>
              </w:rPr>
              <w:instrText>PAGEREF _Toc72502730 \h</w:instrText>
            </w:r>
            <w:r>
              <w:rPr>
                <w:webHidden/>
              </w:rPr>
              <w:fldChar w:fldCharType="separate"/>
            </w:r>
            <w:r>
              <w:rPr>
                <w:rStyle w:val="IndexLink"/>
                <w:vanish w:val="false"/>
              </w:rPr>
              <w:tab/>
              <w:t>24</w:t>
            </w:r>
            <w:r>
              <w:rPr>
                <w:webHidden/>
              </w:rPr>
              <w:fldChar w:fldCharType="end"/>
            </w:r>
          </w:hyperlink>
        </w:p>
        <w:p>
          <w:pPr>
            <w:pStyle w:val="Contents2"/>
            <w:tabs>
              <w:tab w:val="clear" w:pos="708"/>
              <w:tab w:val="left" w:pos="880" w:leader="none"/>
              <w:tab w:val="right" w:pos="9062" w:leader="dot"/>
            </w:tabs>
            <w:rPr/>
          </w:pPr>
          <w:hyperlink w:anchor="_Toc72502731">
            <w:r>
              <w:rPr>
                <w:rStyle w:val="IndexLink"/>
              </w:rPr>
              <w:t>5.2.</w:t>
            </w:r>
          </w:hyperlink>
          <w:hyperlink w:anchor="_Toc72502731">
            <w:r>
              <w:rPr>
                <w:webHidden/>
              </w:rPr>
              <w:fldChar w:fldCharType="begin"/>
            </w:r>
            <w:r>
              <w:rPr>
                <w:webHidden/>
              </w:rPr>
              <w:instrText>PAGEREF _Toc72502731 \h</w:instrText>
            </w:r>
            <w:r>
              <w:rPr>
                <w:webHidden/>
              </w:rPr>
              <w:fldChar w:fldCharType="separate"/>
            </w:r>
            <w:r>
              <w:rPr>
                <w:rStyle w:val="IndexLink"/>
                <w:rFonts w:ascii="Calibri" w:hAnsi="Calibri"/>
                <w:sz w:val="22"/>
                <w:lang w:eastAsia="nb-NO"/>
              </w:rPr>
              <w:tab/>
            </w:r>
            <w:r>
              <w:rPr>
                <w:webHidden/>
              </w:rPr>
              <w:fldChar w:fldCharType="end"/>
            </w:r>
          </w:hyperlink>
          <w:hyperlink w:anchor="_Toc72502731">
            <w:r>
              <w:rPr>
                <w:webHidden/>
              </w:rPr>
              <w:fldChar w:fldCharType="begin"/>
            </w:r>
            <w:r>
              <w:rPr>
                <w:webHidden/>
              </w:rPr>
              <w:instrText>PAGEREF _Toc72502731 \h</w:instrText>
            </w:r>
            <w:r>
              <w:rPr>
                <w:webHidden/>
              </w:rPr>
              <w:fldChar w:fldCharType="separate"/>
            </w:r>
            <w:r>
              <w:rPr>
                <w:rStyle w:val="IndexLink"/>
              </w:rPr>
              <w:t>Maktdeling</w:t>
            </w:r>
            <w:r>
              <w:rPr>
                <w:webHidden/>
              </w:rPr>
              <w:fldChar w:fldCharType="end"/>
            </w:r>
          </w:hyperlink>
          <w:hyperlink w:anchor="_Toc72502731">
            <w:r>
              <w:rPr>
                <w:webHidden/>
              </w:rPr>
              <w:fldChar w:fldCharType="begin"/>
            </w:r>
            <w:r>
              <w:rPr>
                <w:webHidden/>
              </w:rPr>
              <w:instrText>PAGEREF _Toc72502731 \h</w:instrText>
            </w:r>
            <w:r>
              <w:rPr>
                <w:webHidden/>
              </w:rPr>
              <w:fldChar w:fldCharType="separate"/>
            </w:r>
            <w:r>
              <w:rPr>
                <w:rStyle w:val="IndexLink"/>
                <w:vanish w:val="false"/>
              </w:rPr>
              <w:tab/>
              <w:t>26</w:t>
            </w:r>
            <w:r>
              <w:rPr>
                <w:webHidden/>
              </w:rPr>
              <w:fldChar w:fldCharType="end"/>
            </w:r>
          </w:hyperlink>
        </w:p>
        <w:p>
          <w:pPr>
            <w:pStyle w:val="Contents3"/>
            <w:tabs>
              <w:tab w:val="clear" w:pos="708"/>
              <w:tab w:val="left" w:pos="1320" w:leader="none"/>
              <w:tab w:val="right" w:pos="9062" w:leader="dot"/>
            </w:tabs>
            <w:rPr/>
          </w:pPr>
          <w:hyperlink w:anchor="_Toc72502732">
            <w:r>
              <w:rPr>
                <w:rStyle w:val="IndexLink"/>
              </w:rPr>
              <w:t>5.2.1.</w:t>
            </w:r>
          </w:hyperlink>
          <w:hyperlink w:anchor="_Toc72502732">
            <w:r>
              <w:rPr>
                <w:webHidden/>
              </w:rPr>
              <w:fldChar w:fldCharType="begin"/>
            </w:r>
            <w:r>
              <w:rPr>
                <w:webHidden/>
              </w:rPr>
              <w:instrText>PAGEREF _Toc72502732 \h</w:instrText>
            </w:r>
            <w:r>
              <w:rPr>
                <w:webHidden/>
              </w:rPr>
              <w:fldChar w:fldCharType="separate"/>
            </w:r>
            <w:r>
              <w:rPr>
                <w:rStyle w:val="IndexLink"/>
                <w:rFonts w:ascii="Calibri" w:hAnsi="Calibri"/>
                <w:sz w:val="22"/>
                <w:lang w:eastAsia="nb-NO"/>
              </w:rPr>
              <w:tab/>
            </w:r>
            <w:r>
              <w:rPr>
                <w:webHidden/>
              </w:rPr>
              <w:fldChar w:fldCharType="end"/>
            </w:r>
          </w:hyperlink>
          <w:hyperlink w:anchor="_Toc72502732">
            <w:r>
              <w:rPr>
                <w:webHidden/>
              </w:rPr>
              <w:fldChar w:fldCharType="begin"/>
            </w:r>
            <w:r>
              <w:rPr>
                <w:webHidden/>
              </w:rPr>
              <w:instrText>PAGEREF _Toc72502732 \h</w:instrText>
            </w:r>
            <w:r>
              <w:rPr>
                <w:webHidden/>
              </w:rPr>
              <w:fldChar w:fldCharType="separate"/>
            </w:r>
            <w:r>
              <w:rPr>
                <w:rStyle w:val="IndexLink"/>
              </w:rPr>
              <w:t>Institusjonsbygging</w:t>
            </w:r>
            <w:r>
              <w:rPr>
                <w:webHidden/>
              </w:rPr>
              <w:fldChar w:fldCharType="end"/>
            </w:r>
          </w:hyperlink>
          <w:hyperlink w:anchor="_Toc72502732">
            <w:r>
              <w:rPr>
                <w:webHidden/>
              </w:rPr>
              <w:fldChar w:fldCharType="begin"/>
            </w:r>
            <w:r>
              <w:rPr>
                <w:webHidden/>
              </w:rPr>
              <w:instrText>PAGEREF _Toc72502732 \h</w:instrText>
            </w:r>
            <w:r>
              <w:rPr>
                <w:webHidden/>
              </w:rPr>
              <w:fldChar w:fldCharType="separate"/>
            </w:r>
            <w:r>
              <w:rPr>
                <w:rStyle w:val="IndexLink"/>
                <w:vanish w:val="false"/>
              </w:rPr>
              <w:tab/>
            </w:r>
            <w:r>
              <w:rPr>
                <w:webHidden/>
              </w:rPr>
              <w:fldChar w:fldCharType="end"/>
            </w:r>
          </w:hyperlink>
          <w:r>
            <w:rPr>
              <w:rStyle w:val="IndexLink"/>
              <w:vanish w:val="false"/>
            </w:rPr>
            <w:t>勤</w:t>
          </w:r>
          <w:r>
            <w:rPr>
              <w:rStyle w:val="IndexLink"/>
              <w:vanish w:val="false"/>
            </w:rPr>
            <w:t>26</w:t>
          </w:r>
        </w:p>
        <w:p>
          <w:pPr>
            <w:pStyle w:val="Contents3"/>
            <w:tabs>
              <w:tab w:val="clear" w:pos="708"/>
              <w:tab w:val="left" w:pos="1320" w:leader="none"/>
              <w:tab w:val="right" w:pos="9062" w:leader="dot"/>
            </w:tabs>
            <w:rPr/>
          </w:pPr>
          <w:hyperlink w:anchor="_Toc72502733">
            <w:r>
              <w:rPr>
                <w:rStyle w:val="IndexLink"/>
              </w:rPr>
              <w:t>5.2.2.</w:t>
            </w:r>
          </w:hyperlink>
          <w:hyperlink w:anchor="_Toc72502733">
            <w:r>
              <w:rPr>
                <w:webHidden/>
              </w:rPr>
              <w:fldChar w:fldCharType="begin"/>
            </w:r>
            <w:r>
              <w:rPr>
                <w:webHidden/>
              </w:rPr>
              <w:instrText>PAGEREF _Toc72502733 \h</w:instrText>
            </w:r>
            <w:r>
              <w:rPr>
                <w:webHidden/>
              </w:rPr>
              <w:fldChar w:fldCharType="separate"/>
            </w:r>
            <w:r>
              <w:rPr>
                <w:rStyle w:val="IndexLink"/>
                <w:rFonts w:ascii="Calibri" w:hAnsi="Calibri"/>
                <w:sz w:val="22"/>
                <w:lang w:eastAsia="nb-NO"/>
              </w:rPr>
              <w:tab/>
            </w:r>
            <w:r>
              <w:rPr>
                <w:webHidden/>
              </w:rPr>
              <w:fldChar w:fldCharType="end"/>
            </w:r>
          </w:hyperlink>
          <w:hyperlink w:anchor="_Toc72502733">
            <w:r>
              <w:rPr>
                <w:webHidden/>
              </w:rPr>
              <w:fldChar w:fldCharType="begin"/>
            </w:r>
            <w:r>
              <w:rPr>
                <w:webHidden/>
              </w:rPr>
              <w:instrText>PAGEREF _Toc72502733 \h</w:instrText>
            </w:r>
            <w:r>
              <w:rPr>
                <w:webHidden/>
              </w:rPr>
              <w:fldChar w:fldCharType="separate"/>
            </w:r>
            <w:r>
              <w:rPr>
                <w:rStyle w:val="IndexLink"/>
              </w:rPr>
              <w:t>Fredsfellen</w:t>
            </w:r>
            <w:r>
              <w:rPr>
                <w:webHidden/>
              </w:rPr>
              <w:fldChar w:fldCharType="end"/>
            </w:r>
          </w:hyperlink>
          <w:hyperlink w:anchor="_Toc72502733">
            <w:r>
              <w:rPr>
                <w:webHidden/>
              </w:rPr>
              <w:fldChar w:fldCharType="begin"/>
            </w:r>
            <w:r>
              <w:rPr>
                <w:webHidden/>
              </w:rPr>
              <w:instrText>PAGEREF _Toc72502733 \h</w:instrText>
            </w:r>
            <w:r>
              <w:rPr>
                <w:webHidden/>
              </w:rPr>
              <w:fldChar w:fldCharType="separate"/>
            </w:r>
            <w:r>
              <w:rPr>
                <w:rStyle w:val="IndexLink"/>
                <w:vanish w:val="false"/>
              </w:rPr>
              <w:tab/>
              <w:t>27</w:t>
            </w:r>
            <w:r>
              <w:rPr>
                <w:webHidden/>
              </w:rPr>
              <w:fldChar w:fldCharType="end"/>
            </w:r>
          </w:hyperlink>
        </w:p>
        <w:p>
          <w:pPr>
            <w:pStyle w:val="Contents3"/>
            <w:tabs>
              <w:tab w:val="clear" w:pos="708"/>
              <w:tab w:val="left" w:pos="1320" w:leader="none"/>
              <w:tab w:val="right" w:pos="9062" w:leader="dot"/>
            </w:tabs>
            <w:rPr/>
          </w:pPr>
          <w:hyperlink w:anchor="_Toc72502734">
            <w:r>
              <w:rPr>
                <w:rStyle w:val="IndexLink"/>
              </w:rPr>
              <w:t>5.2.3.</w:t>
            </w:r>
          </w:hyperlink>
          <w:hyperlink w:anchor="_Toc72502734">
            <w:r>
              <w:rPr>
                <w:webHidden/>
              </w:rPr>
              <w:fldChar w:fldCharType="begin"/>
            </w:r>
            <w:r>
              <w:rPr>
                <w:webHidden/>
              </w:rPr>
              <w:instrText>PAGEREF _Toc72502734 \h</w:instrText>
            </w:r>
            <w:r>
              <w:rPr>
                <w:webHidden/>
              </w:rPr>
              <w:fldChar w:fldCharType="separate"/>
            </w:r>
            <w:r>
              <w:rPr>
                <w:rStyle w:val="IndexLink"/>
                <w:rFonts w:ascii="Calibri" w:hAnsi="Calibri"/>
                <w:sz w:val="22"/>
                <w:lang w:eastAsia="nb-NO"/>
              </w:rPr>
              <w:tab/>
            </w:r>
            <w:r>
              <w:rPr>
                <w:webHidden/>
              </w:rPr>
              <w:fldChar w:fldCharType="end"/>
            </w:r>
          </w:hyperlink>
          <w:hyperlink w:anchor="_Toc72502734">
            <w:r>
              <w:rPr>
                <w:webHidden/>
              </w:rPr>
              <w:fldChar w:fldCharType="begin"/>
            </w:r>
            <w:r>
              <w:rPr>
                <w:webHidden/>
              </w:rPr>
              <w:instrText>PAGEREF _Toc72502734 \h</w:instrText>
            </w:r>
            <w:r>
              <w:rPr>
                <w:webHidden/>
              </w:rPr>
              <w:fldChar w:fldCharType="separate"/>
            </w:r>
            <w:r>
              <w:rPr>
                <w:rStyle w:val="IndexLink"/>
              </w:rPr>
              <w:t>Maktdeling i Afrika</w:t>
            </w:r>
            <w:r>
              <w:rPr>
                <w:webHidden/>
              </w:rPr>
              <w:fldChar w:fldCharType="end"/>
            </w:r>
          </w:hyperlink>
          <w:hyperlink w:anchor="_Toc72502734">
            <w:r>
              <w:rPr>
                <w:webHidden/>
              </w:rPr>
              <w:fldChar w:fldCharType="begin"/>
            </w:r>
            <w:r>
              <w:rPr>
                <w:webHidden/>
              </w:rPr>
              <w:instrText>PAGEREF _Toc72502734 \h</w:instrText>
            </w:r>
            <w:r>
              <w:rPr>
                <w:webHidden/>
              </w:rPr>
              <w:fldChar w:fldCharType="separate"/>
            </w:r>
            <w:r>
              <w:rPr>
                <w:rStyle w:val="IndexLink"/>
                <w:vanish w:val="false"/>
              </w:rPr>
              <w:tab/>
              <w:t>28</w:t>
            </w:r>
            <w:r>
              <w:rPr>
                <w:webHidden/>
              </w:rPr>
              <w:fldChar w:fldCharType="end"/>
            </w:r>
          </w:hyperlink>
        </w:p>
        <w:p>
          <w:pPr>
            <w:pStyle w:val="Contents3"/>
            <w:tabs>
              <w:tab w:val="clear" w:pos="708"/>
              <w:tab w:val="left" w:pos="1320" w:leader="none"/>
              <w:tab w:val="right" w:pos="9062" w:leader="dot"/>
            </w:tabs>
            <w:rPr/>
          </w:pPr>
          <w:hyperlink w:anchor="_Toc72502735">
            <w:r>
              <w:rPr>
                <w:rStyle w:val="IndexLink"/>
              </w:rPr>
              <w:t>5.2.4.</w:t>
            </w:r>
          </w:hyperlink>
          <w:hyperlink w:anchor="_Toc72502735">
            <w:r>
              <w:rPr>
                <w:webHidden/>
              </w:rPr>
              <w:fldChar w:fldCharType="begin"/>
            </w:r>
            <w:r>
              <w:rPr>
                <w:webHidden/>
              </w:rPr>
              <w:instrText>PAGEREF _Toc72502735 \h</w:instrText>
            </w:r>
            <w:r>
              <w:rPr>
                <w:webHidden/>
              </w:rPr>
              <w:fldChar w:fldCharType="separate"/>
            </w:r>
            <w:r>
              <w:rPr>
                <w:rStyle w:val="IndexLink"/>
                <w:rFonts w:ascii="Calibri" w:hAnsi="Calibri"/>
                <w:sz w:val="22"/>
                <w:lang w:eastAsia="nb-NO"/>
              </w:rPr>
              <w:tab/>
            </w:r>
            <w:r>
              <w:rPr>
                <w:webHidden/>
              </w:rPr>
              <w:fldChar w:fldCharType="end"/>
            </w:r>
          </w:hyperlink>
          <w:hyperlink w:anchor="_Toc72502735">
            <w:r>
              <w:rPr>
                <w:webHidden/>
              </w:rPr>
              <w:fldChar w:fldCharType="begin"/>
            </w:r>
            <w:r>
              <w:rPr>
                <w:webHidden/>
              </w:rPr>
              <w:instrText>PAGEREF _Toc72502735 \h</w:instrText>
            </w:r>
            <w:r>
              <w:rPr>
                <w:webHidden/>
              </w:rPr>
              <w:fldChar w:fldCharType="separate"/>
            </w:r>
            <w:r>
              <w:rPr>
                <w:rStyle w:val="IndexLink"/>
              </w:rPr>
              <w:t>Maktdelingens påvirkning på utsatte samfunnsgrupper</w:t>
            </w:r>
            <w:r>
              <w:rPr>
                <w:webHidden/>
              </w:rPr>
              <w:fldChar w:fldCharType="end"/>
            </w:r>
          </w:hyperlink>
          <w:hyperlink w:anchor="_Toc72502735">
            <w:r>
              <w:rPr>
                <w:webHidden/>
              </w:rPr>
              <w:fldChar w:fldCharType="begin"/>
            </w:r>
            <w:r>
              <w:rPr>
                <w:webHidden/>
              </w:rPr>
              <w:instrText>PAGEREF _Toc72502735 \h</w:instrText>
            </w:r>
            <w:r>
              <w:rPr>
                <w:webHidden/>
              </w:rPr>
              <w:fldChar w:fldCharType="separate"/>
            </w:r>
            <w:r>
              <w:rPr>
                <w:rStyle w:val="IndexLink"/>
                <w:vanish w:val="false"/>
              </w:rPr>
              <w:tab/>
              <w:t>28</w:t>
            </w:r>
            <w:r>
              <w:rPr>
                <w:webHidden/>
              </w:rPr>
              <w:fldChar w:fldCharType="end"/>
            </w:r>
          </w:hyperlink>
        </w:p>
        <w:p>
          <w:pPr>
            <w:pStyle w:val="Contents3"/>
            <w:tabs>
              <w:tab w:val="clear" w:pos="708"/>
              <w:tab w:val="left" w:pos="1320" w:leader="none"/>
              <w:tab w:val="right" w:pos="9062" w:leader="dot"/>
            </w:tabs>
            <w:rPr/>
          </w:pPr>
          <w:hyperlink w:anchor="_Toc72502736">
            <w:r>
              <w:rPr>
                <w:rStyle w:val="IndexLink"/>
              </w:rPr>
              <w:t>5.2.5.</w:t>
            </w:r>
          </w:hyperlink>
          <w:hyperlink w:anchor="_Toc72502736">
            <w:r>
              <w:rPr>
                <w:webHidden/>
              </w:rPr>
              <w:fldChar w:fldCharType="begin"/>
            </w:r>
            <w:r>
              <w:rPr>
                <w:webHidden/>
              </w:rPr>
              <w:instrText>PAGEREF _Toc72502736 \h</w:instrText>
            </w:r>
            <w:r>
              <w:rPr>
                <w:webHidden/>
              </w:rPr>
              <w:fldChar w:fldCharType="separate"/>
            </w:r>
            <w:r>
              <w:rPr>
                <w:rStyle w:val="IndexLink"/>
                <w:rFonts w:ascii="Calibri" w:hAnsi="Calibri"/>
                <w:sz w:val="22"/>
                <w:lang w:eastAsia="nb-NO"/>
              </w:rPr>
              <w:tab/>
            </w:r>
            <w:r>
              <w:rPr>
                <w:webHidden/>
              </w:rPr>
              <w:fldChar w:fldCharType="end"/>
            </w:r>
          </w:hyperlink>
          <w:hyperlink w:anchor="_Toc72502736">
            <w:r>
              <w:rPr>
                <w:webHidden/>
              </w:rPr>
              <w:fldChar w:fldCharType="begin"/>
            </w:r>
            <w:r>
              <w:rPr>
                <w:webHidden/>
              </w:rPr>
              <w:instrText>PAGEREF _Toc72502736 \h</w:instrText>
            </w:r>
            <w:r>
              <w:rPr>
                <w:webHidden/>
              </w:rPr>
              <w:fldChar w:fldCharType="separate"/>
            </w:r>
            <w:r>
              <w:rPr>
                <w:rStyle w:val="IndexLink"/>
              </w:rPr>
              <w:t>Etniske grupper</w:t>
            </w:r>
            <w:r>
              <w:rPr>
                <w:webHidden/>
              </w:rPr>
              <w:fldChar w:fldCharType="end"/>
            </w:r>
          </w:hyperlink>
          <w:hyperlink w:anchor="_Toc72502736">
            <w:r>
              <w:rPr>
                <w:webHidden/>
              </w:rPr>
              <w:fldChar w:fldCharType="begin"/>
            </w:r>
            <w:r>
              <w:rPr>
                <w:webHidden/>
              </w:rPr>
              <w:instrText>PAGEREF _Toc72502736 \h</w:instrText>
            </w:r>
            <w:r>
              <w:rPr>
                <w:webHidden/>
              </w:rPr>
              <w:fldChar w:fldCharType="separate"/>
            </w:r>
            <w:r>
              <w:rPr>
                <w:rStyle w:val="IndexLink"/>
                <w:vanish w:val="false"/>
              </w:rPr>
              <w:tab/>
              <w:t>29</w:t>
            </w:r>
            <w:r>
              <w:rPr>
                <w:webHidden/>
              </w:rPr>
              <w:fldChar w:fldCharType="end"/>
            </w:r>
          </w:hyperlink>
        </w:p>
        <w:p>
          <w:pPr>
            <w:pStyle w:val="Contents3"/>
            <w:tabs>
              <w:tab w:val="clear" w:pos="708"/>
              <w:tab w:val="left" w:pos="1320" w:leader="none"/>
              <w:tab w:val="right" w:pos="9062" w:leader="dot"/>
            </w:tabs>
            <w:rPr/>
          </w:pPr>
          <w:hyperlink w:anchor="_Toc72502737">
            <w:r>
              <w:rPr>
                <w:rStyle w:val="IndexLink"/>
              </w:rPr>
              <w:t>5.2.6.</w:t>
            </w:r>
          </w:hyperlink>
          <w:hyperlink w:anchor="_Toc72502737">
            <w:r>
              <w:rPr>
                <w:webHidden/>
              </w:rPr>
              <w:fldChar w:fldCharType="begin"/>
            </w:r>
            <w:r>
              <w:rPr>
                <w:webHidden/>
              </w:rPr>
              <w:instrText>PAGEREF _Toc72502737 \h</w:instrText>
            </w:r>
            <w:r>
              <w:rPr>
                <w:webHidden/>
              </w:rPr>
              <w:fldChar w:fldCharType="separate"/>
            </w:r>
            <w:r>
              <w:rPr>
                <w:rStyle w:val="IndexLink"/>
                <w:rFonts w:ascii="Calibri" w:hAnsi="Calibri"/>
                <w:sz w:val="22"/>
                <w:lang w:eastAsia="nb-NO"/>
              </w:rPr>
              <w:tab/>
            </w:r>
            <w:r>
              <w:rPr>
                <w:webHidden/>
              </w:rPr>
              <w:fldChar w:fldCharType="end"/>
            </w:r>
          </w:hyperlink>
          <w:hyperlink w:anchor="_Toc72502737">
            <w:r>
              <w:rPr>
                <w:webHidden/>
              </w:rPr>
              <w:fldChar w:fldCharType="begin"/>
            </w:r>
            <w:r>
              <w:rPr>
                <w:webHidden/>
              </w:rPr>
              <w:instrText>PAGEREF _Toc72502737 \h</w:instrText>
            </w:r>
            <w:r>
              <w:rPr>
                <w:webHidden/>
              </w:rPr>
              <w:fldChar w:fldCharType="separate"/>
            </w:r>
            <w:r>
              <w:rPr>
                <w:rStyle w:val="IndexLink"/>
              </w:rPr>
              <w:t>Etnisitet som sosialt konstruert konsept</w:t>
            </w:r>
            <w:r>
              <w:rPr>
                <w:webHidden/>
              </w:rPr>
              <w:fldChar w:fldCharType="end"/>
            </w:r>
          </w:hyperlink>
          <w:hyperlink w:anchor="_Toc72502737">
            <w:r>
              <w:rPr>
                <w:webHidden/>
              </w:rPr>
              <w:fldChar w:fldCharType="begin"/>
            </w:r>
            <w:r>
              <w:rPr>
                <w:webHidden/>
              </w:rPr>
              <w:instrText>PAGEREF _Toc72502737 \h</w:instrText>
            </w:r>
            <w:r>
              <w:rPr>
                <w:webHidden/>
              </w:rPr>
              <w:fldChar w:fldCharType="separate"/>
            </w:r>
            <w:r>
              <w:rPr>
                <w:rStyle w:val="IndexLink"/>
                <w:vanish w:val="false"/>
              </w:rPr>
              <w:tab/>
              <w:t>29</w:t>
            </w:r>
            <w:r>
              <w:rPr>
                <w:webHidden/>
              </w:rPr>
              <w:fldChar w:fldCharType="end"/>
            </w:r>
          </w:hyperlink>
        </w:p>
        <w:p>
          <w:pPr>
            <w:pStyle w:val="Contents3"/>
            <w:tabs>
              <w:tab w:val="clear" w:pos="708"/>
              <w:tab w:val="left" w:pos="1320" w:leader="none"/>
              <w:tab w:val="right" w:pos="9062" w:leader="dot"/>
            </w:tabs>
            <w:rPr/>
          </w:pPr>
          <w:hyperlink w:anchor="_Toc72502738">
            <w:r>
              <w:rPr>
                <w:rStyle w:val="IndexLink"/>
              </w:rPr>
              <w:t>5.2.7.</w:t>
            </w:r>
          </w:hyperlink>
          <w:hyperlink w:anchor="_Toc72502738">
            <w:r>
              <w:rPr>
                <w:webHidden/>
              </w:rPr>
              <w:fldChar w:fldCharType="begin"/>
            </w:r>
            <w:r>
              <w:rPr>
                <w:webHidden/>
              </w:rPr>
              <w:instrText>PAGEREF _Toc72502738 \h</w:instrText>
            </w:r>
            <w:r>
              <w:rPr>
                <w:webHidden/>
              </w:rPr>
              <w:fldChar w:fldCharType="separate"/>
            </w:r>
            <w:r>
              <w:rPr>
                <w:rStyle w:val="IndexLink"/>
                <w:rFonts w:ascii="Calibri" w:hAnsi="Calibri"/>
                <w:sz w:val="22"/>
                <w:lang w:eastAsia="nb-NO"/>
              </w:rPr>
              <w:tab/>
            </w:r>
            <w:r>
              <w:rPr>
                <w:webHidden/>
              </w:rPr>
              <w:fldChar w:fldCharType="end"/>
            </w:r>
          </w:hyperlink>
          <w:hyperlink w:anchor="_Toc72502738">
            <w:r>
              <w:rPr>
                <w:webHidden/>
              </w:rPr>
              <w:fldChar w:fldCharType="begin"/>
            </w:r>
            <w:r>
              <w:rPr>
                <w:webHidden/>
              </w:rPr>
              <w:instrText>PAGEREF _Toc72502738 \h</w:instrText>
            </w:r>
            <w:r>
              <w:rPr>
                <w:webHidden/>
              </w:rPr>
              <w:fldChar w:fldCharType="separate"/>
            </w:r>
            <w:r>
              <w:rPr>
                <w:rStyle w:val="IndexLink"/>
              </w:rPr>
              <w:t>Kvinner som underrepresentert gruppe</w:t>
            </w:r>
            <w:r>
              <w:rPr>
                <w:webHidden/>
              </w:rPr>
              <w:fldChar w:fldCharType="end"/>
            </w:r>
          </w:hyperlink>
          <w:hyperlink w:anchor="_Toc72502738">
            <w:r>
              <w:rPr>
                <w:webHidden/>
              </w:rPr>
              <w:fldChar w:fldCharType="begin"/>
            </w:r>
            <w:r>
              <w:rPr>
                <w:webHidden/>
              </w:rPr>
              <w:instrText>PAGEREF _Toc72502738 \h</w:instrText>
            </w:r>
            <w:r>
              <w:rPr>
                <w:webHidden/>
              </w:rPr>
              <w:fldChar w:fldCharType="separate"/>
            </w:r>
            <w:r>
              <w:rPr>
                <w:rStyle w:val="IndexLink"/>
                <w:vanish w:val="false"/>
              </w:rPr>
              <w:tab/>
              <w:t>31</w:t>
            </w:r>
            <w:r>
              <w:rPr>
                <w:webHidden/>
              </w:rPr>
              <w:fldChar w:fldCharType="end"/>
            </w:r>
          </w:hyperlink>
        </w:p>
        <w:p>
          <w:pPr>
            <w:pStyle w:val="Contents1"/>
            <w:tabs>
              <w:tab w:val="clear" w:pos="708"/>
              <w:tab w:val="right" w:pos="9062" w:leader="dot"/>
            </w:tabs>
            <w:rPr/>
          </w:pPr>
          <w:hyperlink w:anchor="_Toc72502739">
            <w:r>
              <w:rPr>
                <w:rStyle w:val="IndexLink"/>
                <w:shd w:fill="FFFFFF" w:val="clear"/>
              </w:rPr>
              <w:t>Kapittel 6. Hvordan kan maktdeling tenkes å påvirke politisk tillit?</w:t>
            </w:r>
          </w:hyperlink>
          <w:hyperlink w:anchor="_Toc72502739">
            <w:r>
              <w:rPr>
                <w:webHidden/>
              </w:rPr>
              <w:fldChar w:fldCharType="begin"/>
            </w:r>
            <w:r>
              <w:rPr>
                <w:webHidden/>
              </w:rPr>
              <w:instrText>PAGEREF _Toc72502739 \h</w:instrText>
            </w:r>
            <w:r>
              <w:rPr>
                <w:webHidden/>
              </w:rPr>
              <w:fldChar w:fldCharType="separate"/>
            </w:r>
            <w:r>
              <w:rPr>
                <w:rStyle w:val="IndexLink"/>
                <w:vanish w:val="false"/>
              </w:rPr>
              <w:tab/>
              <w:t>33</w:t>
            </w:r>
            <w:r>
              <w:rPr>
                <w:webHidden/>
              </w:rPr>
              <w:fldChar w:fldCharType="end"/>
            </w:r>
          </w:hyperlink>
        </w:p>
        <w:p>
          <w:pPr>
            <w:pStyle w:val="Contents2"/>
            <w:tabs>
              <w:tab w:val="clear" w:pos="708"/>
              <w:tab w:val="left" w:pos="880" w:leader="none"/>
              <w:tab w:val="right" w:pos="9062" w:leader="dot"/>
            </w:tabs>
            <w:rPr/>
          </w:pPr>
          <w:hyperlink w:anchor="_Toc72502740">
            <w:r>
              <w:rPr>
                <w:rStyle w:val="IndexLink"/>
              </w:rPr>
              <w:t>6.1.</w:t>
            </w:r>
          </w:hyperlink>
          <w:hyperlink w:anchor="_Toc72502740">
            <w:r>
              <w:rPr>
                <w:webHidden/>
              </w:rPr>
              <w:fldChar w:fldCharType="begin"/>
            </w:r>
            <w:r>
              <w:rPr>
                <w:webHidden/>
              </w:rPr>
              <w:instrText>PAGEREF _Toc72502740 \h</w:instrText>
            </w:r>
            <w:r>
              <w:rPr>
                <w:webHidden/>
              </w:rPr>
              <w:fldChar w:fldCharType="separate"/>
            </w:r>
            <w:r>
              <w:rPr>
                <w:rStyle w:val="IndexLink"/>
                <w:rFonts w:ascii="Calibri" w:hAnsi="Calibri"/>
                <w:sz w:val="22"/>
                <w:lang w:eastAsia="nb-NO"/>
              </w:rPr>
              <w:tab/>
            </w:r>
            <w:r>
              <w:rPr>
                <w:webHidden/>
              </w:rPr>
              <w:fldChar w:fldCharType="end"/>
            </w:r>
          </w:hyperlink>
          <w:hyperlink w:anchor="_Toc72502740">
            <w:r>
              <w:rPr>
                <w:webHidden/>
              </w:rPr>
              <w:fldChar w:fldCharType="begin"/>
            </w:r>
            <w:r>
              <w:rPr>
                <w:webHidden/>
              </w:rPr>
              <w:instrText>PAGEREF _Toc72502740 \h</w:instrText>
            </w:r>
            <w:r>
              <w:rPr>
                <w:webHidden/>
              </w:rPr>
              <w:fldChar w:fldCharType="separate"/>
            </w:r>
            <w:r>
              <w:rPr>
                <w:rStyle w:val="IndexLink"/>
              </w:rPr>
              <w:t>Generell politisk tillit i maktdelingsland</w:t>
            </w:r>
            <w:r>
              <w:rPr>
                <w:webHidden/>
              </w:rPr>
              <w:fldChar w:fldCharType="end"/>
            </w:r>
          </w:hyperlink>
          <w:hyperlink w:anchor="_Toc72502740">
            <w:r>
              <w:rPr>
                <w:webHidden/>
              </w:rPr>
              <w:fldChar w:fldCharType="begin"/>
            </w:r>
            <w:r>
              <w:rPr>
                <w:webHidden/>
              </w:rPr>
              <w:instrText>PAGEREF _Toc72502740 \h</w:instrText>
            </w:r>
            <w:r>
              <w:rPr>
                <w:webHidden/>
              </w:rPr>
              <w:fldChar w:fldCharType="separate"/>
            </w:r>
            <w:r>
              <w:rPr>
                <w:rStyle w:val="IndexLink"/>
                <w:vanish w:val="false"/>
              </w:rPr>
              <w:tab/>
              <w:t>33</w:t>
            </w:r>
            <w:r>
              <w:rPr>
                <w:webHidden/>
              </w:rPr>
              <w:fldChar w:fldCharType="end"/>
            </w:r>
          </w:hyperlink>
        </w:p>
        <w:p>
          <w:pPr>
            <w:pStyle w:val="Contents2"/>
            <w:tabs>
              <w:tab w:val="clear" w:pos="708"/>
              <w:tab w:val="left" w:pos="880" w:leader="none"/>
              <w:tab w:val="right" w:pos="9062" w:leader="dot"/>
            </w:tabs>
            <w:rPr/>
          </w:pPr>
          <w:hyperlink w:anchor="_Toc72502741">
            <w:r>
              <w:rPr>
                <w:rStyle w:val="IndexLink"/>
              </w:rPr>
              <w:t>6.2.</w:t>
            </w:r>
          </w:hyperlink>
          <w:hyperlink w:anchor="_Toc72502741">
            <w:r>
              <w:rPr>
                <w:webHidden/>
              </w:rPr>
              <w:fldChar w:fldCharType="begin"/>
            </w:r>
            <w:r>
              <w:rPr>
                <w:webHidden/>
              </w:rPr>
              <w:instrText>PAGEREF _Toc72502741 \h</w:instrText>
            </w:r>
            <w:r>
              <w:rPr>
                <w:webHidden/>
              </w:rPr>
              <w:fldChar w:fldCharType="separate"/>
            </w:r>
            <w:r>
              <w:rPr>
                <w:rStyle w:val="IndexLink"/>
                <w:rFonts w:ascii="Calibri" w:hAnsi="Calibri"/>
                <w:sz w:val="22"/>
                <w:lang w:eastAsia="nb-NO"/>
              </w:rPr>
              <w:tab/>
            </w:r>
            <w:r>
              <w:rPr>
                <w:webHidden/>
              </w:rPr>
              <w:fldChar w:fldCharType="end"/>
            </w:r>
          </w:hyperlink>
          <w:hyperlink w:anchor="_Toc72502741">
            <w:r>
              <w:rPr>
                <w:webHidden/>
              </w:rPr>
              <w:fldChar w:fldCharType="begin"/>
            </w:r>
            <w:r>
              <w:rPr>
                <w:webHidden/>
              </w:rPr>
              <w:instrText>PAGEREF _Toc72502741 \h</w:instrText>
            </w:r>
            <w:r>
              <w:rPr>
                <w:webHidden/>
              </w:rPr>
              <w:fldChar w:fldCharType="separate"/>
            </w:r>
            <w:r>
              <w:rPr>
                <w:rStyle w:val="IndexLink"/>
              </w:rPr>
              <w:t>Maktdeling og undertrykte grupper</w:t>
            </w:r>
            <w:r>
              <w:rPr>
                <w:webHidden/>
              </w:rPr>
              <w:fldChar w:fldCharType="end"/>
            </w:r>
          </w:hyperlink>
          <w:hyperlink w:anchor="_Toc72502741">
            <w:r>
              <w:rPr>
                <w:webHidden/>
              </w:rPr>
              <w:fldChar w:fldCharType="begin"/>
            </w:r>
            <w:r>
              <w:rPr>
                <w:webHidden/>
              </w:rPr>
              <w:instrText>PAGEREF _Toc72502741 \h</w:instrText>
            </w:r>
            <w:r>
              <w:rPr>
                <w:webHidden/>
              </w:rPr>
              <w:fldChar w:fldCharType="separate"/>
            </w:r>
            <w:r>
              <w:rPr>
                <w:rStyle w:val="IndexLink"/>
                <w:vanish w:val="false"/>
              </w:rPr>
              <w:tab/>
              <w:t>33</w:t>
            </w:r>
            <w:r>
              <w:rPr>
                <w:webHidden/>
              </w:rPr>
              <w:fldChar w:fldCharType="end"/>
            </w:r>
          </w:hyperlink>
        </w:p>
        <w:p>
          <w:pPr>
            <w:pStyle w:val="Contents2"/>
            <w:tabs>
              <w:tab w:val="clear" w:pos="708"/>
              <w:tab w:val="left" w:pos="880" w:leader="none"/>
              <w:tab w:val="right" w:pos="9062" w:leader="dot"/>
            </w:tabs>
            <w:rPr/>
          </w:pPr>
          <w:hyperlink w:anchor="_Toc72502742">
            <w:r>
              <w:rPr>
                <w:rStyle w:val="IndexLink"/>
              </w:rPr>
              <w:t>6.3.</w:t>
            </w:r>
          </w:hyperlink>
          <w:hyperlink w:anchor="_Toc72502742">
            <w:r>
              <w:rPr>
                <w:webHidden/>
              </w:rPr>
              <w:fldChar w:fldCharType="begin"/>
            </w:r>
            <w:r>
              <w:rPr>
                <w:webHidden/>
              </w:rPr>
              <w:instrText>PAGEREF _Toc72502742 \h</w:instrText>
            </w:r>
            <w:r>
              <w:rPr>
                <w:webHidden/>
              </w:rPr>
              <w:fldChar w:fldCharType="separate"/>
            </w:r>
            <w:r>
              <w:rPr>
                <w:rStyle w:val="IndexLink"/>
                <w:rFonts w:ascii="Calibri" w:hAnsi="Calibri"/>
                <w:sz w:val="22"/>
                <w:lang w:eastAsia="nb-NO"/>
              </w:rPr>
              <w:tab/>
            </w:r>
            <w:r>
              <w:rPr>
                <w:webHidden/>
              </w:rPr>
              <w:fldChar w:fldCharType="end"/>
            </w:r>
          </w:hyperlink>
          <w:hyperlink w:anchor="_Toc72502742">
            <w:r>
              <w:rPr>
                <w:webHidden/>
              </w:rPr>
              <w:fldChar w:fldCharType="begin"/>
            </w:r>
            <w:r>
              <w:rPr>
                <w:webHidden/>
              </w:rPr>
              <w:instrText>PAGEREF _Toc72502742 \h</w:instrText>
            </w:r>
            <w:r>
              <w:rPr>
                <w:webHidden/>
              </w:rPr>
              <w:fldChar w:fldCharType="separate"/>
            </w:r>
            <w:r>
              <w:rPr>
                <w:rStyle w:val="IndexLink"/>
              </w:rPr>
              <w:t>Politisk tillit i land med closed-list PR</w:t>
            </w:r>
            <w:r>
              <w:rPr>
                <w:webHidden/>
              </w:rPr>
              <w:fldChar w:fldCharType="end"/>
            </w:r>
          </w:hyperlink>
          <w:hyperlink w:anchor="_Toc72502742">
            <w:r>
              <w:rPr>
                <w:webHidden/>
              </w:rPr>
              <w:fldChar w:fldCharType="begin"/>
            </w:r>
            <w:r>
              <w:rPr>
                <w:webHidden/>
              </w:rPr>
              <w:instrText>PAGEREF _Toc72502742 \h</w:instrText>
            </w:r>
            <w:r>
              <w:rPr>
                <w:webHidden/>
              </w:rPr>
              <w:fldChar w:fldCharType="separate"/>
            </w:r>
            <w:r>
              <w:rPr>
                <w:rStyle w:val="IndexLink"/>
                <w:vanish w:val="false"/>
              </w:rPr>
              <w:tab/>
              <w:t>34</w:t>
            </w:r>
            <w:r>
              <w:rPr>
                <w:webHidden/>
              </w:rPr>
              <w:fldChar w:fldCharType="end"/>
            </w:r>
          </w:hyperlink>
        </w:p>
        <w:p>
          <w:pPr>
            <w:pStyle w:val="Contents1"/>
            <w:tabs>
              <w:tab w:val="clear" w:pos="708"/>
              <w:tab w:val="right" w:pos="9062" w:leader="dot"/>
            </w:tabs>
            <w:rPr/>
          </w:pPr>
          <w:hyperlink w:anchor="_Toc72502743">
            <w:r>
              <w:rPr>
                <w:rStyle w:val="IndexLink"/>
              </w:rPr>
              <w:t>Kapittel 7. Metodisk tilnærming</w:t>
            </w:r>
          </w:hyperlink>
          <w:hyperlink w:anchor="_Toc72502743">
            <w:r>
              <w:rPr>
                <w:webHidden/>
              </w:rPr>
              <w:fldChar w:fldCharType="begin"/>
            </w:r>
            <w:r>
              <w:rPr>
                <w:webHidden/>
              </w:rPr>
              <w:instrText>PAGEREF _Toc72502743 \h</w:instrText>
            </w:r>
            <w:r>
              <w:rPr>
                <w:webHidden/>
              </w:rPr>
              <w:fldChar w:fldCharType="separate"/>
            </w:r>
            <w:r>
              <w:rPr>
                <w:rStyle w:val="IndexLink"/>
                <w:vanish w:val="false"/>
              </w:rPr>
              <w:tab/>
              <w:t>37</w:t>
            </w:r>
            <w:r>
              <w:rPr>
                <w:webHidden/>
              </w:rPr>
              <w:fldChar w:fldCharType="end"/>
            </w:r>
          </w:hyperlink>
        </w:p>
        <w:p>
          <w:pPr>
            <w:pStyle w:val="Contents2"/>
            <w:tabs>
              <w:tab w:val="clear" w:pos="708"/>
              <w:tab w:val="left" w:pos="880" w:leader="none"/>
              <w:tab w:val="right" w:pos="9062" w:leader="dot"/>
            </w:tabs>
            <w:rPr/>
          </w:pPr>
          <w:hyperlink w:anchor="_Toc72502744">
            <w:r>
              <w:rPr>
                <w:rStyle w:val="IndexLink"/>
              </w:rPr>
              <w:t>7.1.</w:t>
            </w:r>
          </w:hyperlink>
          <w:hyperlink w:anchor="_Toc72502744">
            <w:r>
              <w:rPr>
                <w:webHidden/>
              </w:rPr>
              <w:fldChar w:fldCharType="begin"/>
            </w:r>
            <w:r>
              <w:rPr>
                <w:webHidden/>
              </w:rPr>
              <w:instrText>PAGEREF _Toc72502744 \h</w:instrText>
            </w:r>
            <w:r>
              <w:rPr>
                <w:webHidden/>
              </w:rPr>
              <w:fldChar w:fldCharType="separate"/>
            </w:r>
            <w:r>
              <w:rPr>
                <w:rStyle w:val="IndexLink"/>
                <w:rFonts w:ascii="Calibri" w:hAnsi="Calibri"/>
                <w:sz w:val="22"/>
                <w:lang w:eastAsia="nb-NO"/>
              </w:rPr>
              <w:tab/>
            </w:r>
            <w:r>
              <w:rPr>
                <w:webHidden/>
              </w:rPr>
              <w:fldChar w:fldCharType="end"/>
            </w:r>
          </w:hyperlink>
          <w:hyperlink w:anchor="_Toc72502744">
            <w:r>
              <w:rPr>
                <w:webHidden/>
              </w:rPr>
              <w:fldChar w:fldCharType="begin"/>
            </w:r>
            <w:r>
              <w:rPr>
                <w:webHidden/>
              </w:rPr>
              <w:instrText>PAGEREF _Toc72502744 \h</w:instrText>
            </w:r>
            <w:r>
              <w:rPr>
                <w:webHidden/>
              </w:rPr>
              <w:fldChar w:fldCharType="separate"/>
            </w:r>
            <w:r>
              <w:rPr>
                <w:rStyle w:val="IndexLink"/>
              </w:rPr>
              <w:t>Oppgavens metodiske design</w:t>
            </w:r>
            <w:r>
              <w:rPr>
                <w:webHidden/>
              </w:rPr>
              <w:fldChar w:fldCharType="end"/>
            </w:r>
          </w:hyperlink>
          <w:hyperlink w:anchor="_Toc72502744">
            <w:r>
              <w:rPr>
                <w:webHidden/>
              </w:rPr>
              <w:fldChar w:fldCharType="begin"/>
            </w:r>
            <w:r>
              <w:rPr>
                <w:webHidden/>
              </w:rPr>
              <w:instrText>PAGEREF _Toc72502744 \h</w:instrText>
            </w:r>
            <w:r>
              <w:rPr>
                <w:webHidden/>
              </w:rPr>
              <w:fldChar w:fldCharType="separate"/>
            </w:r>
            <w:r>
              <w:rPr>
                <w:rStyle w:val="IndexLink"/>
                <w:vanish w:val="false"/>
              </w:rPr>
              <w:tab/>
              <w:t>37</w:t>
            </w:r>
            <w:r>
              <w:rPr>
                <w:webHidden/>
              </w:rPr>
              <w:fldChar w:fldCharType="end"/>
            </w:r>
          </w:hyperlink>
        </w:p>
        <w:p>
          <w:pPr>
            <w:pStyle w:val="Contents2"/>
            <w:tabs>
              <w:tab w:val="clear" w:pos="708"/>
              <w:tab w:val="left" w:pos="880" w:leader="none"/>
              <w:tab w:val="right" w:pos="9062" w:leader="dot"/>
            </w:tabs>
            <w:rPr/>
          </w:pPr>
          <w:hyperlink w:anchor="_Toc72502745">
            <w:r>
              <w:rPr>
                <w:rStyle w:val="IndexLink"/>
              </w:rPr>
              <w:t>7.2.</w:t>
            </w:r>
          </w:hyperlink>
          <w:hyperlink w:anchor="_Toc72502745">
            <w:r>
              <w:rPr>
                <w:webHidden/>
              </w:rPr>
              <w:fldChar w:fldCharType="begin"/>
            </w:r>
            <w:r>
              <w:rPr>
                <w:webHidden/>
              </w:rPr>
              <w:instrText>PAGEREF _Toc72502745 \h</w:instrText>
            </w:r>
            <w:r>
              <w:rPr>
                <w:webHidden/>
              </w:rPr>
              <w:fldChar w:fldCharType="separate"/>
            </w:r>
            <w:r>
              <w:rPr>
                <w:rStyle w:val="IndexLink"/>
                <w:rFonts w:ascii="Calibri" w:hAnsi="Calibri"/>
                <w:sz w:val="22"/>
                <w:lang w:eastAsia="nb-NO"/>
              </w:rPr>
              <w:tab/>
            </w:r>
            <w:r>
              <w:rPr>
                <w:webHidden/>
              </w:rPr>
              <w:fldChar w:fldCharType="end"/>
            </w:r>
          </w:hyperlink>
          <w:hyperlink w:anchor="_Toc72502745">
            <w:r>
              <w:rPr>
                <w:webHidden/>
              </w:rPr>
              <w:fldChar w:fldCharType="begin"/>
            </w:r>
            <w:r>
              <w:rPr>
                <w:webHidden/>
              </w:rPr>
              <w:instrText>PAGEREF _Toc72502745 \h</w:instrText>
            </w:r>
            <w:r>
              <w:rPr>
                <w:webHidden/>
              </w:rPr>
              <w:fldChar w:fldCharType="separate"/>
            </w:r>
            <w:r>
              <w:rPr>
                <w:rStyle w:val="IndexLink"/>
              </w:rPr>
              <w:t>Datasett</w:t>
            </w:r>
            <w:r>
              <w:rPr>
                <w:webHidden/>
              </w:rPr>
              <w:fldChar w:fldCharType="end"/>
            </w:r>
          </w:hyperlink>
          <w:hyperlink w:anchor="_Toc72502745">
            <w:r>
              <w:rPr>
                <w:webHidden/>
              </w:rPr>
              <w:fldChar w:fldCharType="begin"/>
            </w:r>
            <w:r>
              <w:rPr>
                <w:webHidden/>
              </w:rPr>
              <w:instrText>PAGEREF _Toc72502745 \h</w:instrText>
            </w:r>
            <w:r>
              <w:rPr>
                <w:webHidden/>
              </w:rPr>
              <w:fldChar w:fldCharType="separate"/>
            </w:r>
            <w:r>
              <w:rPr>
                <w:rStyle w:val="IndexLink"/>
                <w:vanish w:val="false"/>
              </w:rPr>
              <w:tab/>
              <w:t>38</w:t>
            </w:r>
            <w:r>
              <w:rPr>
                <w:webHidden/>
              </w:rPr>
              <w:fldChar w:fldCharType="end"/>
            </w:r>
          </w:hyperlink>
        </w:p>
        <w:p>
          <w:pPr>
            <w:pStyle w:val="Contents2"/>
            <w:tabs>
              <w:tab w:val="clear" w:pos="708"/>
              <w:tab w:val="left" w:pos="880" w:leader="none"/>
              <w:tab w:val="right" w:pos="9062" w:leader="dot"/>
            </w:tabs>
            <w:rPr/>
          </w:pPr>
          <w:hyperlink w:anchor="_Toc72502746">
            <w:r>
              <w:rPr>
                <w:rStyle w:val="IndexLink"/>
              </w:rPr>
              <w:t>7.3.</w:t>
            </w:r>
          </w:hyperlink>
          <w:hyperlink w:anchor="_Toc72502746">
            <w:r>
              <w:rPr>
                <w:webHidden/>
              </w:rPr>
              <w:fldChar w:fldCharType="begin"/>
            </w:r>
            <w:r>
              <w:rPr>
                <w:webHidden/>
              </w:rPr>
              <w:instrText>PAGEREF _Toc72502746 \h</w:instrText>
            </w:r>
            <w:r>
              <w:rPr>
                <w:webHidden/>
              </w:rPr>
              <w:fldChar w:fldCharType="separate"/>
            </w:r>
            <w:r>
              <w:rPr>
                <w:rStyle w:val="IndexLink"/>
                <w:rFonts w:ascii="Calibri" w:hAnsi="Calibri"/>
                <w:sz w:val="22"/>
                <w:lang w:eastAsia="nb-NO"/>
              </w:rPr>
              <w:tab/>
            </w:r>
            <w:r>
              <w:rPr>
                <w:webHidden/>
              </w:rPr>
              <w:fldChar w:fldCharType="end"/>
            </w:r>
          </w:hyperlink>
          <w:hyperlink w:anchor="_Toc72502746">
            <w:r>
              <w:rPr>
                <w:webHidden/>
              </w:rPr>
              <w:fldChar w:fldCharType="begin"/>
            </w:r>
            <w:r>
              <w:rPr>
                <w:webHidden/>
              </w:rPr>
              <w:instrText>PAGEREF _Toc72502746 \h</w:instrText>
            </w:r>
            <w:r>
              <w:rPr>
                <w:webHidden/>
              </w:rPr>
              <w:fldChar w:fldCharType="separate"/>
            </w:r>
            <w:r>
              <w:rPr>
                <w:rStyle w:val="IndexLink"/>
              </w:rPr>
              <w:t>Forutsetninger og diagnostikk</w:t>
            </w:r>
            <w:r>
              <w:rPr>
                <w:webHidden/>
              </w:rPr>
              <w:fldChar w:fldCharType="end"/>
            </w:r>
          </w:hyperlink>
          <w:hyperlink w:anchor="_Toc72502746">
            <w:r>
              <w:rPr>
                <w:webHidden/>
              </w:rPr>
              <w:fldChar w:fldCharType="begin"/>
            </w:r>
            <w:r>
              <w:rPr>
                <w:webHidden/>
              </w:rPr>
              <w:instrText>PAGEREF _Toc72502746 \h</w:instrText>
            </w:r>
            <w:r>
              <w:rPr>
                <w:webHidden/>
              </w:rPr>
              <w:fldChar w:fldCharType="separate"/>
            </w:r>
            <w:r>
              <w:rPr>
                <w:rStyle w:val="IndexLink"/>
                <w:vanish w:val="false"/>
              </w:rPr>
              <w:tab/>
              <w:t>39</w:t>
            </w:r>
            <w:r>
              <w:rPr>
                <w:webHidden/>
              </w:rPr>
              <w:fldChar w:fldCharType="end"/>
            </w:r>
          </w:hyperlink>
        </w:p>
        <w:p>
          <w:pPr>
            <w:pStyle w:val="Contents2"/>
            <w:tabs>
              <w:tab w:val="clear" w:pos="708"/>
              <w:tab w:val="left" w:pos="880" w:leader="none"/>
              <w:tab w:val="right" w:pos="9062" w:leader="dot"/>
            </w:tabs>
            <w:rPr/>
          </w:pPr>
          <w:hyperlink w:anchor="_Toc72502747">
            <w:r>
              <w:rPr>
                <w:rStyle w:val="IndexLink"/>
              </w:rPr>
              <w:t>7.4.</w:t>
            </w:r>
          </w:hyperlink>
          <w:hyperlink w:anchor="_Toc72502747">
            <w:r>
              <w:rPr>
                <w:webHidden/>
              </w:rPr>
              <w:fldChar w:fldCharType="begin"/>
            </w:r>
            <w:r>
              <w:rPr>
                <w:webHidden/>
              </w:rPr>
              <w:instrText>PAGEREF _Toc72502747 \h</w:instrText>
            </w:r>
            <w:r>
              <w:rPr>
                <w:webHidden/>
              </w:rPr>
              <w:fldChar w:fldCharType="separate"/>
            </w:r>
            <w:r>
              <w:rPr>
                <w:rStyle w:val="IndexLink"/>
                <w:rFonts w:ascii="Calibri" w:hAnsi="Calibri"/>
                <w:sz w:val="22"/>
                <w:lang w:eastAsia="nb-NO"/>
              </w:rPr>
              <w:tab/>
            </w:r>
            <w:r>
              <w:rPr>
                <w:webHidden/>
              </w:rPr>
              <w:fldChar w:fldCharType="end"/>
            </w:r>
          </w:hyperlink>
          <w:hyperlink w:anchor="_Toc72502747">
            <w:r>
              <w:rPr>
                <w:webHidden/>
              </w:rPr>
              <w:fldChar w:fldCharType="begin"/>
            </w:r>
            <w:r>
              <w:rPr>
                <w:webHidden/>
              </w:rPr>
              <w:instrText>PAGEREF _Toc72502747 \h</w:instrText>
            </w:r>
            <w:r>
              <w:rPr>
                <w:webHidden/>
              </w:rPr>
              <w:fldChar w:fldCharType="separate"/>
            </w:r>
            <w:r>
              <w:rPr>
                <w:rStyle w:val="IndexLink"/>
              </w:rPr>
              <w:t>Variabler</w:t>
            </w:r>
            <w:r>
              <w:rPr>
                <w:webHidden/>
              </w:rPr>
              <w:fldChar w:fldCharType="end"/>
            </w:r>
          </w:hyperlink>
          <w:hyperlink w:anchor="_Toc72502747">
            <w:r>
              <w:rPr>
                <w:webHidden/>
              </w:rPr>
              <w:fldChar w:fldCharType="begin"/>
            </w:r>
            <w:r>
              <w:rPr>
                <w:webHidden/>
              </w:rPr>
              <w:instrText>PAGEREF _Toc72502747 \h</w:instrText>
            </w:r>
            <w:r>
              <w:rPr>
                <w:webHidden/>
              </w:rPr>
              <w:fldChar w:fldCharType="separate"/>
            </w:r>
            <w:r>
              <w:rPr>
                <w:rStyle w:val="IndexLink"/>
                <w:vanish w:val="false"/>
              </w:rPr>
              <w:tab/>
              <w:t>41</w:t>
            </w:r>
            <w:r>
              <w:rPr>
                <w:webHidden/>
              </w:rPr>
              <w:fldChar w:fldCharType="end"/>
            </w:r>
          </w:hyperlink>
        </w:p>
        <w:p>
          <w:pPr>
            <w:pStyle w:val="Contents3"/>
            <w:tabs>
              <w:tab w:val="clear" w:pos="708"/>
              <w:tab w:val="left" w:pos="1320" w:leader="none"/>
              <w:tab w:val="right" w:pos="9062" w:leader="dot"/>
            </w:tabs>
            <w:rPr/>
          </w:pPr>
          <w:hyperlink w:anchor="_Toc72502748">
            <w:r>
              <w:rPr>
                <w:rStyle w:val="IndexLink"/>
              </w:rPr>
              <w:t>7.4.1.</w:t>
            </w:r>
          </w:hyperlink>
          <w:hyperlink w:anchor="_Toc72502748">
            <w:r>
              <w:rPr>
                <w:webHidden/>
              </w:rPr>
              <w:fldChar w:fldCharType="begin"/>
            </w:r>
            <w:r>
              <w:rPr>
                <w:webHidden/>
              </w:rPr>
              <w:instrText>PAGEREF _Toc72502748 \h</w:instrText>
            </w:r>
            <w:r>
              <w:rPr>
                <w:webHidden/>
              </w:rPr>
              <w:fldChar w:fldCharType="separate"/>
            </w:r>
            <w:r>
              <w:rPr>
                <w:rStyle w:val="IndexLink"/>
                <w:rFonts w:ascii="Calibri" w:hAnsi="Calibri"/>
                <w:sz w:val="22"/>
                <w:lang w:eastAsia="nb-NO"/>
              </w:rPr>
              <w:tab/>
            </w:r>
            <w:r>
              <w:rPr>
                <w:webHidden/>
              </w:rPr>
              <w:fldChar w:fldCharType="end"/>
            </w:r>
          </w:hyperlink>
          <w:hyperlink w:anchor="_Toc72502748">
            <w:r>
              <w:rPr>
                <w:webHidden/>
              </w:rPr>
              <w:fldChar w:fldCharType="begin"/>
            </w:r>
            <w:r>
              <w:rPr>
                <w:webHidden/>
              </w:rPr>
              <w:instrText>PAGEREF _Toc72502748 \h</w:instrText>
            </w:r>
            <w:r>
              <w:rPr>
                <w:webHidden/>
              </w:rPr>
              <w:fldChar w:fldCharType="separate"/>
            </w:r>
            <w:r>
              <w:rPr>
                <w:rStyle w:val="IndexLink"/>
              </w:rPr>
              <w:t>Avhengig variabel (Politisk tillit)</w:t>
            </w:r>
            <w:r>
              <w:rPr>
                <w:webHidden/>
              </w:rPr>
              <w:fldChar w:fldCharType="end"/>
            </w:r>
          </w:hyperlink>
          <w:hyperlink w:anchor="_Toc72502748">
            <w:r>
              <w:rPr>
                <w:webHidden/>
              </w:rPr>
              <w:fldChar w:fldCharType="begin"/>
            </w:r>
            <w:r>
              <w:rPr>
                <w:webHidden/>
              </w:rPr>
              <w:instrText>PAGEREF _Toc72502748 \h</w:instrText>
            </w:r>
            <w:r>
              <w:rPr>
                <w:webHidden/>
              </w:rPr>
              <w:fldChar w:fldCharType="separate"/>
            </w:r>
            <w:r>
              <w:rPr>
                <w:rStyle w:val="IndexLink"/>
                <w:vanish w:val="false"/>
              </w:rPr>
              <w:tab/>
              <w:t>41</w:t>
            </w:r>
            <w:r>
              <w:rPr>
                <w:webHidden/>
              </w:rPr>
              <w:fldChar w:fldCharType="end"/>
            </w:r>
          </w:hyperlink>
        </w:p>
        <w:p>
          <w:pPr>
            <w:pStyle w:val="Contents3"/>
            <w:tabs>
              <w:tab w:val="clear" w:pos="708"/>
              <w:tab w:val="left" w:pos="1320" w:leader="none"/>
              <w:tab w:val="right" w:pos="9062" w:leader="dot"/>
            </w:tabs>
            <w:rPr/>
          </w:pPr>
          <w:hyperlink w:anchor="_Toc72502749">
            <w:r>
              <w:rPr>
                <w:rStyle w:val="IndexLink"/>
              </w:rPr>
              <w:t>7.4.2.</w:t>
            </w:r>
          </w:hyperlink>
          <w:hyperlink w:anchor="_Toc72502749">
            <w:r>
              <w:rPr>
                <w:webHidden/>
              </w:rPr>
              <w:fldChar w:fldCharType="begin"/>
            </w:r>
            <w:r>
              <w:rPr>
                <w:webHidden/>
              </w:rPr>
              <w:instrText>PAGEREF _Toc72502749 \h</w:instrText>
            </w:r>
            <w:r>
              <w:rPr>
                <w:webHidden/>
              </w:rPr>
              <w:fldChar w:fldCharType="separate"/>
            </w:r>
            <w:r>
              <w:rPr>
                <w:rStyle w:val="IndexLink"/>
                <w:rFonts w:ascii="Calibri" w:hAnsi="Calibri"/>
                <w:sz w:val="22"/>
                <w:lang w:eastAsia="nb-NO"/>
              </w:rPr>
              <w:tab/>
            </w:r>
            <w:r>
              <w:rPr>
                <w:webHidden/>
              </w:rPr>
              <w:fldChar w:fldCharType="end"/>
            </w:r>
          </w:hyperlink>
          <w:hyperlink w:anchor="_Toc72502749">
            <w:r>
              <w:rPr>
                <w:webHidden/>
              </w:rPr>
              <w:fldChar w:fldCharType="begin"/>
            </w:r>
            <w:r>
              <w:rPr>
                <w:webHidden/>
              </w:rPr>
              <w:instrText>PAGEREF _Toc72502749 \h</w:instrText>
            </w:r>
            <w:r>
              <w:rPr>
                <w:webHidden/>
              </w:rPr>
              <w:fldChar w:fldCharType="separate"/>
            </w:r>
            <w:r>
              <w:rPr>
                <w:rStyle w:val="IndexLink"/>
              </w:rPr>
              <w:t>Uavhengige variabler (individnivå)</w:t>
            </w:r>
            <w:r>
              <w:rPr>
                <w:webHidden/>
              </w:rPr>
              <w:fldChar w:fldCharType="end"/>
            </w:r>
          </w:hyperlink>
          <w:hyperlink w:anchor="_Toc72502749">
            <w:r>
              <w:rPr>
                <w:webHidden/>
              </w:rPr>
              <w:fldChar w:fldCharType="begin"/>
            </w:r>
            <w:r>
              <w:rPr>
                <w:webHidden/>
              </w:rPr>
              <w:instrText>PAGEREF _Toc72502749 \h</w:instrText>
            </w:r>
            <w:r>
              <w:rPr>
                <w:webHidden/>
              </w:rPr>
              <w:fldChar w:fldCharType="separate"/>
            </w:r>
            <w:r>
              <w:rPr>
                <w:rStyle w:val="IndexLink"/>
                <w:vanish w:val="false"/>
              </w:rPr>
              <w:tab/>
              <w:t>43</w:t>
            </w:r>
            <w:r>
              <w:rPr>
                <w:webHidden/>
              </w:rPr>
              <w:fldChar w:fldCharType="end"/>
            </w:r>
          </w:hyperlink>
        </w:p>
        <w:p>
          <w:pPr>
            <w:pStyle w:val="Contents3"/>
            <w:tabs>
              <w:tab w:val="clear" w:pos="708"/>
              <w:tab w:val="left" w:pos="1320" w:leader="none"/>
              <w:tab w:val="right" w:pos="9062" w:leader="dot"/>
            </w:tabs>
            <w:rPr/>
          </w:pPr>
          <w:hyperlink w:anchor="_Toc72502750">
            <w:r>
              <w:rPr>
                <w:rStyle w:val="IndexLink"/>
              </w:rPr>
              <w:t>7.4.3.</w:t>
            </w:r>
          </w:hyperlink>
          <w:hyperlink w:anchor="_Toc72502750">
            <w:r>
              <w:rPr>
                <w:webHidden/>
              </w:rPr>
              <w:fldChar w:fldCharType="begin"/>
            </w:r>
            <w:r>
              <w:rPr>
                <w:webHidden/>
              </w:rPr>
              <w:instrText>PAGEREF _Toc72502750 \h</w:instrText>
            </w:r>
            <w:r>
              <w:rPr>
                <w:webHidden/>
              </w:rPr>
              <w:fldChar w:fldCharType="separate"/>
            </w:r>
            <w:r>
              <w:rPr>
                <w:rStyle w:val="IndexLink"/>
                <w:rFonts w:ascii="Calibri" w:hAnsi="Calibri"/>
                <w:sz w:val="22"/>
                <w:lang w:eastAsia="nb-NO"/>
              </w:rPr>
              <w:tab/>
            </w:r>
            <w:r>
              <w:rPr>
                <w:webHidden/>
              </w:rPr>
              <w:fldChar w:fldCharType="end"/>
            </w:r>
          </w:hyperlink>
          <w:hyperlink w:anchor="_Toc72502750">
            <w:r>
              <w:rPr>
                <w:webHidden/>
              </w:rPr>
              <w:fldChar w:fldCharType="begin"/>
            </w:r>
            <w:r>
              <w:rPr>
                <w:webHidden/>
              </w:rPr>
              <w:instrText>PAGEREF _Toc72502750 \h</w:instrText>
            </w:r>
            <w:r>
              <w:rPr>
                <w:webHidden/>
              </w:rPr>
              <w:fldChar w:fldCharType="separate"/>
            </w:r>
            <w:r>
              <w:rPr>
                <w:rStyle w:val="IndexLink"/>
              </w:rPr>
              <w:t>Uavhengige variabler (landnivå)</w:t>
            </w:r>
            <w:r>
              <w:rPr>
                <w:webHidden/>
              </w:rPr>
              <w:fldChar w:fldCharType="end"/>
            </w:r>
          </w:hyperlink>
          <w:hyperlink w:anchor="_Toc72502750">
            <w:r>
              <w:rPr>
                <w:webHidden/>
              </w:rPr>
              <w:fldChar w:fldCharType="begin"/>
            </w:r>
            <w:r>
              <w:rPr>
                <w:webHidden/>
              </w:rPr>
              <w:instrText>PAGEREF _Toc72502750 \h</w:instrText>
            </w:r>
            <w:r>
              <w:rPr>
                <w:webHidden/>
              </w:rPr>
              <w:fldChar w:fldCharType="separate"/>
            </w:r>
            <w:r>
              <w:rPr>
                <w:rStyle w:val="IndexLink"/>
                <w:vanish w:val="false"/>
              </w:rPr>
              <w:tab/>
              <w:t>45</w:t>
            </w:r>
            <w:r>
              <w:rPr>
                <w:webHidden/>
              </w:rPr>
              <w:fldChar w:fldCharType="end"/>
            </w:r>
          </w:hyperlink>
        </w:p>
        <w:p>
          <w:pPr>
            <w:pStyle w:val="Contents3"/>
            <w:tabs>
              <w:tab w:val="clear" w:pos="708"/>
              <w:tab w:val="left" w:pos="1320" w:leader="none"/>
              <w:tab w:val="right" w:pos="9062" w:leader="dot"/>
            </w:tabs>
            <w:rPr/>
          </w:pPr>
          <w:hyperlink w:anchor="_Toc72502751">
            <w:r>
              <w:rPr>
                <w:rStyle w:val="IndexLink"/>
              </w:rPr>
              <w:t>7.4.4.</w:t>
            </w:r>
          </w:hyperlink>
          <w:hyperlink w:anchor="_Toc72502751">
            <w:r>
              <w:rPr>
                <w:webHidden/>
              </w:rPr>
              <w:fldChar w:fldCharType="begin"/>
            </w:r>
            <w:r>
              <w:rPr>
                <w:webHidden/>
              </w:rPr>
              <w:instrText>PAGEREF _Toc72502751 \h</w:instrText>
            </w:r>
            <w:r>
              <w:rPr>
                <w:webHidden/>
              </w:rPr>
              <w:fldChar w:fldCharType="separate"/>
            </w:r>
            <w:r>
              <w:rPr>
                <w:rStyle w:val="IndexLink"/>
                <w:rFonts w:ascii="Calibri" w:hAnsi="Calibri"/>
                <w:sz w:val="22"/>
                <w:lang w:eastAsia="nb-NO"/>
              </w:rPr>
              <w:tab/>
            </w:r>
            <w:r>
              <w:rPr>
                <w:webHidden/>
              </w:rPr>
              <w:fldChar w:fldCharType="end"/>
            </w:r>
          </w:hyperlink>
          <w:hyperlink w:anchor="_Toc72502751">
            <w:r>
              <w:rPr>
                <w:webHidden/>
              </w:rPr>
              <w:fldChar w:fldCharType="begin"/>
            </w:r>
            <w:r>
              <w:rPr>
                <w:webHidden/>
              </w:rPr>
              <w:instrText>PAGEREF _Toc72502751 \h</w:instrText>
            </w:r>
            <w:r>
              <w:rPr>
                <w:webHidden/>
              </w:rPr>
              <w:fldChar w:fldCharType="separate"/>
            </w:r>
            <w:r>
              <w:rPr>
                <w:rStyle w:val="IndexLink"/>
              </w:rPr>
              <w:t>Kontrollvariabler</w:t>
            </w:r>
            <w:r>
              <w:rPr>
                <w:webHidden/>
              </w:rPr>
              <w:fldChar w:fldCharType="end"/>
            </w:r>
          </w:hyperlink>
          <w:hyperlink w:anchor="_Toc72502751">
            <w:r>
              <w:rPr>
                <w:webHidden/>
              </w:rPr>
              <w:fldChar w:fldCharType="begin"/>
            </w:r>
            <w:r>
              <w:rPr>
                <w:webHidden/>
              </w:rPr>
              <w:instrText>PAGEREF _Toc72502751 \h</w:instrText>
            </w:r>
            <w:r>
              <w:rPr>
                <w:webHidden/>
              </w:rPr>
              <w:fldChar w:fldCharType="separate"/>
            </w:r>
            <w:r>
              <w:rPr>
                <w:rStyle w:val="IndexLink"/>
                <w:vanish w:val="false"/>
              </w:rPr>
              <w:tab/>
              <w:t>50</w:t>
            </w:r>
            <w:r>
              <w:rPr>
                <w:webHidden/>
              </w:rPr>
              <w:fldChar w:fldCharType="end"/>
            </w:r>
          </w:hyperlink>
        </w:p>
        <w:p>
          <w:pPr>
            <w:pStyle w:val="Contents2"/>
            <w:tabs>
              <w:tab w:val="clear" w:pos="708"/>
              <w:tab w:val="right" w:pos="9062" w:leader="dot"/>
            </w:tabs>
            <w:rPr/>
          </w:pPr>
          <w:hyperlink w:anchor="_Toc72502752">
            <w:r>
              <w:rPr>
                <w:rStyle w:val="IndexLink"/>
              </w:rPr>
              <w:t>7.5. Deskriptiv statistikk</w:t>
            </w:r>
          </w:hyperlink>
          <w:hyperlink w:anchor="_Toc72502752">
            <w:r>
              <w:rPr>
                <w:webHidden/>
              </w:rPr>
              <w:fldChar w:fldCharType="begin"/>
            </w:r>
            <w:r>
              <w:rPr>
                <w:webHidden/>
              </w:rPr>
              <w:instrText>PAGEREF _Toc72502752 \h</w:instrText>
            </w:r>
            <w:r>
              <w:rPr>
                <w:webHidden/>
              </w:rPr>
              <w:fldChar w:fldCharType="separate"/>
            </w:r>
            <w:r>
              <w:rPr>
                <w:rStyle w:val="IndexLink"/>
                <w:vanish w:val="false"/>
              </w:rPr>
              <w:tab/>
              <w:t>51</w:t>
            </w:r>
            <w:r>
              <w:rPr>
                <w:webHidden/>
              </w:rPr>
              <w:fldChar w:fldCharType="end"/>
            </w:r>
          </w:hyperlink>
        </w:p>
        <w:p>
          <w:pPr>
            <w:pStyle w:val="Contents2"/>
            <w:tabs>
              <w:tab w:val="clear" w:pos="708"/>
              <w:tab w:val="left" w:pos="880" w:leader="none"/>
              <w:tab w:val="right" w:pos="9062" w:leader="dot"/>
            </w:tabs>
            <w:rPr/>
          </w:pPr>
          <w:hyperlink w:anchor="_Toc72502753">
            <w:r>
              <w:rPr>
                <w:rStyle w:val="IndexLink"/>
              </w:rPr>
              <w:t>7.6.</w:t>
            </w:r>
          </w:hyperlink>
          <w:hyperlink w:anchor="_Toc72502753">
            <w:r>
              <w:rPr>
                <w:webHidden/>
              </w:rPr>
              <w:fldChar w:fldCharType="begin"/>
            </w:r>
            <w:r>
              <w:rPr>
                <w:webHidden/>
              </w:rPr>
              <w:instrText>PAGEREF _Toc72502753 \h</w:instrText>
            </w:r>
            <w:r>
              <w:rPr>
                <w:webHidden/>
              </w:rPr>
              <w:fldChar w:fldCharType="separate"/>
            </w:r>
            <w:r>
              <w:rPr>
                <w:rStyle w:val="IndexLink"/>
                <w:rFonts w:ascii="Calibri" w:hAnsi="Calibri"/>
                <w:sz w:val="22"/>
                <w:lang w:eastAsia="nb-NO"/>
              </w:rPr>
              <w:tab/>
            </w:r>
            <w:r>
              <w:rPr>
                <w:webHidden/>
              </w:rPr>
              <w:fldChar w:fldCharType="end"/>
            </w:r>
          </w:hyperlink>
          <w:hyperlink w:anchor="_Toc72502753">
            <w:r>
              <w:rPr>
                <w:webHidden/>
              </w:rPr>
              <w:fldChar w:fldCharType="begin"/>
            </w:r>
            <w:r>
              <w:rPr>
                <w:webHidden/>
              </w:rPr>
              <w:instrText>PAGEREF _Toc72502753 \h</w:instrText>
            </w:r>
            <w:r>
              <w:rPr>
                <w:webHidden/>
              </w:rPr>
              <w:fldChar w:fldCharType="separate"/>
            </w:r>
            <w:r>
              <w:rPr>
                <w:rStyle w:val="IndexLink"/>
              </w:rPr>
              <w:t>Svakheter ved designet</w:t>
            </w:r>
            <w:r>
              <w:rPr>
                <w:webHidden/>
              </w:rPr>
              <w:fldChar w:fldCharType="end"/>
            </w:r>
          </w:hyperlink>
          <w:hyperlink w:anchor="_Toc72502753">
            <w:r>
              <w:rPr>
                <w:webHidden/>
              </w:rPr>
              <w:fldChar w:fldCharType="begin"/>
            </w:r>
            <w:r>
              <w:rPr>
                <w:webHidden/>
              </w:rPr>
              <w:instrText>PAGEREF _Toc72502753 \h</w:instrText>
            </w:r>
            <w:r>
              <w:rPr>
                <w:webHidden/>
              </w:rPr>
              <w:fldChar w:fldCharType="separate"/>
            </w:r>
            <w:r>
              <w:rPr>
                <w:rStyle w:val="IndexLink"/>
                <w:vanish w:val="false"/>
              </w:rPr>
              <w:tab/>
              <w:t>52</w:t>
            </w:r>
            <w:r>
              <w:rPr>
                <w:webHidden/>
              </w:rPr>
              <w:fldChar w:fldCharType="end"/>
            </w:r>
          </w:hyperlink>
        </w:p>
        <w:p>
          <w:pPr>
            <w:pStyle w:val="Contents1"/>
            <w:tabs>
              <w:tab w:val="clear" w:pos="708"/>
              <w:tab w:val="right" w:pos="9062" w:leader="dot"/>
            </w:tabs>
            <w:rPr/>
          </w:pPr>
          <w:hyperlink w:anchor="_Toc72502754">
            <w:r>
              <w:rPr>
                <w:rStyle w:val="IndexLink"/>
              </w:rPr>
              <w:t>Kapittel 8. Resultater</w:t>
            </w:r>
          </w:hyperlink>
          <w:hyperlink w:anchor="_Toc72502754">
            <w:r>
              <w:rPr>
                <w:webHidden/>
              </w:rPr>
              <w:fldChar w:fldCharType="begin"/>
            </w:r>
            <w:r>
              <w:rPr>
                <w:webHidden/>
              </w:rPr>
              <w:instrText>PAGEREF _Toc72502754 \h</w:instrText>
            </w:r>
            <w:r>
              <w:rPr>
                <w:webHidden/>
              </w:rPr>
              <w:fldChar w:fldCharType="separate"/>
            </w:r>
            <w:r>
              <w:rPr>
                <w:rStyle w:val="IndexLink"/>
                <w:vanish w:val="false"/>
              </w:rPr>
              <w:tab/>
              <w:t>54</w:t>
            </w:r>
            <w:r>
              <w:rPr>
                <w:webHidden/>
              </w:rPr>
              <w:fldChar w:fldCharType="end"/>
            </w:r>
          </w:hyperlink>
        </w:p>
        <w:p>
          <w:pPr>
            <w:pStyle w:val="Contents2"/>
            <w:tabs>
              <w:tab w:val="clear" w:pos="708"/>
              <w:tab w:val="left" w:pos="880" w:leader="none"/>
              <w:tab w:val="right" w:pos="9062" w:leader="dot"/>
            </w:tabs>
            <w:rPr/>
          </w:pPr>
          <w:hyperlink w:anchor="_Toc72502755">
            <w:r>
              <w:rPr>
                <w:rStyle w:val="IndexLink"/>
              </w:rPr>
              <w:t>8.1.</w:t>
            </w:r>
          </w:hyperlink>
          <w:hyperlink w:anchor="_Toc72502755">
            <w:r>
              <w:rPr>
                <w:webHidden/>
              </w:rPr>
              <w:fldChar w:fldCharType="begin"/>
            </w:r>
            <w:r>
              <w:rPr>
                <w:webHidden/>
              </w:rPr>
              <w:instrText>PAGEREF _Toc72502755 \h</w:instrText>
            </w:r>
            <w:r>
              <w:rPr>
                <w:webHidden/>
              </w:rPr>
              <w:fldChar w:fldCharType="separate"/>
            </w:r>
            <w:r>
              <w:rPr>
                <w:rStyle w:val="IndexLink"/>
                <w:rFonts w:ascii="Calibri" w:hAnsi="Calibri"/>
                <w:sz w:val="22"/>
                <w:lang w:eastAsia="nb-NO"/>
              </w:rPr>
              <w:tab/>
            </w:r>
            <w:r>
              <w:rPr>
                <w:webHidden/>
              </w:rPr>
              <w:fldChar w:fldCharType="end"/>
            </w:r>
          </w:hyperlink>
          <w:hyperlink w:anchor="_Toc72502755">
            <w:r>
              <w:rPr>
                <w:webHidden/>
              </w:rPr>
              <w:fldChar w:fldCharType="begin"/>
            </w:r>
            <w:r>
              <w:rPr>
                <w:webHidden/>
              </w:rPr>
              <w:instrText>PAGEREF _Toc72502755 \h</w:instrText>
            </w:r>
            <w:r>
              <w:rPr>
                <w:webHidden/>
              </w:rPr>
              <w:fldChar w:fldCharType="separate"/>
            </w:r>
            <w:r>
              <w:rPr>
                <w:rStyle w:val="IndexLink"/>
              </w:rPr>
              <w:t>Nullmodell og intraklassekorrelasjon</w:t>
            </w:r>
            <w:r>
              <w:rPr>
                <w:webHidden/>
              </w:rPr>
              <w:fldChar w:fldCharType="end"/>
            </w:r>
          </w:hyperlink>
          <w:hyperlink w:anchor="_Toc72502755">
            <w:r>
              <w:rPr>
                <w:webHidden/>
              </w:rPr>
              <w:fldChar w:fldCharType="begin"/>
            </w:r>
            <w:r>
              <w:rPr>
                <w:webHidden/>
              </w:rPr>
              <w:instrText>PAGEREF _Toc72502755 \h</w:instrText>
            </w:r>
            <w:r>
              <w:rPr>
                <w:webHidden/>
              </w:rPr>
              <w:fldChar w:fldCharType="separate"/>
            </w:r>
            <w:r>
              <w:rPr>
                <w:rStyle w:val="IndexLink"/>
                <w:vanish w:val="false"/>
              </w:rPr>
              <w:tab/>
              <w:t>54</w:t>
            </w:r>
            <w:r>
              <w:rPr>
                <w:webHidden/>
              </w:rPr>
              <w:fldChar w:fldCharType="end"/>
            </w:r>
          </w:hyperlink>
        </w:p>
        <w:p>
          <w:pPr>
            <w:pStyle w:val="Contents2"/>
            <w:tabs>
              <w:tab w:val="clear" w:pos="708"/>
              <w:tab w:val="left" w:pos="880" w:leader="none"/>
              <w:tab w:val="right" w:pos="9062" w:leader="dot"/>
            </w:tabs>
            <w:rPr/>
          </w:pPr>
          <w:hyperlink w:anchor="_Toc72502756">
            <w:r>
              <w:rPr>
                <w:rStyle w:val="IndexLink"/>
                <w:shd w:fill="FFFFFF" w:val="clear"/>
              </w:rPr>
              <w:t>8.2.</w:t>
            </w:r>
          </w:hyperlink>
          <w:hyperlink w:anchor="_Toc72502756">
            <w:r>
              <w:rPr>
                <w:webHidden/>
              </w:rPr>
              <w:fldChar w:fldCharType="begin"/>
            </w:r>
            <w:r>
              <w:rPr>
                <w:webHidden/>
              </w:rPr>
              <w:instrText>PAGEREF _Toc72502756 \h</w:instrText>
            </w:r>
            <w:r>
              <w:rPr>
                <w:webHidden/>
              </w:rPr>
              <w:fldChar w:fldCharType="separate"/>
            </w:r>
            <w:r>
              <w:rPr>
                <w:rStyle w:val="IndexLink"/>
                <w:rFonts w:ascii="Calibri" w:hAnsi="Calibri"/>
                <w:sz w:val="22"/>
                <w:lang w:eastAsia="nb-NO"/>
              </w:rPr>
              <w:tab/>
            </w:r>
            <w:r>
              <w:rPr>
                <w:webHidden/>
              </w:rPr>
              <w:fldChar w:fldCharType="end"/>
            </w:r>
          </w:hyperlink>
          <w:hyperlink w:anchor="_Toc72502756">
            <w:r>
              <w:rPr>
                <w:webHidden/>
              </w:rPr>
              <w:fldChar w:fldCharType="begin"/>
            </w:r>
            <w:r>
              <w:rPr>
                <w:webHidden/>
              </w:rPr>
              <w:instrText>PAGEREF _Toc72502756 \h</w:instrText>
            </w:r>
            <w:r>
              <w:rPr>
                <w:webHidden/>
              </w:rPr>
              <w:fldChar w:fldCharType="separate"/>
            </w:r>
            <w:r>
              <w:rPr>
                <w:rStyle w:val="IndexLink"/>
                <w:shd w:fill="FFFFFF" w:val="clear"/>
              </w:rPr>
              <w:t>Flernivåanalyse (uvektet)</w:t>
            </w:r>
            <w:r>
              <w:rPr>
                <w:webHidden/>
              </w:rPr>
              <w:fldChar w:fldCharType="end"/>
            </w:r>
          </w:hyperlink>
          <w:hyperlink w:anchor="_Toc72502756">
            <w:r>
              <w:rPr>
                <w:webHidden/>
              </w:rPr>
              <w:fldChar w:fldCharType="begin"/>
            </w:r>
            <w:r>
              <w:rPr>
                <w:webHidden/>
              </w:rPr>
              <w:instrText>PAGEREF _Toc72502756 \h</w:instrText>
            </w:r>
            <w:r>
              <w:rPr>
                <w:webHidden/>
              </w:rPr>
              <w:fldChar w:fldCharType="separate"/>
            </w:r>
            <w:r>
              <w:rPr>
                <w:rStyle w:val="IndexLink"/>
                <w:vanish w:val="false"/>
              </w:rPr>
              <w:tab/>
              <w:t>56</w:t>
            </w:r>
            <w:r>
              <w:rPr>
                <w:webHidden/>
              </w:rPr>
              <w:fldChar w:fldCharType="end"/>
            </w:r>
          </w:hyperlink>
        </w:p>
        <w:p>
          <w:pPr>
            <w:pStyle w:val="Contents2"/>
            <w:tabs>
              <w:tab w:val="clear" w:pos="708"/>
              <w:tab w:val="left" w:pos="880" w:leader="none"/>
              <w:tab w:val="right" w:pos="9062" w:leader="dot"/>
            </w:tabs>
            <w:rPr/>
          </w:pPr>
          <w:hyperlink w:anchor="_Toc72502757">
            <w:r>
              <w:rPr>
                <w:rStyle w:val="IndexLink"/>
                <w:shd w:fill="FFFFFF" w:val="clear"/>
              </w:rPr>
              <w:t>8.3.</w:t>
            </w:r>
          </w:hyperlink>
          <w:hyperlink w:anchor="_Toc72502757">
            <w:r>
              <w:rPr>
                <w:webHidden/>
              </w:rPr>
              <w:fldChar w:fldCharType="begin"/>
            </w:r>
            <w:r>
              <w:rPr>
                <w:webHidden/>
              </w:rPr>
              <w:instrText>PAGEREF _Toc72502757 \h</w:instrText>
            </w:r>
            <w:r>
              <w:rPr>
                <w:webHidden/>
              </w:rPr>
              <w:fldChar w:fldCharType="separate"/>
            </w:r>
            <w:r>
              <w:rPr>
                <w:rStyle w:val="IndexLink"/>
                <w:rFonts w:ascii="Calibri" w:hAnsi="Calibri"/>
                <w:sz w:val="22"/>
                <w:lang w:eastAsia="nb-NO"/>
              </w:rPr>
              <w:tab/>
            </w:r>
            <w:r>
              <w:rPr>
                <w:webHidden/>
              </w:rPr>
              <w:fldChar w:fldCharType="end"/>
            </w:r>
          </w:hyperlink>
          <w:hyperlink w:anchor="_Toc72502757">
            <w:r>
              <w:rPr>
                <w:webHidden/>
              </w:rPr>
              <w:fldChar w:fldCharType="begin"/>
            </w:r>
            <w:r>
              <w:rPr>
                <w:webHidden/>
              </w:rPr>
              <w:instrText>PAGEREF _Toc72502757 \h</w:instrText>
            </w:r>
            <w:r>
              <w:rPr>
                <w:webHidden/>
              </w:rPr>
              <w:fldChar w:fldCharType="separate"/>
            </w:r>
            <w:r>
              <w:rPr>
                <w:rStyle w:val="IndexLink"/>
                <w:shd w:fill="FFFFFF" w:val="clear"/>
              </w:rPr>
              <w:t>Flernivåanalyse (vektet)</w:t>
            </w:r>
            <w:r>
              <w:rPr>
                <w:webHidden/>
              </w:rPr>
              <w:fldChar w:fldCharType="end"/>
            </w:r>
          </w:hyperlink>
          <w:hyperlink w:anchor="_Toc72502757">
            <w:r>
              <w:rPr>
                <w:webHidden/>
              </w:rPr>
              <w:fldChar w:fldCharType="begin"/>
            </w:r>
            <w:r>
              <w:rPr>
                <w:webHidden/>
              </w:rPr>
              <w:instrText>PAGEREF _Toc72502757 \h</w:instrText>
            </w:r>
            <w:r>
              <w:rPr>
                <w:webHidden/>
              </w:rPr>
              <w:fldChar w:fldCharType="separate"/>
            </w:r>
            <w:r>
              <w:rPr>
                <w:rStyle w:val="IndexLink"/>
                <w:vanish w:val="false"/>
              </w:rPr>
              <w:tab/>
              <w:t>62</w:t>
            </w:r>
            <w:r>
              <w:rPr>
                <w:webHidden/>
              </w:rPr>
              <w:fldChar w:fldCharType="end"/>
            </w:r>
          </w:hyperlink>
        </w:p>
        <w:p>
          <w:pPr>
            <w:pStyle w:val="Contents1"/>
            <w:tabs>
              <w:tab w:val="clear" w:pos="708"/>
              <w:tab w:val="right" w:pos="9062" w:leader="dot"/>
            </w:tabs>
            <w:rPr/>
          </w:pPr>
          <w:hyperlink w:anchor="_Toc72502758">
            <w:r>
              <w:rPr>
                <w:rStyle w:val="IndexLink"/>
              </w:rPr>
              <w:t>Kapittel 9. Diskusjon og konklusjon</w:t>
            </w:r>
          </w:hyperlink>
          <w:hyperlink w:anchor="_Toc72502758">
            <w:r>
              <w:rPr>
                <w:webHidden/>
              </w:rPr>
              <w:fldChar w:fldCharType="begin"/>
            </w:r>
            <w:r>
              <w:rPr>
                <w:webHidden/>
              </w:rPr>
              <w:instrText>PAGEREF _Toc72502758 \h</w:instrText>
            </w:r>
            <w:r>
              <w:rPr>
                <w:webHidden/>
              </w:rPr>
              <w:fldChar w:fldCharType="separate"/>
            </w:r>
            <w:r>
              <w:rPr>
                <w:rStyle w:val="IndexLink"/>
                <w:vanish w:val="false"/>
              </w:rPr>
              <w:tab/>
              <w:t>68</w:t>
            </w:r>
            <w:r>
              <w:rPr>
                <w:webHidden/>
              </w:rPr>
              <w:fldChar w:fldCharType="end"/>
            </w:r>
          </w:hyperlink>
        </w:p>
        <w:p>
          <w:pPr>
            <w:pStyle w:val="Contents2"/>
            <w:tabs>
              <w:tab w:val="clear" w:pos="708"/>
              <w:tab w:val="right" w:pos="9062" w:leader="dot"/>
            </w:tabs>
            <w:rPr/>
          </w:pPr>
          <w:hyperlink w:anchor="_Toc72502759">
            <w:r>
              <w:rPr>
                <w:rStyle w:val="IndexLink"/>
              </w:rPr>
              <w:t>9.1. Oppsummering</w:t>
            </w:r>
          </w:hyperlink>
          <w:hyperlink w:anchor="_Toc72502759">
            <w:r>
              <w:rPr>
                <w:webHidden/>
              </w:rPr>
              <w:fldChar w:fldCharType="begin"/>
            </w:r>
            <w:r>
              <w:rPr>
                <w:webHidden/>
              </w:rPr>
              <w:instrText>PAGEREF _Toc72502759 \h</w:instrText>
            </w:r>
            <w:r>
              <w:rPr>
                <w:webHidden/>
              </w:rPr>
              <w:fldChar w:fldCharType="separate"/>
            </w:r>
            <w:r>
              <w:rPr>
                <w:rStyle w:val="IndexLink"/>
                <w:vanish w:val="false"/>
              </w:rPr>
              <w:tab/>
              <w:t>68</w:t>
            </w:r>
            <w:r>
              <w:rPr>
                <w:webHidden/>
              </w:rPr>
              <w:fldChar w:fldCharType="end"/>
            </w:r>
          </w:hyperlink>
        </w:p>
        <w:p>
          <w:pPr>
            <w:pStyle w:val="Contents2"/>
            <w:tabs>
              <w:tab w:val="clear" w:pos="708"/>
              <w:tab w:val="right" w:pos="9062" w:leader="dot"/>
            </w:tabs>
            <w:rPr/>
          </w:pPr>
          <w:hyperlink w:anchor="_Toc72502760">
            <w:r>
              <w:rPr>
                <w:rStyle w:val="IndexLink"/>
              </w:rPr>
              <w:t>9.2. Hypoteser og resultater</w:t>
            </w:r>
          </w:hyperlink>
          <w:hyperlink w:anchor="_Toc72502760">
            <w:r>
              <w:rPr>
                <w:webHidden/>
              </w:rPr>
              <w:fldChar w:fldCharType="begin"/>
            </w:r>
            <w:r>
              <w:rPr>
                <w:webHidden/>
              </w:rPr>
              <w:instrText>PAGEREF _Toc72502760 \h</w:instrText>
            </w:r>
            <w:r>
              <w:rPr>
                <w:webHidden/>
              </w:rPr>
              <w:fldChar w:fldCharType="separate"/>
            </w:r>
            <w:r>
              <w:rPr>
                <w:rStyle w:val="IndexLink"/>
                <w:vanish w:val="false"/>
              </w:rPr>
              <w:tab/>
              <w:t>70</w:t>
            </w:r>
            <w:r>
              <w:rPr>
                <w:webHidden/>
              </w:rPr>
              <w:fldChar w:fldCharType="end"/>
            </w:r>
          </w:hyperlink>
        </w:p>
        <w:p>
          <w:pPr>
            <w:pStyle w:val="Contents2"/>
            <w:tabs>
              <w:tab w:val="clear" w:pos="708"/>
              <w:tab w:val="right" w:pos="9062" w:leader="dot"/>
            </w:tabs>
            <w:rPr/>
          </w:pPr>
          <w:hyperlink w:anchor="_Toc72502761">
            <w:r>
              <w:rPr>
                <w:rStyle w:val="IndexLink"/>
              </w:rPr>
              <w:t>9.3. Diskusjon</w:t>
            </w:r>
          </w:hyperlink>
          <w:hyperlink w:anchor="_Toc72502761">
            <w:r>
              <w:rPr>
                <w:webHidden/>
              </w:rPr>
              <w:fldChar w:fldCharType="begin"/>
            </w:r>
            <w:r>
              <w:rPr>
                <w:webHidden/>
              </w:rPr>
              <w:instrText>PAGEREF _Toc72502761 \h</w:instrText>
            </w:r>
            <w:r>
              <w:rPr>
                <w:webHidden/>
              </w:rPr>
              <w:fldChar w:fldCharType="separate"/>
            </w:r>
            <w:r>
              <w:rPr>
                <w:rStyle w:val="IndexLink"/>
                <w:vanish w:val="false"/>
              </w:rPr>
              <w:tab/>
              <w:t>72</w:t>
            </w:r>
            <w:r>
              <w:rPr>
                <w:webHidden/>
              </w:rPr>
              <w:fldChar w:fldCharType="end"/>
            </w:r>
          </w:hyperlink>
        </w:p>
        <w:p>
          <w:pPr>
            <w:pStyle w:val="Contents2"/>
            <w:tabs>
              <w:tab w:val="clear" w:pos="708"/>
              <w:tab w:val="right" w:pos="9062" w:leader="dot"/>
            </w:tabs>
            <w:rPr/>
          </w:pPr>
          <w:hyperlink w:anchor="_Toc72502762">
            <w:r>
              <w:rPr>
                <w:rStyle w:val="IndexLink"/>
              </w:rPr>
              <w:t>9.4. Videre forskning</w:t>
            </w:r>
          </w:hyperlink>
          <w:hyperlink w:anchor="_Toc72502762">
            <w:r>
              <w:rPr>
                <w:webHidden/>
              </w:rPr>
              <w:fldChar w:fldCharType="begin"/>
            </w:r>
            <w:r>
              <w:rPr>
                <w:webHidden/>
              </w:rPr>
              <w:instrText>PAGEREF _Toc72502762 \h</w:instrText>
            </w:r>
            <w:r>
              <w:rPr>
                <w:webHidden/>
              </w:rPr>
              <w:fldChar w:fldCharType="separate"/>
            </w:r>
            <w:r>
              <w:rPr>
                <w:rStyle w:val="IndexLink"/>
                <w:vanish w:val="false"/>
              </w:rPr>
              <w:tab/>
              <w:t>74</w:t>
            </w:r>
            <w:r>
              <w:rPr>
                <w:webHidden/>
              </w:rPr>
              <w:fldChar w:fldCharType="end"/>
            </w:r>
          </w:hyperlink>
        </w:p>
        <w:p>
          <w:pPr>
            <w:pStyle w:val="Contents1"/>
            <w:tabs>
              <w:tab w:val="clear" w:pos="708"/>
              <w:tab w:val="right" w:pos="9062" w:leader="dot"/>
            </w:tabs>
            <w:rPr/>
          </w:pPr>
          <w:hyperlink w:anchor="_Toc72502763">
            <w:r>
              <w:rPr>
                <w:rStyle w:val="IndexLink"/>
              </w:rPr>
              <w:t>Litteraturliste</w:t>
            </w:r>
          </w:hyperlink>
          <w:hyperlink w:anchor="_Toc72502763">
            <w:r>
              <w:rPr>
                <w:webHidden/>
              </w:rPr>
              <w:fldChar w:fldCharType="begin"/>
            </w:r>
            <w:r>
              <w:rPr>
                <w:webHidden/>
              </w:rPr>
              <w:instrText>PAGEREF _Toc72502763 \h</w:instrText>
            </w:r>
            <w:r>
              <w:rPr>
                <w:webHidden/>
              </w:rPr>
              <w:fldChar w:fldCharType="separate"/>
            </w:r>
            <w:r>
              <w:rPr>
                <w:rStyle w:val="IndexLink"/>
                <w:vanish w:val="false"/>
              </w:rPr>
              <w:tab/>
              <w:t>77</w:t>
            </w:r>
            <w:r>
              <w:rPr>
                <w:webHidden/>
              </w:rPr>
              <w:fldChar w:fldCharType="end"/>
            </w:r>
          </w:hyperlink>
        </w:p>
        <w:p>
          <w:pPr>
            <w:pStyle w:val="Contents1"/>
            <w:tabs>
              <w:tab w:val="clear" w:pos="708"/>
              <w:tab w:val="right" w:pos="9062" w:leader="dot"/>
            </w:tabs>
            <w:rPr/>
          </w:pPr>
          <w:hyperlink w:anchor="_Toc72502764">
            <w:r>
              <w:rPr>
                <w:rStyle w:val="IndexLink"/>
                <w:lang w:val="en-US"/>
              </w:rPr>
              <w:t>Appendiks</w:t>
            </w:r>
          </w:hyperlink>
          <w:hyperlink w:anchor="_Toc72502764">
            <w:r>
              <w:rPr>
                <w:webHidden/>
              </w:rPr>
              <w:fldChar w:fldCharType="begin"/>
            </w:r>
            <w:r>
              <w:rPr>
                <w:webHidden/>
              </w:rPr>
              <w:instrText>PAGEREF _Toc72502764 \h</w:instrText>
            </w:r>
            <w:r>
              <w:rPr>
                <w:webHidden/>
              </w:rPr>
              <w:fldChar w:fldCharType="separate"/>
            </w:r>
            <w:r>
              <w:rPr>
                <w:rStyle w:val="IndexLink"/>
                <w:vanish w:val="false"/>
              </w:rPr>
              <w:tab/>
              <w:t>86</w:t>
            </w:r>
            <w:r>
              <w:rPr>
                <w:webHidden/>
              </w:rPr>
              <w:fldChar w:fldCharType="end"/>
            </w:r>
          </w:hyperlink>
        </w:p>
        <w:p>
          <w:pPr>
            <w:pStyle w:val="Normal"/>
            <w:rPr/>
          </w:pPr>
          <w:r>
            <w:rPr/>
          </w:r>
          <w:r>
            <w:rPr/>
            <w:fldChar w:fldCharType="end"/>
          </w:r>
        </w:p>
      </w:sdtContent>
    </w:sdt>
    <w:p>
      <w:pPr>
        <w:pStyle w:val="Normal"/>
        <w:jc w:val="left"/>
        <w:rPr>
          <w:sz w:val="28"/>
          <w:szCs w:val="24"/>
        </w:rPr>
      </w:pPr>
      <w:r>
        <w:rPr>
          <w:sz w:val="28"/>
          <w:szCs w:val="24"/>
        </w:rPr>
      </w:r>
      <w:r>
        <w:br w:type="page"/>
      </w:r>
    </w:p>
    <w:p>
      <w:pPr>
        <w:pStyle w:val="Heading1"/>
        <w:spacing w:lineRule="auto" w:line="360"/>
        <w:rPr/>
      </w:pPr>
      <w:bookmarkStart w:id="0" w:name="_Toc71922992"/>
      <w:bookmarkStart w:id="1" w:name="_Toc72502709"/>
      <w:bookmarkStart w:id="2" w:name="_Toc72076578"/>
      <w:r>
        <w:rPr/>
        <w:t>Kapittel 1. Innledning</w:t>
      </w:r>
      <w:bookmarkEnd w:id="0"/>
      <w:bookmarkEnd w:id="1"/>
      <w:bookmarkEnd w:id="2"/>
    </w:p>
    <w:p>
      <w:pPr>
        <w:pStyle w:val="Normal"/>
        <w:rPr/>
      </w:pPr>
      <w:r>
        <w:rPr/>
      </w:r>
    </w:p>
    <w:p>
      <w:pPr>
        <w:pStyle w:val="Heading2"/>
        <w:numPr>
          <w:ilvl w:val="1"/>
          <w:numId w:val="2"/>
        </w:numPr>
        <w:jc w:val="both"/>
        <w:rPr>
          <w:lang w:val="en-US"/>
        </w:rPr>
      </w:pPr>
      <w:bookmarkStart w:id="3" w:name="_Toc72502710"/>
      <w:r>
        <w:rPr>
          <w:lang w:val="en-US"/>
        </w:rPr>
        <w:t>Introduksjon</w:t>
      </w:r>
      <w:bookmarkEnd w:id="3"/>
    </w:p>
    <w:p>
      <w:pPr>
        <w:pStyle w:val="Heading2"/>
        <w:jc w:val="both"/>
        <w:rPr>
          <w:lang w:val="en-US"/>
        </w:rPr>
      </w:pPr>
      <w:r>
        <w:rPr>
          <w:lang w:val="en-US"/>
        </w:rPr>
      </w:r>
    </w:p>
    <w:p>
      <w:pPr>
        <w:pStyle w:val="Normal"/>
        <w:spacing w:lineRule="auto" w:line="360"/>
        <w:rPr/>
      </w:pPr>
      <w:r>
        <w:rPr>
          <w:rFonts w:cs="TimesNewRoman" w:ascii="TimesNewRoman" w:hAnsi="TimesNewRoman"/>
          <w:color w:val="000000"/>
          <w:szCs w:val="24"/>
        </w:rPr>
        <w:t xml:space="preserve">Maktdelingslitteraturen er idag stort sett dominert av å undersøke forhold på landnivå. Selv om dette utvilsomt er viktig for å forstå hvordan maktdeling påvirker statlig utvikling, mangler vi kunnskap om hvordan individer forholder seg til institusjoner av denne typen. Den statsvitenskapelige litteraturen minner oss stadig om viktigheten av politisk tillit for at stater skal utvikle seg mot en fredelig og demokratisk fremtid, men kunnskapen om forholdet mellom maktdeling, individers tillit og videre utvikling er til dags dato mangelfull. Som jeg vil vise senere i oppgaven finnes det noen studier som tar for seg individet i denne konteksten </w:t>
      </w:r>
      <w:r>
        <w:rPr>
          <w:rFonts w:cs="Times New Roman"/>
          <w:color w:val="000000"/>
          <w:szCs w:val="24"/>
        </w:rPr>
        <w:t xml:space="preserve">(se f.eks. Askvik, Jamil &amp; Dhakal, 2011; De Juan &amp; Pierskalla, 2016; Wong, 2016; Fisk &amp; Cherney, 2017; Binningsbø &amp; Dyrstad, 2012; </w:t>
      </w:r>
      <w:r>
        <w:rPr>
          <w:rFonts w:cs="TimesNewRoman" w:ascii="TimesNewRoman" w:hAnsi="TimesNewRoman"/>
          <w:color w:val="000000"/>
          <w:szCs w:val="24"/>
        </w:rPr>
        <w:t>Dyrstad, Bakke &amp; Binningsbø, 2021</w:t>
      </w:r>
      <w:r>
        <w:rPr>
          <w:rFonts w:cs="Times New Roman"/>
          <w:color w:val="000000"/>
          <w:szCs w:val="24"/>
        </w:rPr>
        <w:t>)</w:t>
      </w:r>
      <w:r>
        <w:rPr>
          <w:rFonts w:cs="TimesNewRoman" w:ascii="TimesNewRoman" w:hAnsi="TimesNewRoman"/>
          <w:color w:val="000000"/>
          <w:szCs w:val="24"/>
        </w:rPr>
        <w:t>, men det finnes stadig kunnskapshull. Eksempelvis fokuserer flere av disse studiene på fredsavtale som helhet, eller kun enkeltland. Vi ser en mangel på et spesifikt maktdelingsfokus – hvor tidligere studier ofte omfatter maktdeling som ett konsept. Jeg argumenterer for at maktdeling må ses på som en samlebetegnelse som omfatter flere ulike konsepter, med potensiale for ulike konsekvenser på individ- og landnivå.</w:t>
      </w:r>
    </w:p>
    <w:p>
      <w:pPr>
        <w:pStyle w:val="Normal"/>
        <w:spacing w:lineRule="auto" w:line="360"/>
        <w:rPr/>
      </w:pPr>
      <w:r>
        <w:rPr>
          <w:rFonts w:cs="TimesNewRoman" w:ascii="TimesNewRoman" w:hAnsi="TimesNewRoman"/>
          <w:color w:val="000000"/>
          <w:szCs w:val="24"/>
        </w:rPr>
        <w:t xml:space="preserve">For å undersøke hvordan maktdeling påvirker utsatte samfunnsgrupper, tar jeg utgangspunkt i følgende problemstilling: </w:t>
      </w:r>
      <w:r>
        <w:rPr>
          <w:i/>
          <w:iCs/>
        </w:rPr>
        <w:t>Fører politisk maktdeling til høyere tillit blant etniske minoriteter og kvinner i afrikanske land?</w:t>
      </w:r>
    </w:p>
    <w:p>
      <w:pPr>
        <w:pStyle w:val="Normal"/>
        <w:spacing w:lineRule="auto" w:line="360" w:before="0" w:after="0"/>
        <w:rPr/>
      </w:pPr>
      <w:r>
        <w:rPr>
          <w:rFonts w:cs="TimesNewRoman" w:ascii="TimesNewRoman" w:hAnsi="TimesNewRoman"/>
          <w:color w:val="000000"/>
          <w:szCs w:val="24"/>
        </w:rPr>
        <w:t xml:space="preserve">Jeg vil nå redegjøre for hvordan jeg skal nærme meg denne problemstillingen. For at kunnskapen om maktdeling skal utvikles, behøver vi å undersøke hvordan mennesker, institusjoner og hele stater påvirkes av det. </w:t>
      </w:r>
      <w:r>
        <w:rPr>
          <w:rFonts w:cs="TimesNewRoman" w:ascii="TimesNewRoman" w:hAnsi="TimesNewRoman"/>
          <w:color w:val="000000"/>
          <w:szCs w:val="24"/>
          <w:shd w:fill="FFFF00" w:val="clear"/>
        </w:rPr>
        <w:t xml:space="preserve">Denne oppgaven fokuserer på mennesket og ønsker å sette lys på hvordan tilliten til de politiske aktørene påvirkes av politisk maktdeling i kjølvannet av borgerkrig. </w:t>
      </w:r>
      <w:r>
        <w:rPr>
          <w:rFonts w:cs="TimesNewRoman" w:ascii="TimesNewRoman" w:hAnsi="TimesNewRoman"/>
          <w:color w:val="000000"/>
          <w:szCs w:val="24"/>
        </w:rPr>
        <w:t xml:space="preserve">Vi vet fortsatt lite om hvordan individer i ulike samfunnsgrupper forholder seg til maktdeling, og ved å få en bedre forståelse for hvordan den politiske tilliten endres av det, kan vi bevege oss nærmere et fullt bilde av konsekvensene av maktdeling som en fredsbyggende institusjon. For at en stat skal kunne bevege seg mot en fredelig og demokratisk fremtid er det viktig at samfunnet forenes og drar i samme retning. Følgelig er det avgjørende å bekjempe polarisering og ulikheter i politisk tillit på tvers av ulike samfunnsgrupper. For å undersøke hvordan politisk maktdeling i post-konflikt land i Afrika påvirker dette, vil jeg ta for meg to samfunnsgrupper som er historisk undertrykt: politisk undertrykte etniske grupper og kvinner. </w:t>
      </w:r>
      <w:r>
        <w:rPr>
          <w:rFonts w:cs="TimesNewRoman" w:ascii="TimesNewRoman" w:hAnsi="TimesNewRoman"/>
          <w:color w:val="000000"/>
          <w:szCs w:val="24"/>
          <w:shd w:fill="FFFF00" w:val="clear"/>
        </w:rPr>
        <w:t>J</w:t>
      </w:r>
      <w:r>
        <w:rPr>
          <w:rFonts w:cs="TimesNewRoman" w:ascii="TimesNewRoman" w:hAnsi="TimesNewRoman"/>
          <w:color w:val="000000"/>
          <w:szCs w:val="24"/>
          <w:u w:val="single"/>
          <w:shd w:fill="FFFF00" w:val="clear"/>
        </w:rPr>
        <w:t xml:space="preserve">eg vil også ta for meg en underkategori av politisk tillit, for å undersøke om enkelte institusjonsformer er bedre for den politiske tilliten hos disse samfunnsgruppene. </w:t>
      </w:r>
      <w:r>
        <w:rPr>
          <w:rFonts w:cs="TimesNewRoman" w:ascii="TimesNewRoman" w:hAnsi="TimesNewRoman"/>
          <w:color w:val="000000"/>
          <w:szCs w:val="24"/>
          <w:shd w:fill="FFFF00" w:val="clear"/>
        </w:rPr>
        <w:t>Jeg vil da ta for meg institusjonsformen closed-list PR og undersøke hvordan kvinners politiske tillit avhenger av denne.</w:t>
      </w:r>
      <w:r>
        <w:rPr>
          <w:rFonts w:cs="TimesNewRoman" w:ascii="TimesNewRoman" w:hAnsi="TimesNewRoman"/>
          <w:color w:val="000000"/>
          <w:szCs w:val="24"/>
        </w:rPr>
        <w:t xml:space="preserve"> Jeg skulle helst undersøkt tillit hos politisk undertrykte etniske grupper i lys av dette, men som jeg vil komme tilbake til fører informasjonsmangel om etniske grupper til at dette ikke lar seg gjøre.</w:t>
      </w:r>
    </w:p>
    <w:p>
      <w:pPr>
        <w:pStyle w:val="Normal"/>
        <w:spacing w:lineRule="auto" w:line="360"/>
        <w:rPr/>
      </w:pPr>
      <w:r>
        <w:rPr/>
      </w:r>
    </w:p>
    <w:p>
      <w:pPr>
        <w:pStyle w:val="Heading2"/>
        <w:numPr>
          <w:ilvl w:val="1"/>
          <w:numId w:val="5"/>
        </w:numPr>
        <w:spacing w:lineRule="auto" w:line="360"/>
        <w:jc w:val="both"/>
        <w:rPr/>
      </w:pPr>
      <w:bookmarkStart w:id="4" w:name="_Toc72502711"/>
      <w:bookmarkStart w:id="5" w:name="_Toc71922996"/>
      <w:bookmarkStart w:id="6" w:name="_Toc72076582"/>
      <w:r>
        <w:rPr>
          <w:lang w:val="en-US"/>
        </w:rPr>
        <w:t>Struktur</w:t>
      </w:r>
      <w:bookmarkEnd w:id="4"/>
      <w:bookmarkEnd w:id="5"/>
      <w:bookmarkEnd w:id="6"/>
      <w:r>
        <w:rPr>
          <w:lang w:val="en-US"/>
        </w:rPr>
        <w:t xml:space="preserve"> </w:t>
      </w:r>
    </w:p>
    <w:p>
      <w:pPr>
        <w:pStyle w:val="Normal"/>
        <w:spacing w:lineRule="auto" w:line="360"/>
        <w:rPr>
          <w:color w:val="000000"/>
        </w:rPr>
      </w:pPr>
      <w:r>
        <w:rPr>
          <w:color w:val="000000"/>
        </w:rPr>
        <w:t>Kapittel 2 er et begrepskapittel, hvor jeg vil redegjøre for hvordan tidligere forskere har definert politisk tillit, og hvordan politisk tillit blir definert i denne oppgaven. Jeg vil også gjøre rede for hva maktdeling er, hvorfor det benyttes, og gi en oversikt over hvordan faglitteraturen er delt i spørsmålet om effekten av maktdeling. Jeg vil også gi en oversikt over hvilke former for maktdeling som benyttes, og hvorfor jeg avgrenser oppgaven til å omhandle politisk maktdeling og institusjonsformen closed-list PR. I kapittel 3 vil jeg gi en kort oppsummering av Afrikas kolonihistorie som viser hvorfor afrikanske land i særskilt grad lider av etnisk fragmentering. Jeg vil også gi eksempler på caser hvor afrikanske postkonflikt-land har innført maktdeling, for å illustrere kompleksiteten og uenighetene som råder ved innføringen. I kapittel 4 presenterer jeg tidligere forskning. Ettersom det er et begrenset antall studier som tar for seg politisk tillit i lys av maktdeling, vil kapittel 4 nokså generelt vise til studier som tar for seg individers holdninger i lys av konflikt og voldseksponering. Oppgavens teoretiske rammeverk blir presentert i kapittel 5. Her tar jeg først for meg teorier rundt politisk tillit, og betydningen av dette i afrikansk kontekst. Videre presenteres teorier om maktdeling og hvilke følger dette kan tenkes å ha for de aktuelle samfunnsgruppene. Det sammensatte argumentet og påfølgende hypoteser blir presentert i kapittel 6, før oppgavens metodiske tilnærming gjøres rede for i kapittel 7. Deretter presenteres regresjonene i kapittel 8, med analyse av resultater. Disse resultatene blir diskutert i lys av oppgavens argumenter i diskusjonsdelen som er kapittel 9. Her vil jeg også diskutere hvordan mine funn og innsikter kan føres videre i fremtidig forskning.</w:t>
      </w:r>
    </w:p>
    <w:p>
      <w:pPr>
        <w:pStyle w:val="Normal"/>
        <w:jc w:val="left"/>
        <w:rPr>
          <w:color w:val="000000"/>
        </w:rPr>
      </w:pPr>
      <w:r>
        <w:rPr>
          <w:color w:val="000000"/>
        </w:rPr>
      </w:r>
      <w:r>
        <w:br w:type="page"/>
      </w:r>
    </w:p>
    <w:p>
      <w:pPr>
        <w:pStyle w:val="Heading1"/>
        <w:spacing w:lineRule="auto" w:line="360"/>
        <w:rPr/>
      </w:pPr>
      <w:bookmarkStart w:id="7" w:name="_Toc72502712"/>
      <w:bookmarkStart w:id="8" w:name="_Toc71923000"/>
      <w:r>
        <w:rPr/>
        <w:t>Kapittel 2. Begrepsavklaring</w:t>
      </w:r>
      <w:bookmarkEnd w:id="7"/>
      <w:bookmarkEnd w:id="8"/>
    </w:p>
    <w:p>
      <w:pPr>
        <w:pStyle w:val="Normal"/>
        <w:spacing w:lineRule="auto" w:line="360"/>
        <w:rPr/>
      </w:pPr>
      <w:r>
        <w:rPr/>
        <w:t>I kapittel 2 vil jeg ta for meg politisk tillit og maktdeling og definere disse. Dette kapittelet vil i stor grad bestå av tidligere definisjoner, men som vil pakke inn min definisjon av de to konseptene. Jeg tar først for meg politisk tillit i delkapittel 2.1., før jeg går videre til maktdeling. Som delkapittel 2.2. vil vise, anser jeg maktdeling som en samlebetegnelse på flere ulike institusjonsformer. Dette delkapittelet vil derfor starte med å omfatte maktdeling som helhet, før jeg går nærmere inn på ulike former for maktdeling, og til slutt underkategorier av politisk maktdeling.</w:t>
      </w:r>
    </w:p>
    <w:p>
      <w:pPr>
        <w:pStyle w:val="Normal"/>
        <w:spacing w:lineRule="auto" w:line="360"/>
        <w:rPr/>
      </w:pPr>
      <w:r>
        <w:rPr/>
      </w:r>
    </w:p>
    <w:p>
      <w:pPr>
        <w:pStyle w:val="Heading2"/>
        <w:spacing w:lineRule="auto" w:line="360"/>
        <w:rPr/>
      </w:pPr>
      <w:bookmarkStart w:id="9" w:name="_Toc72502713"/>
      <w:bookmarkStart w:id="10" w:name="_Toc71923001"/>
      <w:r>
        <w:rPr/>
        <w:t>2.1. Politisk tillit</w:t>
      </w:r>
      <w:bookmarkEnd w:id="9"/>
      <w:bookmarkEnd w:id="10"/>
    </w:p>
    <w:p>
      <w:pPr>
        <w:pStyle w:val="Normal"/>
        <w:spacing w:lineRule="auto" w:line="360"/>
        <w:rPr/>
      </w:pPr>
      <w:r>
        <w:rPr>
          <w:rFonts w:cs="Times New Roman"/>
          <w:szCs w:val="24"/>
        </w:rPr>
        <w:t xml:space="preserve">Easton (1975) ser på politisk tillit som et uttrykk for diffus støtte, og et mål på borgernes trygghet om at systemet og institusjonene tåler dagens lys. Gamson (1968) definerer det som «sannsynligheten for at det politiske systemet (eller en del av det) vil gi et foretrukket utfall på tross av manglende tilsyn». I nyere tid har det blitt vanligere å skille tillit mellom mennesker og tillit til institusjoner. Newton argumenterer for at vi kan stole på individer som naboer og medborgere ettersom vi kjenner dem, men vi har tillit til institusjoner basert på en følelse av hvordan de fungerer (Newton, 2007, s. 344). Denne påstanden finner vi igjen hos </w:t>
      </w:r>
      <w:r>
        <w:rPr>
          <w:rFonts w:cs="Times New Roman"/>
          <w:color w:val="000000"/>
          <w:szCs w:val="24"/>
        </w:rPr>
        <w:t xml:space="preserve">flere (Stokes, 1962; Hetherington, 2005). </w:t>
      </w:r>
      <w:r>
        <w:rPr>
          <w:rFonts w:cs="Times New Roman"/>
          <w:szCs w:val="24"/>
        </w:rPr>
        <w:t>Easton (1965) la grunnlag for et teoretisk rammeverk ved å skille mellom å måle tillit til samfunn, regime (politiske institusjoner) og aktører (politiske partier og politikere). Han hevder at nivåene av tillit disse imellom er knyttet sammen, men stratifisert. Mens manglende tillit til politiske partier og politikere er forbigående, vil manglende støtte til systemet som helhet være ødeleggende for alle institusjoner. Ved periodiske valg kan systemet fase ut enkelte politikere og partier og erstatte de med mer kompetente aktører, men ved mangel på tilliten til politikere kan det ha en negativ konsekvens for politiske institusjoner som igjen kan påvirke tilliten til hele det politiske systemet. Vedvarende misnøye som resultat av sosial konflikt smittet over til negative holdninger mot det politiske systemet (Miller, 1974). Citrin (1974) tilbakeviste Millers argument med begrunnelse i at man må skille mellom folkets misnøye med statens politiske posisjon, misnøye med utfall av pågående hendelser og politikk, misnøye med sittende embetsmenn, og underkjenning av hele det politiske systemet. I denne oppgaven definerer jeg politisk tillit som et todelt fenomen</w:t>
      </w:r>
      <w:r>
        <w:rPr>
          <w:rStyle w:val="FootnoteAnchor"/>
          <w:rFonts w:cs="Times New Roman"/>
          <w:szCs w:val="24"/>
        </w:rPr>
        <w:footnoteReference w:id="2"/>
      </w:r>
      <w:r>
        <w:rPr>
          <w:rFonts w:cs="Times New Roman"/>
          <w:szCs w:val="24"/>
        </w:rPr>
        <w:t xml:space="preserve">. Politisk tillit innebærer både å ha tillit til de dynamiske aktørene (politikere) og det etablerte systemet (institusjonene). I kapittel 7 vil jeg komme tilbake til operasjonaliseringen av politisk tillit som skal fange opp begge disse dimensjonene. </w:t>
      </w:r>
    </w:p>
    <w:p>
      <w:pPr>
        <w:pStyle w:val="Normal"/>
        <w:spacing w:lineRule="auto" w:line="360"/>
        <w:rPr>
          <w:rFonts w:cs="Times New Roman"/>
          <w:color w:val="000000"/>
          <w:szCs w:val="24"/>
        </w:rPr>
      </w:pPr>
      <w:r>
        <w:rPr>
          <w:rFonts w:cs="Times New Roman"/>
          <w:color w:val="000000"/>
          <w:szCs w:val="24"/>
        </w:rPr>
      </w:r>
    </w:p>
    <w:p>
      <w:pPr>
        <w:pStyle w:val="Heading2"/>
        <w:spacing w:lineRule="auto" w:line="360"/>
        <w:rPr/>
      </w:pPr>
      <w:bookmarkStart w:id="11" w:name="_Toc71923002"/>
      <w:bookmarkStart w:id="12" w:name="_Toc72502714"/>
      <w:r>
        <w:rPr/>
        <w:t>2.2. Maktdeling</w:t>
      </w:r>
      <w:bookmarkEnd w:id="11"/>
      <w:bookmarkEnd w:id="12"/>
    </w:p>
    <w:p>
      <w:pPr>
        <w:pStyle w:val="Heading3"/>
        <w:spacing w:lineRule="auto" w:line="360"/>
        <w:rPr/>
      </w:pPr>
      <w:bookmarkStart w:id="13" w:name="_Toc72502715"/>
      <w:bookmarkStart w:id="14" w:name="_Toc71923003"/>
      <w:r>
        <w:rPr/>
        <w:t>2.2.1. Hva er maktdeling?</w:t>
      </w:r>
      <w:bookmarkEnd w:id="13"/>
      <w:bookmarkEnd w:id="14"/>
    </w:p>
    <w:p>
      <w:pPr>
        <w:pStyle w:val="Normal"/>
        <w:spacing w:lineRule="auto" w:line="360"/>
        <w:rPr/>
      </w:pPr>
      <w:r>
        <w:rPr>
          <w:rFonts w:cs="Times New Roman"/>
          <w:szCs w:val="24"/>
        </w:rPr>
        <w:t xml:space="preserve">Land som er herjet av borgerkrig vil ofte være karakterisert av polarisering, misnøye og </w:t>
      </w:r>
      <w:r>
        <w:rPr>
          <w:rFonts w:cs="Times New Roman"/>
          <w:szCs w:val="24"/>
          <w:shd w:fill="FFFF00" w:val="clear"/>
        </w:rPr>
        <w:t xml:space="preserve">historisk avmakt </w:t>
      </w:r>
      <w:r>
        <w:rPr>
          <w:rFonts w:cs="Times New Roman"/>
          <w:szCs w:val="24"/>
        </w:rPr>
        <w:t>(</w:t>
      </w:r>
      <w:r>
        <w:rPr>
          <w:rFonts w:cs="Times New Roman"/>
          <w:szCs w:val="24"/>
          <w:shd w:fill="FFFFFF" w:val="clear"/>
        </w:rPr>
        <w:t>Choudhry, 2008)</w:t>
      </w:r>
      <w:r>
        <w:rPr>
          <w:rFonts w:cs="Times New Roman"/>
          <w:szCs w:val="24"/>
        </w:rPr>
        <w:t xml:space="preserve">. For at konflikten skal avta, og landet skal kunne utvikle seg videre, må krigspartene ha et felles mål å jobbe mot. Ofte vil enten landet selv, eller eksterne aktører, innføre eller pålegge landet en maktdelingsavtale som skal sikre samarbeid mellom partene. Slike land kalles ofte konsensusdemokratier, eller konsosierte demokratier (Lijphart, 1969). Jeg vil tidvis anvende begrepet konsosiering, hvor jeg da sikter til handlingen om å dele makten i et postkonflikt-land. Det finnes en bred enighet om at maktdeling er den mest gjennomførbare demokratiske løsningen i slike delte samfunn, som potensielt vil sikre begge eller flere krigsparter en plass i regjeringen (Ottaway, 2003; Rooney, 2015). Blant annet ser FN på maktdeling som den eneste gjennomførbare måten å avslutte borgerkrig ved fredsavtale på, og for å etablere varig fred og demokrati i konfliktutsatte områder (Lijphart, 2004). Av den grunn har maktdeling blitt en vanlig institusjonsform for flere postkonflikt-land, blant annet Burundi, Kenya, Libanon, Liberia, Madagaskar, Nigeria, Sierra Leone, Nord-Irland og Bosnia-Hercegovina, for å nevne noen. Målet med maktdeling er å få de krigende partene til å bli inkorporert i ett felles politisk system, hvor sannsynligheten er større for at de skal utvikle felles interesser i stabilitet og funksjonalitet (Horowitz, 1985; Jung, 2012; Cammett &amp; Malesky, 2012). </w:t>
      </w:r>
      <w:r>
        <w:rPr>
          <w:rFonts w:cs="Times New Roman"/>
          <w:color w:val="000000"/>
          <w:szCs w:val="24"/>
        </w:rPr>
        <w:t>Det råder uenighet om virkningen maktdeling har på lang sikt. Horowitz (1985) er blant de som har kritisert maktdeling med hensyn til demokratisk utvikling i konfliktrammede land, og har fått støtte fra flere (se f.eks. Mehler, 2009; Roeder &amp; Rotchild, 2005; Spears, 2000, 2002; Sririam &amp; Zahar, 2009; Tull &amp; Mehler, 2005). På en annen side ser Lijphart (1977) m.fl. på maktdeling som et fremtidsrettet og freds- og demokratistyrkende tiltak (se f.eks. Hartzell &amp; Hoodie, 2007; Mukherjee, 2006a; Norris, 2008; Walter, 2002).</w:t>
      </w:r>
    </w:p>
    <w:p>
      <w:pPr>
        <w:pStyle w:val="Normal"/>
        <w:spacing w:lineRule="auto" w:line="360"/>
        <w:rPr/>
      </w:pPr>
      <w:r>
        <w:rPr>
          <w:rFonts w:cs="Times New Roman"/>
          <w:szCs w:val="24"/>
        </w:rPr>
        <w:t xml:space="preserve">Det finnes ingen universal definisjon av hva maktdeling er (Binningsbø, 2013; Ottmann &amp; </w:t>
      </w:r>
      <w:r>
        <w:rPr>
          <w:rFonts w:cs="Times New Roman"/>
          <w:color w:val="000000"/>
          <w:szCs w:val="24"/>
        </w:rPr>
        <w:t xml:space="preserve">Vüllers, 2014). Lijphart (1969) har etablert begrepet om konsensusdemokratier, og ser på det brede spekteret av politisk, økonomisk og territoriell maktdeling (se også Norris, 2008). Walter (2002) gir en mer snever forståelse av maktdeling ved å se på det som en inkludering av en politisk opposisjon i en felles regjering. Glassmyer &amp; Sambanis (2008) fokuserer på maktdeling som et fredstiltak i et kortsiktig perspektiv, mens Roeder &amp; Rothchild (2005) </w:t>
      </w:r>
      <w:r>
        <w:rPr>
          <w:rFonts w:cs="Times New Roman"/>
          <w:szCs w:val="24"/>
        </w:rPr>
        <w:t>har lagt vekt på de langsiktige virkningene mot en forsoning i samfunn med delte interesser.</w:t>
      </w:r>
      <w:r>
        <w:rPr>
          <w:rFonts w:cs="Times New Roman"/>
          <w:color w:val="000000"/>
          <w:szCs w:val="24"/>
        </w:rPr>
        <w:t xml:space="preserve"> Denne oppgaven følger Ottman &amp; Vüllers’ (2014) definisjon av maktdeling, som enhver avtale mellom en stats regjering og en opprørergruppe som innebærer å forme en institusjon med delt kontrollmandat med et nasjonalt nivå av styring. Imidlertid, som nevnt innledningsvis, vil denne oppgaven kun ta for seg én form for maktdeling – politisk maktdeling. I neste delkapittel går jeg nærmere inn på de ulike formene for maktdeling, og hvorfor jeg velger å fokusere på den politiske dimensjonen.</w:t>
      </w:r>
    </w:p>
    <w:p>
      <w:pPr>
        <w:pStyle w:val="Normal"/>
        <w:spacing w:lineRule="auto" w:line="360"/>
        <w:rPr>
          <w:rFonts w:cs="Times New Roman"/>
          <w:color w:val="000000"/>
          <w:szCs w:val="24"/>
        </w:rPr>
      </w:pPr>
      <w:r>
        <w:rPr>
          <w:rFonts w:cs="Times New Roman"/>
          <w:color w:val="000000"/>
          <w:szCs w:val="24"/>
        </w:rPr>
      </w:r>
    </w:p>
    <w:p>
      <w:pPr>
        <w:pStyle w:val="Heading3"/>
        <w:spacing w:lineRule="auto" w:line="360"/>
        <w:rPr/>
      </w:pPr>
      <w:bookmarkStart w:id="15" w:name="_Toc72502716"/>
      <w:bookmarkStart w:id="16" w:name="_Toc71923004"/>
      <w:r>
        <w:rPr/>
        <w:t>2.2.2. Former for maktdeling</w:t>
      </w:r>
      <w:bookmarkEnd w:id="15"/>
      <w:bookmarkEnd w:id="16"/>
    </w:p>
    <w:p>
      <w:pPr>
        <w:pStyle w:val="Normal"/>
        <w:spacing w:lineRule="auto" w:line="360"/>
        <w:rPr/>
      </w:pPr>
      <w:r>
        <w:rPr>
          <w:rFonts w:cs="Times New Roman"/>
          <w:szCs w:val="24"/>
        </w:rPr>
        <w:t>For å nå målet om å finne en felles vei videre, har ulike land tatt i bruk ulike former for maktdeling. Hartzell &amp; Hoodie (2003) skiller mellom fire hovedtyper for maktdeling: (i) politisk, (ii) økonomisk, (iii) territoriell og (iv) militær maktdeling. Eksempelvis er Elfenbenkysten en politisk maktdeling-case, hvor representanter fra den opprørske gruppen fikk plass i regjeringskabinettet etter en maktdelingsavtale</w:t>
      </w:r>
      <w:r>
        <w:rPr>
          <w:rStyle w:val="FootnoteAnchor"/>
          <w:rFonts w:cs="Times New Roman"/>
          <w:szCs w:val="24"/>
        </w:rPr>
        <w:footnoteReference w:id="3"/>
      </w:r>
      <w:r>
        <w:rPr>
          <w:rFonts w:cs="Times New Roman"/>
          <w:szCs w:val="24"/>
        </w:rPr>
        <w:t xml:space="preserve"> i 2003. Når det gjelder økonomisk maktdeling finner vi et eksempel i Papa Ny-Guinea i 2006, hvor representanter fra den opprørske gruppen fikk plass i kommisjoner som regulerer landets økonomiske allokering</w:t>
      </w:r>
      <w:r>
        <w:rPr>
          <w:rStyle w:val="FootnoteAnchor"/>
          <w:rFonts w:cs="Times New Roman"/>
          <w:szCs w:val="24"/>
        </w:rPr>
        <w:footnoteReference w:id="4"/>
      </w:r>
      <w:r>
        <w:rPr>
          <w:rFonts w:cs="Times New Roman"/>
          <w:szCs w:val="24"/>
        </w:rPr>
        <w:t>. I Niger i 1999 ble det ustedt et dekret i forbindelse med Ouagadougo-avtalen, som medførte desentralisering av makt, og dermed territoriell maktdeling. Til slutt har vi militær maktdeling, som vi finner eksempel på etter maktdelingsavtalen i Bosnia-Hercegovina i 1999</w:t>
      </w:r>
      <w:r>
        <w:rPr>
          <w:rStyle w:val="FootnoteAnchor"/>
          <w:rFonts w:cs="Times New Roman"/>
          <w:szCs w:val="24"/>
        </w:rPr>
        <w:footnoteReference w:id="5"/>
      </w:r>
      <w:r>
        <w:rPr>
          <w:rFonts w:cs="Times New Roman"/>
          <w:szCs w:val="24"/>
        </w:rPr>
        <w:t>, hvor representanter for opprørerne ble inkludert i den nasjonale militærkommandoen (Ottmann &amp; Vüllers, 2015).</w:t>
      </w:r>
    </w:p>
    <w:p>
      <w:pPr>
        <w:pStyle w:val="Normal"/>
        <w:spacing w:lineRule="auto" w:line="360"/>
        <w:rPr/>
      </w:pPr>
      <w:r>
        <w:rPr>
          <w:rFonts w:cs="Times New Roman"/>
          <w:szCs w:val="24"/>
        </w:rPr>
        <w:t>Som demonstrert av flere (Hartzel &amp; Hoodie, 2003; Cammett &amp; Malesky, 2012) er politisk maktdeling den formen som er hyppigst brukt. I følge blant andre Mehler (2009) har ingen afrikanske land unnsluppet den politiske dimensjonen av maktdeling, og mellom 1944 og 1999 ble 61 av 111 avsluttede borgerkriger etterfulgt av politisk maktdeling (Mukherjee, 2006b)</w:t>
      </w:r>
      <w:r>
        <w:rPr>
          <w:rStyle w:val="FootnoteAnchor"/>
          <w:rFonts w:cs="Times New Roman"/>
          <w:szCs w:val="24"/>
        </w:rPr>
        <w:footnoteReference w:id="6"/>
      </w:r>
      <w:r>
        <w:rPr>
          <w:rFonts w:cs="Times New Roman"/>
          <w:szCs w:val="24"/>
        </w:rPr>
        <w:t>. Ettersom det er sannsynlig at denne formen for maktdeling er mest relevant for politisk tillit i Afrika, vil denne oppgaven begrense seg til å omfatte land med politisk maktdeling. Jeg anser det også som mest relevant da oppgaven undersøker politisk tillit hos grupper som er politisk undertrykte. For at disse gruppene skal øke sin politiske tillit, er en redistribusjon av politisk makt nødvendig. Som Ottmann &amp; Vüllers (2014) påpeker er alle de ulike formene for maktdeling interessante på hver sin måte, men forskere på feltet må ta for seg én tilnærming av gangen for å gradvis utvikle kunnskap om maktdeling.</w:t>
      </w:r>
    </w:p>
    <w:p>
      <w:pPr>
        <w:pStyle w:val="Normal"/>
        <w:spacing w:lineRule="auto" w:line="360"/>
        <w:rPr>
          <w:rFonts w:cs="Times New Roman"/>
          <w:szCs w:val="24"/>
        </w:rPr>
      </w:pPr>
      <w:r>
        <w:rPr>
          <w:rFonts w:cs="Times New Roman"/>
          <w:szCs w:val="24"/>
        </w:rPr>
      </w:r>
    </w:p>
    <w:p>
      <w:pPr>
        <w:pStyle w:val="Heading3"/>
        <w:spacing w:lineRule="auto" w:line="360"/>
        <w:rPr/>
      </w:pPr>
      <w:bookmarkStart w:id="17" w:name="_Toc72502717"/>
      <w:bookmarkStart w:id="18" w:name="_Toc71923005"/>
      <w:r>
        <w:rPr/>
        <w:t>2.2.3. Politisk maktdeling</w:t>
      </w:r>
      <w:bookmarkEnd w:id="17"/>
      <w:bookmarkEnd w:id="18"/>
    </w:p>
    <w:p>
      <w:pPr>
        <w:pStyle w:val="Normal"/>
        <w:spacing w:lineRule="auto" w:line="360"/>
        <w:rPr/>
      </w:pPr>
      <w:r>
        <w:rPr/>
        <w:t>Oppgaven baserer seg på seks former for politisk maktdeling – i tråd med Cammett &amp; Malesky (2012); (i) Closed-list proporsjonal representasjon, (ii) utøvende koalisjon, (iii) spesialisert veto, (iv) proporsjonal utnevnelse, (v) open-list proporsjonal representasjon og (vi) lovgivende koalisjon. Denne oppgaven vil fokusere på closed-list PR av tre grunner: (i) Grunnet få observasjoner på de øvrige formene for politisk maktdeling vil closed-list PR kunne måles mest nøyaktig. En inklusjon av de andre formene vil skape problemer med frihetsgrader, og det vil derfor ikke være mulig å sammenligne closed-list PR med de øvrige underkategoriene. (ii) I tråd med Ottmann &amp; Vüllers (2014) bør undersøkelser av maktdeling skje gradvis, og man bør derfor ta for seg én tilnærming av gangen. Jeg undersøker allerede politisk maktdeling som helhet, samt closed-list PR. Dersom jeg omfatter et for stort felt, kan det føre til unøyaktigheter som skader undersøkelsen. Jeg anser det derfor som fornuftig å fokusere på færre aspekter, men mer detaljert. (iii) Som jeg vil vise nærmere i delkapittel 4.5., viser litteraturen at closed-list PR er den formen som har vært mest suksessfull med tanke på fredsbygging. Da det er gjort få undersøkelser på disse underkategoriene, tar jeg utgangspunkt i funnene som er gjort tidligere, og jobber ut ifra en antagelse om at closed-list PR vil være viktigst for å forklare økt politisk tillit hos politisk undertrykte grupper.</w:t>
      </w:r>
    </w:p>
    <w:p>
      <w:pPr>
        <w:pStyle w:val="Normal"/>
        <w:spacing w:lineRule="auto" w:line="360"/>
        <w:rPr/>
      </w:pPr>
      <w:commentRangeStart w:id="0"/>
      <w:r>
        <w:rPr/>
        <w:t>Institusjonsformen closed-list PR innebærer et valgsystem hvor velgerne kun kan stemme på politiske partier. Det vil si at kandidatene som er listet opp er bestemt av partiet, og velgerne har ingen mulighet til å favorisere enkeltpersoner. Dette til forskjell fra open-list PR, hvor velgerne har makten til å stemme på politikere innad i partier (Kunicova &amp; Rose-Ackerman, 200</w:t>
      </w:r>
      <w:r>
        <w:rPr>
          <w:color w:val="000000"/>
        </w:rPr>
        <w:t xml:space="preserve">1). </w:t>
      </w:r>
      <w:commentRangeEnd w:id="0"/>
      <w:r>
        <w:commentReference w:id="0"/>
      </w:r>
      <w:r>
        <w:rPr/>
      </w:r>
    </w:p>
    <w:p>
      <w:pPr>
        <w:pStyle w:val="Normal"/>
        <w:spacing w:lineRule="auto" w:line="360"/>
        <w:rPr>
          <w:color w:val="000000"/>
        </w:rPr>
      </w:pPr>
      <w:r>
        <w:rPr>
          <w:color w:val="000000"/>
        </w:rPr>
        <w:t>I neste kapittel vil jeg gi en kort historisk beskrivelse av hvordan det afrikanske kontinentet har blitt den mest etnisk fragmenterte verdensregionen, og illustrere eksempler på maktdeling som konfliktløsing i Afrika.</w:t>
      </w:r>
    </w:p>
    <w:p>
      <w:pPr>
        <w:pStyle w:val="Heading1"/>
        <w:spacing w:lineRule="auto" w:line="360"/>
        <w:rPr/>
      </w:pPr>
      <w:bookmarkStart w:id="19" w:name="_Toc72502718"/>
      <w:bookmarkStart w:id="20" w:name="_Toc71922997"/>
      <w:r>
        <w:rPr/>
        <w:t>Kapittel 3. Historie</w:t>
      </w:r>
      <w:bookmarkEnd w:id="19"/>
      <w:bookmarkEnd w:id="20"/>
    </w:p>
    <w:p>
      <w:pPr>
        <w:pStyle w:val="Heading2"/>
        <w:numPr>
          <w:ilvl w:val="1"/>
          <w:numId w:val="3"/>
        </w:numPr>
        <w:spacing w:lineRule="auto" w:line="360"/>
        <w:jc w:val="both"/>
        <w:rPr/>
      </w:pPr>
      <w:bookmarkStart w:id="21" w:name="_Toc71922998"/>
      <w:bookmarkStart w:id="22" w:name="_Toc72502719"/>
      <w:r>
        <w:rPr/>
        <w:t>Bakgrunn: Kolonisering</w:t>
      </w:r>
      <w:bookmarkEnd w:id="21"/>
      <w:bookmarkEnd w:id="22"/>
    </w:p>
    <w:p>
      <w:pPr>
        <w:pStyle w:val="Normal"/>
        <w:spacing w:lineRule="auto" w:line="360"/>
        <w:rPr>
          <w:rFonts w:cs="Times New Roman"/>
          <w:szCs w:val="24"/>
        </w:rPr>
      </w:pPr>
      <w:r>
        <w:rPr>
          <w:rFonts w:cs="Times New Roman"/>
          <w:szCs w:val="24"/>
        </w:rPr>
        <w:t>Koloniseringen av afrikanske land medførte at flere landsbyer ble samlet under én og samme administrasjon, og dermed ble flere ulike stammer samlet i samme land. De nye afrikanske landene omfattet da flere stammer som tidligere ikke hadde noe med hverandre å gjøre. For å kontrollere de ulike stammene, ble det utnevnt overordnede (høvdinger) fra kolonialmaktene. (Mandani, 1996, s. 41-42). Dette ble innført flere steder på det afrikanske kontinentet; blant annet hos Igbo-folket i det nåværende Nigeria (Ekeh, 1990), og i Karamoja-regionen i Uganda (Ocan, 1992). Britene adopterte blant annet denne formen for indirekte styring da de møtte mye motstand fra de rettmessige innbyggerne i Natal og øvrige deler av Sør-Afrika i 1846. Motstanden mot det direkte styringssettet var kostbart for britene, og de innførte derfor en halvautonom administrasjon som bestod av de afrikanske innbyggerne som ble kolonisert (Mandani, 1996). For å sikre seg mot opprørsk innflytelse unngikk koloniseringsmaktene å innsette utdannede afrikanere i den nye administrasjonen. Det var representanter for de tradisjonelle herskerne, eliten, som fikk de administrative setene, med et formål om å tjene til kolonimaktenes interesser (Walshe, 1972).</w:t>
      </w:r>
    </w:p>
    <w:p>
      <w:pPr>
        <w:pStyle w:val="Normal"/>
        <w:spacing w:lineRule="auto" w:line="360"/>
        <w:rPr/>
      </w:pPr>
      <w:r>
        <w:rPr>
          <w:shd w:fill="FFFFFF" w:val="clear"/>
        </w:rPr>
        <w:t>Da europeerne innførte formelle territorielle grenser over det afrikanske kontinentet i 1885, lå alt til rette for etnisk konflikt. Grensene ble satt uten hensyn til de faktiske fordelingene av etniske grupper, og da de afrikanske statene ble uavhengige, besto grensene stort sett intakt. Dette har ført til at de nye afrikanske statene sto igjen som de mest etnisk fragmenterte statene i verden (</w:t>
      </w:r>
      <w:r>
        <w:rPr>
          <w:color w:val="000000"/>
          <w:shd w:fill="FFFFFF" w:val="clear"/>
        </w:rPr>
        <w:t>Blanton, Mason &amp; Athow, 2001)</w:t>
      </w:r>
      <w:r>
        <w:rPr>
          <w:shd w:fill="FFFFFF" w:val="clear"/>
        </w:rPr>
        <w:t xml:space="preserve">. Det faktum at det afrikanske kontinentet i stor grad er etnisk fragmentert gjør Afrika til en spesiell case i maktdelings-litteraturen. Da tidligere studier har tatt utgangspunkt i land med færre etniske grupper, vil det sammensatte etnisitetsbildet i Afrika </w:t>
      </w:r>
      <w:r>
        <w:rPr>
          <w:color w:val="000000"/>
          <w:shd w:fill="FFFFFF" w:val="clear"/>
        </w:rPr>
        <w:t>føre til en mer kompleks sammensetning av misnøye og krav. Som jeg vil vise i delkapittel 5.1.2., er eksempelvis kravene til de politiske institusjonene annerledes på det afrikanske kontinentet enn andre verdensregioner.</w:t>
      </w:r>
    </w:p>
    <w:p>
      <w:pPr>
        <w:pStyle w:val="Normal"/>
        <w:spacing w:lineRule="auto" w:line="360"/>
        <w:rPr>
          <w:color w:val="000000"/>
          <w:shd w:fill="FFFFFF" w:val="clear"/>
        </w:rPr>
      </w:pPr>
      <w:r>
        <w:rPr>
          <w:color w:val="000000"/>
          <w:shd w:fill="FFFFFF" w:val="clear"/>
        </w:rPr>
      </w:r>
    </w:p>
    <w:p>
      <w:pPr>
        <w:pStyle w:val="Normal"/>
        <w:spacing w:lineRule="auto" w:line="360"/>
        <w:rPr>
          <w:color w:val="000000"/>
          <w:shd w:fill="FFFFFF" w:val="clear"/>
        </w:rPr>
      </w:pPr>
      <w:r>
        <w:rPr>
          <w:color w:val="000000"/>
          <w:shd w:fill="FFFFFF" w:val="clear"/>
        </w:rPr>
      </w:r>
    </w:p>
    <w:p>
      <w:pPr>
        <w:pStyle w:val="Normal"/>
        <w:spacing w:lineRule="auto" w:line="360"/>
        <w:rPr>
          <w:color w:val="000000"/>
          <w:shd w:fill="FFFFFF" w:val="clear"/>
        </w:rPr>
      </w:pPr>
      <w:r>
        <w:rPr>
          <w:color w:val="000000"/>
          <w:shd w:fill="FFFFFF" w:val="clear"/>
        </w:rPr>
      </w:r>
    </w:p>
    <w:p>
      <w:pPr>
        <w:pStyle w:val="Heading2"/>
        <w:numPr>
          <w:ilvl w:val="1"/>
          <w:numId w:val="3"/>
        </w:numPr>
        <w:spacing w:lineRule="auto" w:line="360"/>
        <w:jc w:val="both"/>
        <w:rPr>
          <w:shd w:fill="FFFFFF" w:val="clear"/>
        </w:rPr>
      </w:pPr>
      <w:bookmarkStart w:id="23" w:name="_Toc72502720"/>
      <w:bookmarkStart w:id="24" w:name="_Toc71922999"/>
      <w:r>
        <w:rPr>
          <w:shd w:fill="FFFFFF" w:val="clear"/>
        </w:rPr>
        <w:t>Maktdeling: Case-eksempler fra Afrika</w:t>
      </w:r>
      <w:bookmarkEnd w:id="23"/>
      <w:bookmarkEnd w:id="24"/>
    </w:p>
    <w:p>
      <w:pPr>
        <w:pStyle w:val="Normal"/>
        <w:spacing w:lineRule="auto" w:line="360"/>
        <w:rPr/>
      </w:pPr>
      <w:r>
        <w:rPr/>
        <w:t>Dette delkapittelet vil gi en historisk oversikt over tilfeller av maktdeling i afrikanske postkonflikt-land. Ved å gi eksempler på disse, vil jeg illustrere kompleksiteten og uenighetene som kan etterfølges av innføringen av maktdeling. Det første eksempelet er Sør-Afrika, hvor maktdeling ble brukt som et verktøy for å bringe ulike parter sammen etter Apartheid-tidens slutt. Målet var at partene skulle jobbe sammen mot en bedre fremtid, og ikke bryte opp freden (Lijphart, 2004). Sør-Afrikas første post-apartheid-grunnlov fra desember 1993</w:t>
      </w:r>
      <w:r>
        <w:rPr>
          <w:rStyle w:val="FootnoteAnchor"/>
        </w:rPr>
        <w:footnoteReference w:id="7"/>
      </w:r>
      <w:r>
        <w:rPr/>
        <w:t xml:space="preserve"> inkluderte en maktdelingsavtale hvor regjeringssjefen (presidenten) skulle bli valgt av nasjonalforsamlingens 400 medlemmer. Den øvrige maktdelte regjeringen skulle bestå av 27 ministerposter. Alle partier med mer enn 5% av setene skulle delta proporsjonalt, og partier med mer enn 20% av setene skulle velge visepresidenten. Som en følge av denne maktdelingen ble både de Klerks Nasjonalistparti og Zulu-leder Mangosuthu Buthelezis Inkatha Freedom Party inkludert i regjeringskabinettet (Fraenkel, 2009). African National Congress (ANC) hadde alltid majoritetsstyring som mål i forhandlingene med de Klerks regjering (Mandela, 1989). Minoritetsveto ble sett på som uakseptabelt, da dette ville hindre en overgang til et styringssett uten rasebaserte skillelinjer (Fraenkel, 2009).</w:t>
      </w:r>
    </w:p>
    <w:p>
      <w:pPr>
        <w:pStyle w:val="Normal"/>
        <w:spacing w:lineRule="auto" w:line="360"/>
        <w:rPr/>
      </w:pPr>
      <w:r>
        <w:rPr/>
        <w:t>I 2008 var Sør-Afrika involvert i en ny maktdelingsavtale – da som megler i Zimbabwe. Movement for Democratic Change (MDC) ble ‘fratatt’ valgseieren til fordel for Zimbabwe African National Union-Patriotic Front (ZANU-PF). Senere samme år presset Sør-Afrika fram en maktdelingsavtale mellom MDC og ZANU-PF. Sistnevntes leder, Robert Mugabe, forble president, mens Morgan Tsvangirai (MDC) ble visepresident. De 31 ministerpostene ble fordelt 16-15 mellom MDC og ZANU-PF, men MDC klarte ikke å omforme Zimbabwes policy, og deres reformagenda ble aldri noe av (Fraenkel, 2009). Året etter var den nye visepresidenten Arthur Mutambara (MDC) blant de som uttalte motstand mot avtalen, og snakket ut om farene ved maktdeling</w:t>
      </w:r>
      <w:r>
        <w:rPr>
          <w:rStyle w:val="FootnoteAnchor"/>
        </w:rPr>
        <w:footnoteReference w:id="8"/>
      </w:r>
      <w:r>
        <w:rPr/>
        <w:t xml:space="preserve"> (Mehler, 2009). </w:t>
      </w:r>
      <w:r>
        <w:rPr>
          <w:color w:val="000000"/>
        </w:rPr>
        <w:t>Hoodie &amp; Hartzell (2003) tar for seg tilstedeværelsen av en tredjepart i en fredsforhandling. De fremhever faren for at samarbeidsvilligheten som er til stede under forhandlingene, kan forsvinne så fort tredjeparten er ute av bildet. Dersom det er tilfelle, vil en langsiktig implementering og fredsstyrking være mindre suksessfull. På en annen side kan involvering av eksterne aktører være verdifullt for landets utvikling – eksempelvis i Angola hvor FN var involvert i flere fredsavtaler på 1990-tallet</w:t>
      </w:r>
      <w:r>
        <w:rPr>
          <w:rStyle w:val="FootnoteAnchor"/>
          <w:color w:val="000000"/>
        </w:rPr>
        <w:footnoteReference w:id="9"/>
      </w:r>
      <w:r>
        <w:rPr>
          <w:color w:val="000000"/>
        </w:rPr>
        <w:t>, som til slutt endte i en suksessfull fredsavtale i 2002 (Anstee, 1993; Meijer, 2004).</w:t>
      </w:r>
    </w:p>
    <w:p>
      <w:pPr>
        <w:pStyle w:val="Normal"/>
        <w:spacing w:lineRule="auto" w:line="360"/>
        <w:rPr/>
      </w:pPr>
      <w:r>
        <w:rPr/>
        <w:t>Et eksempel fra Elfenbenkysten viser, ifølge (Mehler, 2009), at selv om maktdelingsavtalen er mer inkluderende, betyr ikke det nødvendigvis mer effektiv. Ouagadougou-avtalen fra 2007 var mer suksessfull i form av fred enn Linas-Marcoussis-avtalen fra 2003, til tross for at den førstnevnte var mindre inkluderende. Mehler argumenterer videre for at lederne av den opprørske gruppen ofte kan godta en fredsavtale, mens avtalen kan skape splittelser lenger ned i gruppen, og dermed skape grobunn for ny konflikt og potensielt utløse en ny runde med forhandlinger</w:t>
      </w:r>
      <w:r>
        <w:rPr>
          <w:rStyle w:val="FootnoteAnchor"/>
        </w:rPr>
        <w:footnoteReference w:id="10"/>
      </w:r>
      <w:r>
        <w:rPr/>
        <w:t>. Mehler trekker frem Tsjad og Den sentralafrikanske republikk som eksempler på land hvor konflikt har fortsatt selv etter signering av flere fredsavtaler.</w:t>
      </w:r>
    </w:p>
    <w:p>
      <w:pPr>
        <w:pStyle w:val="Normal"/>
        <w:spacing w:lineRule="auto" w:line="360"/>
        <w:rPr/>
      </w:pPr>
      <w:r>
        <w:rPr/>
        <w:t>I neste delkapittel vil jeg presentere tidligere forskning som er gjort på maktdeling og konflikt i lys av individer, men også som tar for seg effekter på landnivå.</w:t>
      </w:r>
    </w:p>
    <w:p>
      <w:pPr>
        <w:pStyle w:val="Normal"/>
        <w:jc w:val="left"/>
        <w:rPr/>
      </w:pPr>
      <w:r>
        <w:rPr/>
      </w:r>
      <w:r>
        <w:br w:type="page"/>
      </w:r>
    </w:p>
    <w:p>
      <w:pPr>
        <w:pStyle w:val="Heading1"/>
        <w:spacing w:lineRule="auto" w:line="360"/>
        <w:rPr/>
      </w:pPr>
      <w:bookmarkStart w:id="25" w:name="_Toc71923006"/>
      <w:bookmarkStart w:id="26" w:name="_Toc72502721"/>
      <w:r>
        <w:rPr/>
        <w:t>Kapittel 4. Tidligere forskning</w:t>
      </w:r>
      <w:bookmarkEnd w:id="25"/>
      <w:bookmarkEnd w:id="26"/>
    </w:p>
    <w:p>
      <w:pPr>
        <w:pStyle w:val="Heading2"/>
        <w:spacing w:lineRule="auto" w:line="360"/>
        <w:rPr/>
      </w:pPr>
      <w:bookmarkStart w:id="27" w:name="_Toc71923007"/>
      <w:bookmarkStart w:id="28" w:name="_Toc72502722"/>
      <w:r>
        <w:rPr/>
        <w:t>4.1. Maktdeling og politisk tillit</w:t>
      </w:r>
      <w:bookmarkEnd w:id="27"/>
      <w:bookmarkEnd w:id="28"/>
    </w:p>
    <w:p>
      <w:pPr>
        <w:pStyle w:val="Normal"/>
        <w:spacing w:lineRule="auto" w:line="360"/>
        <w:rPr/>
      </w:pPr>
      <w:r>
        <w:rPr/>
        <w:t xml:space="preserve">Som nevnt er den eksisterende litteraturen på maktdelingsfeltet i all hovedsak begrenset til å omfatte enkeltcaser. Dyrstad &amp; Binningsbø (2012) undersøkte politisk tillit i Bosnia-Hercegovina, og fant at støtten til de politiske institusjonene var sterk etter innføringen av maktdeling, men at tilliten falt da institusjonene ikke viste seg effektiv. Dyrstad et al. (2021) </w:t>
      </w:r>
      <w:r>
        <w:rPr>
          <w:color w:val="000000"/>
        </w:rPr>
        <w:t xml:space="preserve">er så vidt jeg vet den eneste </w:t>
      </w:r>
      <w:r>
        <w:rPr/>
        <w:t xml:space="preserve">studien som sammenligner politisk tillit på tvers av flere post-konfliktland i en maktdelingskontekst. Funnene fra Guatemala, Nepal og Nord-Irland viser at </w:t>
      </w:r>
      <w:r>
        <w:rPr>
          <w:rFonts w:cs="Times New Roman"/>
          <w:color w:val="000000"/>
          <w:szCs w:val="24"/>
        </w:rPr>
        <w:t xml:space="preserve">individers anerkjennelse av fredsavtalen og oppfatning av at den er implementert er assosiert med høyere nivå av politisk tillit. Den samme studien finner videre at borgerne vil holde den politiske eliten ansvarlig for løftene om statens fremtid flere år etter den kritiske perioden. Hoffmann (2002) finner at politisk tillit er positivt assosiert med fredelig konfliktløsning, og mer generelt viser forskning at personlig eksponering til krigføring kan signifikant påvirke individers politiske holdninger (Dyrstad, 2012), samtidig som det påvirker individers evne til forsoning og til å tilgi etter en konflikt (Bakke, O’Loughlin &amp; Ward, 2009). Andre studier som ser på forholdet mellom eksponering for vold og tillit til politiske institusjoner finner også at tilfredshet med regjeringens prestasjon er en sterk indikator for politisk tillit (Askvik, Jamil &amp; Dhakal, 2011; Hutchinson &amp; Johnson, 2011; Sacks &amp; Larizza, 2012; Stoyan, Niedzwiecki, Morgan, Hartlyn &amp; Espinal, 2016). </w:t>
      </w:r>
    </w:p>
    <w:p>
      <w:pPr>
        <w:pStyle w:val="Normal"/>
        <w:spacing w:lineRule="auto" w:line="360"/>
        <w:rPr>
          <w:rFonts w:cs="Times New Roman"/>
          <w:color w:val="4472C4"/>
          <w:szCs w:val="24"/>
          <w:shd w:fill="FFFFFF" w:val="clear"/>
        </w:rPr>
      </w:pPr>
      <w:r>
        <w:rPr>
          <w:rFonts w:cs="Times New Roman"/>
          <w:color w:val="4472C4"/>
          <w:szCs w:val="24"/>
          <w:shd w:fill="FFFFFF" w:val="clear"/>
        </w:rPr>
      </w:r>
    </w:p>
    <w:p>
      <w:pPr>
        <w:pStyle w:val="Heading2"/>
        <w:spacing w:lineRule="auto" w:line="360"/>
        <w:rPr>
          <w:shd w:fill="FFFFFF" w:val="clear"/>
        </w:rPr>
      </w:pPr>
      <w:bookmarkStart w:id="29" w:name="_Toc72502723"/>
      <w:bookmarkStart w:id="30" w:name="_Toc71923008"/>
      <w:r>
        <w:rPr>
          <w:shd w:fill="FFFFFF" w:val="clear"/>
        </w:rPr>
        <w:t>4.2. Maktdeling og etniske grupper</w:t>
      </w:r>
      <w:bookmarkEnd w:id="29"/>
      <w:bookmarkEnd w:id="30"/>
    </w:p>
    <w:p>
      <w:pPr>
        <w:pStyle w:val="Normal"/>
        <w:spacing w:lineRule="auto" w:line="360"/>
        <w:rPr>
          <w:color w:val="FF0000"/>
        </w:rPr>
      </w:pPr>
      <w:r>
        <w:rPr>
          <w:color w:val="FF0000"/>
        </w:rPr>
        <w:t>Under utvikling</w:t>
      </w:r>
    </w:p>
    <w:p>
      <w:pPr>
        <w:pStyle w:val="Normal"/>
        <w:spacing w:lineRule="auto" w:line="360"/>
        <w:rPr/>
      </w:pPr>
      <w:r>
        <w:rPr/>
      </w:r>
    </w:p>
    <w:p>
      <w:pPr>
        <w:pStyle w:val="Heading2"/>
        <w:spacing w:lineRule="auto" w:line="360"/>
        <w:rPr/>
      </w:pPr>
      <w:bookmarkStart w:id="31" w:name="_Toc72502724"/>
      <w:bookmarkStart w:id="32" w:name="_Toc71923009"/>
      <w:r>
        <w:rPr/>
        <w:t>4.3. Kvinners rettigheter i kjølvannet av konflikt</w:t>
      </w:r>
      <w:bookmarkEnd w:id="31"/>
      <w:bookmarkEnd w:id="32"/>
    </w:p>
    <w:p>
      <w:pPr>
        <w:pStyle w:val="Normal"/>
        <w:spacing w:lineRule="auto" w:line="360"/>
        <w:rPr/>
      </w:pPr>
      <w:r>
        <w:rPr>
          <w:rFonts w:cs="Times New Roman"/>
          <w:color w:val="000000"/>
          <w:szCs w:val="24"/>
          <w:shd w:fill="FFFFFF" w:val="clear"/>
        </w:rPr>
        <w:t xml:space="preserve">En nyere studie av kvinners politiske rettigheter i kjølvannet av konflikt (Joshi &amp; Olsson, 2021) omfatter 205 borgerkrigstermineringer i 69 land siden 1989. Den viser at en konflikt avsluttet ved forhandling og en implementering av en fredsavtale signifikant forbedret kvinners politiske rettigheter i postkonflikt-perioden, sammenlignet med andre former for konfliktavslutning. </w:t>
      </w:r>
      <w:r>
        <w:rPr>
          <w:shd w:fill="FFFFFF" w:val="clear"/>
        </w:rPr>
        <w:t>En studie fra Nord-Irland viser en signifikant kjønnsdeling i spørsmålet om støtte til de politiske institusjonene 12 år etter fredsavtalen (Hayes &amp; McAllister, 2012).</w:t>
      </w:r>
    </w:p>
    <w:p>
      <w:pPr>
        <w:pStyle w:val="Normal"/>
        <w:spacing w:lineRule="auto" w:line="360"/>
        <w:rPr/>
      </w:pPr>
      <w:r>
        <w:rPr>
          <w:rFonts w:cs="Times New Roman"/>
          <w:color w:val="000000"/>
          <w:szCs w:val="24"/>
          <w:shd w:fill="FFFFFF" w:val="clear"/>
        </w:rPr>
        <w:t>Utover på 2010-tallet viser litteraturen en større enighet om at væpnet konflikt, og terminering av dette, resulterer i en styrket mobilisering av kvinner som legger grunnlaget for bedring av kvinners politiske rettigheter i postkonflikt-samfunn (Anderson &amp; Swiss, 2014; Berry, 2015; Tripp, 2015; Gizelis, 2018; Aoláin, Cahn, Haynes &amp; Valji, 2018; Webster, Chen &amp; Beardsley, 2019; Joshi &amp; Olsson, 2021).</w:t>
      </w:r>
      <w:r>
        <w:rPr>
          <w:color w:val="FF0000"/>
        </w:rPr>
        <w:t xml:space="preserve"> </w:t>
      </w:r>
      <w:r>
        <w:rPr>
          <w:color w:val="000000"/>
        </w:rPr>
        <w:t xml:space="preserve">En komparativ studie av afrikanske land viser til viktigheten av kvinners involvering i fredsprosessen, og hvordan dette bedret kvinners rettigheter i Liberia og Uganda (Tripp, 2015), mens funn fra Angola viste det motsatte (Tripp, 2016). </w:t>
      </w:r>
      <w:r>
        <w:rPr/>
        <w:t xml:space="preserve">Empiri fra andre verdenskrig viser at land som ble invadert hadde en sterkere likestillingsutvikling enn land som ikke ble </w:t>
      </w:r>
      <w:r>
        <w:rPr>
          <w:color w:val="000000"/>
        </w:rPr>
        <w:t>invadert (Melander &amp; Kotajoki, 2019), mens funn fra Bosnia-Hercegovina viser at kvinner hadde mindre sannsynlighet for å bli valgt inn til politiske institusjoner i de mest konfliktutsatte områdene (Hadzic &amp; Tavits, 2020). I tiden etter år 2000 har global oppmerksomhet i større grad blitt rettet mot kvinners politiske rettigheter i postkonflikt-samfunn (Tripp, 2015). Eksempelvis har krigende parter som er involvert i fredsforhandlinger begynt å møte krav fra lokale kvinners organisasjoner og internasjonale aktører om å inkludere kvinners interesser i fredsavtalene (Anderson, 2010; Bell &amp; O’Rourke, 2010).</w:t>
      </w:r>
    </w:p>
    <w:p>
      <w:pPr>
        <w:pStyle w:val="Normal"/>
        <w:spacing w:lineRule="auto" w:line="360"/>
        <w:rPr>
          <w:color w:val="000000"/>
        </w:rPr>
      </w:pPr>
      <w:r>
        <w:rPr>
          <w:color w:val="000000"/>
        </w:rPr>
      </w:r>
    </w:p>
    <w:p>
      <w:pPr>
        <w:pStyle w:val="Heading2"/>
        <w:spacing w:lineRule="auto" w:line="360"/>
        <w:rPr/>
      </w:pPr>
      <w:bookmarkStart w:id="33" w:name="_Toc72502725"/>
      <w:bookmarkStart w:id="34" w:name="_Toc71923010"/>
      <w:r>
        <w:rPr/>
        <w:t>4.4.  Maktdeling og konsekvenser på landnivå</w:t>
      </w:r>
      <w:bookmarkEnd w:id="33"/>
      <w:bookmarkEnd w:id="34"/>
    </w:p>
    <w:p>
      <w:pPr>
        <w:pStyle w:val="Normal"/>
        <w:spacing w:lineRule="auto" w:line="360"/>
        <w:rPr/>
      </w:pPr>
      <w:r>
        <w:rPr/>
        <w:t>Selv om denne oppgaven fokuserer på effekten av maktdeling på individer, anses det som relevant å gi en oversikt over hvordan maktdeling har påvirket staters utvikling. Kun ved å sette individers holdninger i lys av komposisjonelle følger kan vi få det fulle bildet av hvorvidt maktdeling er en bærekraftig løsning på konflikt. Tidligere forskning viser at det er mindre sannsynlig at borgerkrig gjenoppstår i postkonflikt-land med maktdeling enn i postkonflikt-land uten maktdeling (Hartzell &amp; Hoodie, 2007; Mattes &amp; Savun, 2009; Mukherjee, 2006b). Det betyr ikke at land med maktdeling utvikler demokratiske institusjoner, som er FNs mål. Av de 19 postkonflikt-landene FN har vært involvert i etter den kalde krigen kan fem ses på som suksessfulle i å etablere demokratiske politiske institusjoner (Jung, 2012).</w:t>
      </w:r>
      <w:r>
        <w:rPr>
          <w:rStyle w:val="FootnoteAnchor"/>
        </w:rPr>
        <w:footnoteReference w:id="11"/>
      </w:r>
    </w:p>
    <w:p>
      <w:pPr>
        <w:pStyle w:val="Normal"/>
        <w:spacing w:lineRule="auto" w:line="360"/>
        <w:rPr/>
      </w:pPr>
      <w:r>
        <w:rPr/>
      </w:r>
    </w:p>
    <w:p>
      <w:pPr>
        <w:pStyle w:val="Normal"/>
        <w:spacing w:lineRule="auto" w:line="360"/>
        <w:rPr/>
      </w:pPr>
      <w:r>
        <w:rPr/>
      </w:r>
    </w:p>
    <w:p>
      <w:pPr>
        <w:pStyle w:val="Heading2"/>
        <w:spacing w:lineRule="auto" w:line="360"/>
        <w:jc w:val="both"/>
        <w:rPr/>
      </w:pPr>
      <w:bookmarkStart w:id="35" w:name="_Toc72502726"/>
      <w:bookmarkStart w:id="36" w:name="_Toc71923011"/>
      <w:r>
        <w:rPr/>
        <w:t>4.5. Institusjonsbygging</w:t>
      </w:r>
      <w:bookmarkEnd w:id="35"/>
      <w:bookmarkEnd w:id="36"/>
    </w:p>
    <w:p>
      <w:pPr>
        <w:pStyle w:val="Normal"/>
        <w:spacing w:lineRule="auto" w:line="360"/>
        <w:rPr/>
      </w:pPr>
      <w:r>
        <w:rPr>
          <w:color w:val="000000"/>
        </w:rPr>
        <w:t xml:space="preserve">Cammet &amp; Malesky (2012) fant at closed-list PR øker sannsynligheten for stabilitet i et postkonflikt-samfunn. </w:t>
      </w:r>
      <w:commentRangeStart w:id="1"/>
      <w:r>
        <w:rPr>
          <w:color w:val="000000"/>
        </w:rPr>
        <w:t>Studier viser også at closed-list PR bedrer regjeringseffektiviteten (Lijphart, 1990) og reduserer incentiver for patronasje-basert kampanjeføring (Carey &amp; Shugart, 1995). Andre studier viser i tillegg at open-list PR kan føre til patronasje-basert kampanjeføring og korrupsjon (Se f.eks. Ames, 1995; Cox &amp; Thies, 1998; Geddes &amp; Neto, 1992; Chang, 2005).</w:t>
      </w:r>
      <w:commentRangeEnd w:id="1"/>
      <w:r>
        <w:commentReference w:id="1"/>
      </w:r>
      <w:r>
        <w:rPr/>
      </w:r>
    </w:p>
    <w:p>
      <w:pPr>
        <w:pStyle w:val="Normal"/>
        <w:spacing w:lineRule="auto" w:line="360"/>
        <w:rPr>
          <w:color w:val="000000"/>
        </w:rPr>
      </w:pPr>
      <w:r>
        <w:rPr>
          <w:color w:val="000000"/>
        </w:rPr>
        <w:t>Når det kommer til de øvrige formene for politisk maktdeling, finner vi kun empiri hos Cammet &amp; Malesky (2012) som introduserte sub-kategoriene. De tok for seg 53 caser av maktdeling, hvor 43 var politisk maktdeling, og presenterte tall på hvor mange som feilet, og hvor lenge de varte (tabell 1). Som tabellen viser er closed-list PR den varianten som er mest suksessfull.</w:t>
      </w:r>
    </w:p>
    <w:p>
      <w:pPr>
        <w:pStyle w:val="Normal"/>
        <w:spacing w:lineRule="auto" w:line="360"/>
        <w:rPr>
          <w:i/>
          <w:i/>
          <w:iCs/>
          <w:color w:val="000000"/>
        </w:rPr>
      </w:pPr>
      <w:r>
        <w:rPr>
          <w:i/>
          <w:iCs/>
          <w:color w:val="000000"/>
        </w:rPr>
        <w:t>Tabell 1: Frekvens av maktdelingstyper i 43 tilfeller (Cammett &amp; Malesky, 2012)</w:t>
      </w:r>
    </w:p>
    <w:tbl>
      <w:tblPr>
        <w:tblW w:w="8499" w:type="dxa"/>
        <w:jc w:val="left"/>
        <w:tblInd w:w="0" w:type="dxa"/>
        <w:tblLayout w:type="fixed"/>
        <w:tblCellMar>
          <w:top w:w="0" w:type="dxa"/>
          <w:left w:w="108" w:type="dxa"/>
          <w:bottom w:w="0" w:type="dxa"/>
          <w:right w:w="108" w:type="dxa"/>
        </w:tblCellMar>
      </w:tblPr>
      <w:tblGrid>
        <w:gridCol w:w="3255"/>
        <w:gridCol w:w="1417"/>
        <w:gridCol w:w="1943"/>
        <w:gridCol w:w="1884"/>
      </w:tblGrid>
      <w:tr>
        <w:trPr>
          <w:trHeight w:val="745" w:hRule="atLeast"/>
        </w:trPr>
        <w:tc>
          <w:tcPr>
            <w:tcW w:w="3255" w:type="dxa"/>
            <w:tcBorders>
              <w:top w:val="single" w:sz="4" w:space="0" w:color="000000"/>
              <w:left w:val="single" w:sz="4" w:space="0" w:color="000000"/>
              <w:bottom w:val="single" w:sz="4" w:space="0" w:color="000000"/>
              <w:right w:val="single" w:sz="4" w:space="0" w:color="000000"/>
            </w:tcBorders>
            <w:shd w:fill="E7E6E6" w:val="clear"/>
          </w:tcPr>
          <w:p>
            <w:pPr>
              <w:pStyle w:val="Normal"/>
              <w:widowControl/>
              <w:spacing w:lineRule="auto" w:line="360" w:before="0" w:after="0"/>
              <w:rPr>
                <w:rFonts w:eastAsia="Calibri"/>
                <w:b/>
                <w:b/>
                <w:bCs/>
                <w:color w:val="000000"/>
                <w:kern w:val="0"/>
                <w:szCs w:val="22"/>
                <w:lang w:val="nb-NO" w:eastAsia="en-US" w:bidi="ar-SA"/>
              </w:rPr>
            </w:pPr>
            <w:r>
              <w:rPr>
                <w:rFonts w:eastAsia="Calibri"/>
                <w:b/>
                <w:bCs/>
                <w:color w:val="000000"/>
                <w:kern w:val="0"/>
                <w:szCs w:val="22"/>
                <w:lang w:val="nb-NO" w:eastAsia="en-US" w:bidi="ar-SA"/>
              </w:rPr>
              <w:t>Type maktdeling</w:t>
            </w:r>
          </w:p>
        </w:tc>
        <w:tc>
          <w:tcPr>
            <w:tcW w:w="1417" w:type="dxa"/>
            <w:tcBorders>
              <w:top w:val="single" w:sz="4" w:space="0" w:color="000000"/>
              <w:left w:val="single" w:sz="4" w:space="0" w:color="000000"/>
              <w:bottom w:val="single" w:sz="4" w:space="0" w:color="000000"/>
              <w:right w:val="single" w:sz="4" w:space="0" w:color="000000"/>
            </w:tcBorders>
            <w:shd w:fill="E7E6E6" w:val="clear"/>
          </w:tcPr>
          <w:p>
            <w:pPr>
              <w:pStyle w:val="Normal"/>
              <w:widowControl/>
              <w:spacing w:lineRule="auto" w:line="360" w:before="0" w:after="0"/>
              <w:rPr>
                <w:rFonts w:eastAsia="Calibri"/>
                <w:b/>
                <w:b/>
                <w:bCs/>
                <w:color w:val="000000"/>
                <w:kern w:val="0"/>
                <w:szCs w:val="22"/>
                <w:lang w:val="nb-NO" w:eastAsia="en-US" w:bidi="ar-SA"/>
              </w:rPr>
            </w:pPr>
            <w:r>
              <w:rPr>
                <w:rFonts w:eastAsia="Calibri"/>
                <w:b/>
                <w:bCs/>
                <w:color w:val="000000"/>
                <w:kern w:val="0"/>
                <w:szCs w:val="22"/>
                <w:lang w:val="nb-NO" w:eastAsia="en-US" w:bidi="ar-SA"/>
              </w:rPr>
              <w:t>Total bruk</w:t>
            </w:r>
          </w:p>
        </w:tc>
        <w:tc>
          <w:tcPr>
            <w:tcW w:w="1943" w:type="dxa"/>
            <w:tcBorders>
              <w:top w:val="single" w:sz="4" w:space="0" w:color="000000"/>
              <w:left w:val="single" w:sz="4" w:space="0" w:color="000000"/>
              <w:bottom w:val="single" w:sz="4" w:space="0" w:color="000000"/>
              <w:right w:val="single" w:sz="4" w:space="0" w:color="000000"/>
            </w:tcBorders>
            <w:shd w:fill="E7E6E6" w:val="clear"/>
          </w:tcPr>
          <w:p>
            <w:pPr>
              <w:pStyle w:val="Normal"/>
              <w:widowControl/>
              <w:spacing w:lineRule="auto" w:line="360" w:before="0" w:after="0"/>
              <w:rPr>
                <w:rFonts w:eastAsia="Calibri"/>
                <w:b/>
                <w:b/>
                <w:bCs/>
                <w:color w:val="000000"/>
                <w:kern w:val="0"/>
                <w:szCs w:val="22"/>
                <w:lang w:val="nb-NO" w:eastAsia="en-US" w:bidi="ar-SA"/>
              </w:rPr>
            </w:pPr>
            <w:r>
              <w:rPr>
                <w:rFonts w:eastAsia="Calibri"/>
                <w:b/>
                <w:bCs/>
                <w:color w:val="000000"/>
                <w:kern w:val="0"/>
                <w:szCs w:val="22"/>
                <w:lang w:val="nb-NO" w:eastAsia="en-US" w:bidi="ar-SA"/>
              </w:rPr>
              <w:t>Proporsjon feilet (prosent)</w:t>
            </w:r>
          </w:p>
        </w:tc>
        <w:tc>
          <w:tcPr>
            <w:tcW w:w="1884" w:type="dxa"/>
            <w:tcBorders>
              <w:top w:val="single" w:sz="4" w:space="0" w:color="000000"/>
              <w:left w:val="single" w:sz="4" w:space="0" w:color="000000"/>
              <w:bottom w:val="single" w:sz="4" w:space="0" w:color="000000"/>
              <w:right w:val="single" w:sz="4" w:space="0" w:color="000000"/>
            </w:tcBorders>
            <w:shd w:fill="E7E6E6" w:val="clear"/>
          </w:tcPr>
          <w:p>
            <w:pPr>
              <w:pStyle w:val="Normal"/>
              <w:widowControl/>
              <w:spacing w:lineRule="auto" w:line="360" w:before="0" w:after="0"/>
              <w:rPr>
                <w:rFonts w:eastAsia="Calibri"/>
                <w:b/>
                <w:b/>
                <w:bCs/>
                <w:color w:val="000000"/>
                <w:kern w:val="0"/>
                <w:szCs w:val="22"/>
                <w:lang w:val="nb-NO" w:eastAsia="en-US" w:bidi="ar-SA"/>
              </w:rPr>
            </w:pPr>
            <w:r>
              <w:rPr>
                <w:rFonts w:eastAsia="Calibri"/>
                <w:b/>
                <w:bCs/>
                <w:color w:val="000000"/>
                <w:kern w:val="0"/>
                <w:szCs w:val="22"/>
                <w:lang w:val="nb-NO" w:eastAsia="en-US" w:bidi="ar-SA"/>
              </w:rPr>
              <w:t>Gjennomsnittlig varighet (mnd)</w:t>
            </w:r>
          </w:p>
        </w:tc>
      </w:tr>
      <w:tr>
        <w:trPr/>
        <w:tc>
          <w:tcPr>
            <w:tcW w:w="325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b/>
                <w:b/>
                <w:bCs/>
                <w:color w:val="000000"/>
                <w:kern w:val="0"/>
                <w:szCs w:val="22"/>
                <w:lang w:val="nb-NO" w:eastAsia="en-US" w:bidi="ar-SA"/>
              </w:rPr>
            </w:pPr>
            <w:r>
              <w:rPr>
                <w:rFonts w:eastAsia="Calibri"/>
                <w:b/>
                <w:bCs/>
                <w:color w:val="000000"/>
                <w:kern w:val="0"/>
                <w:szCs w:val="22"/>
                <w:lang w:val="nb-NO" w:eastAsia="en-US" w:bidi="ar-SA"/>
              </w:rPr>
              <w:t>Politisk maktdeling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b/>
                <w:b/>
                <w:bCs/>
                <w:color w:val="000000"/>
                <w:kern w:val="0"/>
                <w:szCs w:val="22"/>
                <w:lang w:val="nb-NO" w:eastAsia="en-US" w:bidi="ar-SA"/>
              </w:rPr>
            </w:pPr>
            <w:r>
              <w:rPr>
                <w:rFonts w:eastAsia="Calibri"/>
                <w:b/>
                <w:bCs/>
                <w:color w:val="000000"/>
                <w:kern w:val="0"/>
                <w:szCs w:val="22"/>
                <w:lang w:val="nb-NO" w:eastAsia="en-US" w:bidi="ar-SA"/>
              </w:rPr>
              <w:t>43</w:t>
            </w:r>
          </w:p>
        </w:tc>
        <w:tc>
          <w:tcPr>
            <w:tcW w:w="194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b/>
                <w:b/>
                <w:bCs/>
                <w:color w:val="000000"/>
                <w:kern w:val="0"/>
                <w:szCs w:val="22"/>
                <w:lang w:val="nb-NO" w:eastAsia="en-US" w:bidi="ar-SA"/>
              </w:rPr>
            </w:pPr>
            <w:r>
              <w:rPr>
                <w:rFonts w:eastAsia="Calibri"/>
                <w:b/>
                <w:bCs/>
                <w:color w:val="000000"/>
                <w:kern w:val="0"/>
                <w:szCs w:val="22"/>
                <w:lang w:val="nb-NO" w:eastAsia="en-US" w:bidi="ar-SA"/>
              </w:rPr>
              <w:t>46.5</w:t>
            </w:r>
          </w:p>
        </w:tc>
        <w:tc>
          <w:tcPr>
            <w:tcW w:w="188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b/>
                <w:b/>
                <w:bCs/>
                <w:color w:val="000000"/>
                <w:kern w:val="0"/>
                <w:szCs w:val="22"/>
                <w:lang w:val="nb-NO" w:eastAsia="en-US" w:bidi="ar-SA"/>
              </w:rPr>
            </w:pPr>
            <w:r>
              <w:rPr>
                <w:rFonts w:eastAsia="Calibri"/>
                <w:b/>
                <w:bCs/>
                <w:color w:val="000000"/>
                <w:kern w:val="0"/>
                <w:szCs w:val="22"/>
                <w:lang w:val="nb-NO" w:eastAsia="en-US" w:bidi="ar-SA"/>
              </w:rPr>
              <w:t>144</w:t>
            </w:r>
          </w:p>
        </w:tc>
      </w:tr>
      <w:tr>
        <w:trPr/>
        <w:tc>
          <w:tcPr>
            <w:tcW w:w="325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olor w:val="000000"/>
                <w:kern w:val="0"/>
                <w:szCs w:val="22"/>
                <w:lang w:val="nb-NO" w:eastAsia="en-US" w:bidi="ar-SA"/>
              </w:rPr>
            </w:pPr>
            <w:r>
              <w:rPr>
                <w:rFonts w:eastAsia="Calibri"/>
                <w:color w:val="000000"/>
                <w:kern w:val="0"/>
                <w:szCs w:val="22"/>
                <w:lang w:val="nb-NO" w:eastAsia="en-US" w:bidi="ar-SA"/>
              </w:rPr>
              <w:t>Closed-list PR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olor w:val="000000"/>
                <w:kern w:val="0"/>
                <w:szCs w:val="22"/>
                <w:lang w:val="nb-NO" w:eastAsia="en-US" w:bidi="ar-SA"/>
              </w:rPr>
            </w:pPr>
            <w:r>
              <w:rPr>
                <w:rFonts w:eastAsia="Calibri"/>
                <w:color w:val="000000"/>
                <w:kern w:val="0"/>
                <w:szCs w:val="22"/>
                <w:lang w:val="nb-NO" w:eastAsia="en-US" w:bidi="ar-SA"/>
              </w:rPr>
              <w:t>25</w:t>
            </w:r>
          </w:p>
        </w:tc>
        <w:tc>
          <w:tcPr>
            <w:tcW w:w="194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olor w:val="000000"/>
                <w:kern w:val="0"/>
                <w:szCs w:val="22"/>
                <w:lang w:val="nb-NO" w:eastAsia="en-US" w:bidi="ar-SA"/>
              </w:rPr>
            </w:pPr>
            <w:r>
              <w:rPr>
                <w:rFonts w:eastAsia="Calibri"/>
                <w:color w:val="000000"/>
                <w:kern w:val="0"/>
                <w:szCs w:val="22"/>
                <w:lang w:val="nb-NO" w:eastAsia="en-US" w:bidi="ar-SA"/>
              </w:rPr>
              <w:t>28.0</w:t>
            </w:r>
          </w:p>
        </w:tc>
        <w:tc>
          <w:tcPr>
            <w:tcW w:w="188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olor w:val="000000"/>
                <w:kern w:val="0"/>
                <w:szCs w:val="22"/>
                <w:lang w:val="nb-NO" w:eastAsia="en-US" w:bidi="ar-SA"/>
              </w:rPr>
            </w:pPr>
            <w:r>
              <w:rPr>
                <w:rFonts w:eastAsia="Calibri"/>
                <w:color w:val="000000"/>
                <w:kern w:val="0"/>
                <w:szCs w:val="22"/>
                <w:lang w:val="nb-NO" w:eastAsia="en-US" w:bidi="ar-SA"/>
              </w:rPr>
              <w:t>208</w:t>
            </w:r>
          </w:p>
        </w:tc>
      </w:tr>
      <w:tr>
        <w:trPr/>
        <w:tc>
          <w:tcPr>
            <w:tcW w:w="325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olor w:val="000000"/>
                <w:kern w:val="0"/>
                <w:szCs w:val="22"/>
                <w:lang w:val="nb-NO" w:eastAsia="en-US" w:bidi="ar-SA"/>
              </w:rPr>
            </w:pPr>
            <w:r>
              <w:rPr>
                <w:rFonts w:eastAsia="Calibri"/>
                <w:color w:val="000000"/>
                <w:kern w:val="0"/>
                <w:szCs w:val="22"/>
                <w:lang w:val="nb-NO" w:eastAsia="en-US" w:bidi="ar-SA"/>
              </w:rPr>
              <w:t>Utøvende koalisjon</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olor w:val="000000"/>
                <w:kern w:val="0"/>
                <w:szCs w:val="22"/>
                <w:lang w:val="nb-NO" w:eastAsia="en-US" w:bidi="ar-SA"/>
              </w:rPr>
            </w:pPr>
            <w:r>
              <w:rPr>
                <w:rFonts w:eastAsia="Calibri"/>
                <w:color w:val="000000"/>
                <w:kern w:val="0"/>
                <w:szCs w:val="22"/>
                <w:lang w:val="nb-NO" w:eastAsia="en-US" w:bidi="ar-SA"/>
              </w:rPr>
              <w:t>24</w:t>
            </w:r>
          </w:p>
        </w:tc>
        <w:tc>
          <w:tcPr>
            <w:tcW w:w="194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olor w:val="000000"/>
                <w:kern w:val="0"/>
                <w:szCs w:val="22"/>
                <w:lang w:val="nb-NO" w:eastAsia="en-US" w:bidi="ar-SA"/>
              </w:rPr>
            </w:pPr>
            <w:r>
              <w:rPr>
                <w:rFonts w:eastAsia="Calibri"/>
                <w:color w:val="000000"/>
                <w:kern w:val="0"/>
                <w:szCs w:val="22"/>
                <w:lang w:val="nb-NO" w:eastAsia="en-US" w:bidi="ar-SA"/>
              </w:rPr>
              <w:t>45.8</w:t>
            </w:r>
          </w:p>
        </w:tc>
        <w:tc>
          <w:tcPr>
            <w:tcW w:w="188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olor w:val="000000"/>
                <w:kern w:val="0"/>
                <w:szCs w:val="22"/>
                <w:lang w:val="nb-NO" w:eastAsia="en-US" w:bidi="ar-SA"/>
              </w:rPr>
            </w:pPr>
            <w:r>
              <w:rPr>
                <w:rFonts w:eastAsia="Calibri"/>
                <w:color w:val="000000"/>
                <w:kern w:val="0"/>
                <w:szCs w:val="22"/>
                <w:lang w:val="nb-NO" w:eastAsia="en-US" w:bidi="ar-SA"/>
              </w:rPr>
              <w:t>177</w:t>
            </w:r>
          </w:p>
        </w:tc>
      </w:tr>
      <w:tr>
        <w:trPr/>
        <w:tc>
          <w:tcPr>
            <w:tcW w:w="325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olor w:val="000000"/>
                <w:kern w:val="0"/>
                <w:szCs w:val="22"/>
                <w:lang w:val="nb-NO" w:eastAsia="en-US" w:bidi="ar-SA"/>
              </w:rPr>
            </w:pPr>
            <w:r>
              <w:rPr>
                <w:rFonts w:eastAsia="Calibri"/>
                <w:color w:val="000000"/>
                <w:kern w:val="0"/>
                <w:szCs w:val="22"/>
                <w:lang w:val="nb-NO" w:eastAsia="en-US" w:bidi="ar-SA"/>
              </w:rPr>
              <w:t>Spesialisert veto</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olor w:val="000000"/>
                <w:kern w:val="0"/>
                <w:szCs w:val="22"/>
                <w:lang w:val="nb-NO" w:eastAsia="en-US" w:bidi="ar-SA"/>
              </w:rPr>
            </w:pPr>
            <w:r>
              <w:rPr>
                <w:rFonts w:eastAsia="Calibri"/>
                <w:color w:val="000000"/>
                <w:kern w:val="0"/>
                <w:szCs w:val="22"/>
                <w:lang w:val="nb-NO" w:eastAsia="en-US" w:bidi="ar-SA"/>
              </w:rPr>
              <w:t>12</w:t>
            </w:r>
          </w:p>
        </w:tc>
        <w:tc>
          <w:tcPr>
            <w:tcW w:w="194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olor w:val="000000"/>
                <w:kern w:val="0"/>
                <w:szCs w:val="22"/>
                <w:lang w:val="nb-NO" w:eastAsia="en-US" w:bidi="ar-SA"/>
              </w:rPr>
            </w:pPr>
            <w:r>
              <w:rPr>
                <w:rFonts w:eastAsia="Calibri"/>
                <w:color w:val="000000"/>
                <w:kern w:val="0"/>
                <w:szCs w:val="22"/>
                <w:lang w:val="nb-NO" w:eastAsia="en-US" w:bidi="ar-SA"/>
              </w:rPr>
              <w:t>41.7</w:t>
            </w:r>
          </w:p>
        </w:tc>
        <w:tc>
          <w:tcPr>
            <w:tcW w:w="188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olor w:val="000000"/>
                <w:kern w:val="0"/>
                <w:szCs w:val="22"/>
                <w:lang w:val="nb-NO" w:eastAsia="en-US" w:bidi="ar-SA"/>
              </w:rPr>
            </w:pPr>
            <w:r>
              <w:rPr>
                <w:rFonts w:eastAsia="Calibri"/>
                <w:color w:val="000000"/>
                <w:kern w:val="0"/>
                <w:szCs w:val="22"/>
                <w:lang w:val="nb-NO" w:eastAsia="en-US" w:bidi="ar-SA"/>
              </w:rPr>
              <w:t>173</w:t>
            </w:r>
          </w:p>
        </w:tc>
      </w:tr>
      <w:tr>
        <w:trPr/>
        <w:tc>
          <w:tcPr>
            <w:tcW w:w="325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olor w:val="000000"/>
                <w:kern w:val="0"/>
                <w:szCs w:val="22"/>
                <w:lang w:val="nb-NO" w:eastAsia="en-US" w:bidi="ar-SA"/>
              </w:rPr>
            </w:pPr>
            <w:r>
              <w:rPr>
                <w:rFonts w:eastAsia="Calibri"/>
                <w:color w:val="000000"/>
                <w:kern w:val="0"/>
                <w:szCs w:val="22"/>
                <w:lang w:val="nb-NO" w:eastAsia="en-US" w:bidi="ar-SA"/>
              </w:rPr>
              <w:t>Proporsjonal utnevnelse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olor w:val="000000"/>
                <w:kern w:val="0"/>
                <w:szCs w:val="22"/>
                <w:lang w:val="nb-NO" w:eastAsia="en-US" w:bidi="ar-SA"/>
              </w:rPr>
            </w:pPr>
            <w:r>
              <w:rPr>
                <w:rFonts w:eastAsia="Calibri"/>
                <w:color w:val="000000"/>
                <w:kern w:val="0"/>
                <w:szCs w:val="22"/>
                <w:lang w:val="nb-NO" w:eastAsia="en-US" w:bidi="ar-SA"/>
              </w:rPr>
              <w:t>23</w:t>
            </w:r>
          </w:p>
        </w:tc>
        <w:tc>
          <w:tcPr>
            <w:tcW w:w="194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olor w:val="000000"/>
                <w:kern w:val="0"/>
                <w:szCs w:val="22"/>
                <w:lang w:val="nb-NO" w:eastAsia="en-US" w:bidi="ar-SA"/>
              </w:rPr>
            </w:pPr>
            <w:r>
              <w:rPr>
                <w:rFonts w:eastAsia="Calibri"/>
                <w:color w:val="000000"/>
                <w:kern w:val="0"/>
                <w:szCs w:val="22"/>
                <w:lang w:val="nb-NO" w:eastAsia="en-US" w:bidi="ar-SA"/>
              </w:rPr>
              <w:t>57.9</w:t>
            </w:r>
          </w:p>
        </w:tc>
        <w:tc>
          <w:tcPr>
            <w:tcW w:w="188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olor w:val="000000"/>
                <w:kern w:val="0"/>
                <w:szCs w:val="22"/>
                <w:lang w:val="nb-NO" w:eastAsia="en-US" w:bidi="ar-SA"/>
              </w:rPr>
            </w:pPr>
            <w:r>
              <w:rPr>
                <w:rFonts w:eastAsia="Calibri"/>
                <w:color w:val="000000"/>
                <w:kern w:val="0"/>
                <w:szCs w:val="22"/>
                <w:lang w:val="nb-NO" w:eastAsia="en-US" w:bidi="ar-SA"/>
              </w:rPr>
              <w:t>151</w:t>
            </w:r>
          </w:p>
        </w:tc>
      </w:tr>
      <w:tr>
        <w:trPr/>
        <w:tc>
          <w:tcPr>
            <w:tcW w:w="325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olor w:val="000000"/>
                <w:kern w:val="0"/>
                <w:szCs w:val="22"/>
                <w:lang w:val="nb-NO" w:eastAsia="en-US" w:bidi="ar-SA"/>
              </w:rPr>
            </w:pPr>
            <w:r>
              <w:rPr>
                <w:rFonts w:eastAsia="Calibri"/>
                <w:color w:val="000000"/>
                <w:kern w:val="0"/>
                <w:szCs w:val="22"/>
                <w:lang w:val="nb-NO" w:eastAsia="en-US" w:bidi="ar-SA"/>
              </w:rPr>
              <w:t>Open-list PR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olor w:val="000000"/>
                <w:kern w:val="0"/>
                <w:szCs w:val="22"/>
                <w:lang w:val="nb-NO" w:eastAsia="en-US" w:bidi="ar-SA"/>
              </w:rPr>
            </w:pPr>
            <w:r>
              <w:rPr>
                <w:rFonts w:eastAsia="Calibri"/>
                <w:color w:val="000000"/>
                <w:kern w:val="0"/>
                <w:szCs w:val="22"/>
                <w:lang w:val="nb-NO" w:eastAsia="en-US" w:bidi="ar-SA"/>
              </w:rPr>
              <w:t>8</w:t>
            </w:r>
          </w:p>
        </w:tc>
        <w:tc>
          <w:tcPr>
            <w:tcW w:w="194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olor w:val="000000"/>
                <w:kern w:val="0"/>
                <w:szCs w:val="22"/>
                <w:lang w:val="nb-NO" w:eastAsia="en-US" w:bidi="ar-SA"/>
              </w:rPr>
            </w:pPr>
            <w:r>
              <w:rPr>
                <w:rFonts w:eastAsia="Calibri"/>
                <w:color w:val="000000"/>
                <w:kern w:val="0"/>
                <w:szCs w:val="22"/>
                <w:lang w:val="nb-NO" w:eastAsia="en-US" w:bidi="ar-SA"/>
              </w:rPr>
              <w:t>50.0</w:t>
            </w:r>
          </w:p>
        </w:tc>
        <w:tc>
          <w:tcPr>
            <w:tcW w:w="188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olor w:val="000000"/>
                <w:kern w:val="0"/>
                <w:szCs w:val="22"/>
                <w:lang w:val="nb-NO" w:eastAsia="en-US" w:bidi="ar-SA"/>
              </w:rPr>
            </w:pPr>
            <w:r>
              <w:rPr>
                <w:rFonts w:eastAsia="Calibri"/>
                <w:color w:val="000000"/>
                <w:kern w:val="0"/>
                <w:szCs w:val="22"/>
                <w:lang w:val="nb-NO" w:eastAsia="en-US" w:bidi="ar-SA"/>
              </w:rPr>
              <w:t>135</w:t>
            </w:r>
          </w:p>
        </w:tc>
      </w:tr>
      <w:tr>
        <w:trPr/>
        <w:tc>
          <w:tcPr>
            <w:tcW w:w="325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olor w:val="000000"/>
                <w:kern w:val="0"/>
                <w:szCs w:val="22"/>
                <w:lang w:val="nb-NO" w:eastAsia="en-US" w:bidi="ar-SA"/>
              </w:rPr>
            </w:pPr>
            <w:r>
              <w:rPr>
                <w:rFonts w:eastAsia="Calibri"/>
                <w:color w:val="000000"/>
                <w:kern w:val="0"/>
                <w:szCs w:val="22"/>
                <w:lang w:val="nb-NO" w:eastAsia="en-US" w:bidi="ar-SA"/>
              </w:rPr>
              <w:t>Tvungen lovgivende koalisjon</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olor w:val="000000"/>
                <w:kern w:val="0"/>
                <w:szCs w:val="22"/>
                <w:lang w:val="nb-NO" w:eastAsia="en-US" w:bidi="ar-SA"/>
              </w:rPr>
            </w:pPr>
            <w:r>
              <w:rPr>
                <w:rFonts w:eastAsia="Calibri"/>
                <w:color w:val="000000"/>
                <w:kern w:val="0"/>
                <w:szCs w:val="22"/>
                <w:lang w:val="nb-NO" w:eastAsia="en-US" w:bidi="ar-SA"/>
              </w:rPr>
              <w:t>20</w:t>
            </w:r>
          </w:p>
        </w:tc>
        <w:tc>
          <w:tcPr>
            <w:tcW w:w="194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olor w:val="000000"/>
                <w:kern w:val="0"/>
                <w:szCs w:val="22"/>
                <w:lang w:val="nb-NO" w:eastAsia="en-US" w:bidi="ar-SA"/>
              </w:rPr>
            </w:pPr>
            <w:r>
              <w:rPr>
                <w:rFonts w:eastAsia="Calibri"/>
                <w:color w:val="000000"/>
                <w:kern w:val="0"/>
                <w:szCs w:val="22"/>
                <w:lang w:val="nb-NO" w:eastAsia="en-US" w:bidi="ar-SA"/>
              </w:rPr>
              <w:t>50.0</w:t>
            </w:r>
          </w:p>
        </w:tc>
        <w:tc>
          <w:tcPr>
            <w:tcW w:w="188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olor w:val="000000"/>
                <w:kern w:val="0"/>
                <w:szCs w:val="22"/>
                <w:lang w:val="nb-NO" w:eastAsia="en-US" w:bidi="ar-SA"/>
              </w:rPr>
            </w:pPr>
            <w:r>
              <w:rPr>
                <w:rFonts w:eastAsia="Calibri"/>
                <w:color w:val="000000"/>
                <w:kern w:val="0"/>
                <w:szCs w:val="22"/>
                <w:lang w:val="nb-NO" w:eastAsia="en-US" w:bidi="ar-SA"/>
              </w:rPr>
              <w:t>119</w:t>
            </w:r>
          </w:p>
        </w:tc>
      </w:tr>
    </w:tbl>
    <w:p>
      <w:pPr>
        <w:pStyle w:val="Normal"/>
        <w:spacing w:lineRule="auto" w:line="360"/>
        <w:rPr>
          <w:color w:val="000000"/>
        </w:rPr>
      </w:pPr>
      <w:r>
        <w:rPr>
          <w:color w:val="000000"/>
        </w:rPr>
      </w:r>
    </w:p>
    <w:p>
      <w:pPr>
        <w:pStyle w:val="Normal"/>
        <w:jc w:val="left"/>
        <w:rPr>
          <w:color w:val="000000"/>
        </w:rPr>
      </w:pPr>
      <w:r>
        <w:rPr>
          <w:color w:val="000000"/>
        </w:rPr>
      </w:r>
      <w:r>
        <w:br w:type="page"/>
      </w:r>
    </w:p>
    <w:p>
      <w:pPr>
        <w:pStyle w:val="Heading1"/>
        <w:spacing w:lineRule="auto" w:line="360"/>
        <w:rPr/>
      </w:pPr>
      <w:bookmarkStart w:id="37" w:name="_Toc72502727"/>
      <w:r>
        <w:rPr/>
        <w:t>Kapittel 5. Teoretisk rammeverk</w:t>
      </w:r>
      <w:bookmarkEnd w:id="37"/>
    </w:p>
    <w:p>
      <w:pPr>
        <w:pStyle w:val="Normal"/>
        <w:spacing w:lineRule="auto" w:line="360"/>
        <w:rPr/>
      </w:pPr>
      <w:r>
        <w:rPr/>
        <w:t>I dette kapittelet vil jeg presentere teorien som skal legge grunnlaget for mine argumenter. Jeg vil først presentere teorier vedrørerende politisk tillit, før jeg beveger meg over på maktdeling og hvordan dette kan tenkes å påvirke etniske grupper og kvinner.</w:t>
      </w:r>
    </w:p>
    <w:p>
      <w:pPr>
        <w:pStyle w:val="Normal"/>
        <w:spacing w:lineRule="auto" w:line="360"/>
        <w:rPr/>
      </w:pPr>
      <w:r>
        <w:rPr/>
      </w:r>
    </w:p>
    <w:p>
      <w:pPr>
        <w:pStyle w:val="Heading2"/>
        <w:numPr>
          <w:ilvl w:val="1"/>
          <w:numId w:val="4"/>
        </w:numPr>
        <w:spacing w:lineRule="auto" w:line="360"/>
        <w:rPr/>
      </w:pPr>
      <w:bookmarkStart w:id="38" w:name="_Toc72502728"/>
      <w:r>
        <w:rPr/>
        <w:t>Politisk tillit</w:t>
      </w:r>
      <w:bookmarkEnd w:id="38"/>
    </w:p>
    <w:p>
      <w:pPr>
        <w:pStyle w:val="Heading3"/>
        <w:numPr>
          <w:ilvl w:val="2"/>
          <w:numId w:val="4"/>
        </w:numPr>
        <w:spacing w:lineRule="auto" w:line="360"/>
        <w:rPr/>
      </w:pPr>
      <w:bookmarkStart w:id="39" w:name="_Toc72502729"/>
      <w:bookmarkStart w:id="40" w:name="_Toc71923013"/>
      <w:r>
        <w:rPr/>
        <w:t>Betydningen av politisk tillit</w:t>
      </w:r>
      <w:bookmarkEnd w:id="39"/>
      <w:bookmarkEnd w:id="40"/>
    </w:p>
    <w:p>
      <w:pPr>
        <w:pStyle w:val="Normal"/>
        <w:spacing w:lineRule="auto" w:line="360"/>
        <w:rPr>
          <w:rFonts w:cs="Times New Roman"/>
          <w:szCs w:val="24"/>
        </w:rPr>
      </w:pPr>
      <w:r>
        <w:rPr>
          <w:rFonts w:cs="Times New Roman"/>
          <w:szCs w:val="24"/>
        </w:rPr>
        <w:t xml:space="preserve">Listhaug (2005) lister opp tre grunner til at politisk tillit er viktig. For det første er tillit viktig for demokratiet da velgerne kun får tatt direkte kontroll over den politiske prosessen ved valg, og er avhengig av kvalitet i prosessen som skjer mellom valgene. Politisk tillit betyr at velgerne er tilfredse med hvordan prosessen foregår. For det andre har regjeringens økonomiske rolle blitt viktigere de siste tiårene. Når styringsmaktene skal allokere store deler av landets økonomiske ressurser, er det viktig med støtte fra borgere og foretak. Tillit er en effektiv og enkel måte å oppnå denne støtten på. Til slutt er politisk tillit en viktig pekepinn for andre land om hvorvidt det er trygt å investere i det aktuelle landet. Høy grad av politisk tillit antyder at landet utøver en «sunn autoritet». </w:t>
      </w:r>
    </w:p>
    <w:p>
      <w:pPr>
        <w:pStyle w:val="Normal"/>
        <w:spacing w:lineRule="auto" w:line="360"/>
        <w:rPr>
          <w:rFonts w:cs="Times New Roman"/>
          <w:szCs w:val="24"/>
        </w:rPr>
      </w:pPr>
      <w:r>
        <w:rPr>
          <w:rFonts w:cs="Times New Roman"/>
          <w:szCs w:val="24"/>
        </w:rPr>
      </w:r>
    </w:p>
    <w:p>
      <w:pPr>
        <w:pStyle w:val="Heading3"/>
        <w:numPr>
          <w:ilvl w:val="2"/>
          <w:numId w:val="4"/>
        </w:numPr>
        <w:spacing w:lineRule="auto" w:line="360"/>
        <w:rPr/>
      </w:pPr>
      <w:bookmarkStart w:id="41" w:name="_Toc72502730"/>
      <w:bookmarkStart w:id="42" w:name="_Toc71923014"/>
      <w:r>
        <w:rPr/>
        <w:t>Politisk tillit i Afrika</w:t>
      </w:r>
      <w:bookmarkEnd w:id="41"/>
      <w:bookmarkEnd w:id="42"/>
    </w:p>
    <w:p>
      <w:pPr>
        <w:pStyle w:val="Normal"/>
        <w:spacing w:lineRule="auto" w:line="360"/>
        <w:rPr/>
      </w:pPr>
      <w:r>
        <w:rPr>
          <w:rFonts w:cs="Times New Roman"/>
          <w:szCs w:val="24"/>
        </w:rPr>
        <w:t xml:space="preserve">I etablerte demokratier avhenger borgeres politiske tillit mye av landets økonomiske tilstand (Listhaug &amp; Miller, 1999). Bratton &amp; Mattes (2001) observerte derimot at politisk tillit i afrikanske land var mer avhengig av hvorvidt staten var i stand til å tilby grunnleggende politiske rettigheter, og at den økonomiske tilstanden var mindre viktig enn i vestlige land. For at nye demokratier skal vedvare, er det ifølge Diamond (1999) avgjørende at borgerne har tillit til de politiske institusjonene. Dette oppnås ved politisk frihet, transparens, ‘rule of law’, konstitusjonalisme og fravær av vilkårlighet i den politiske prosessen. Afrikas nye demokratiske stater innehar, ifølge Mishler &amp; Rose (1999), en stor andel støtte og anerkjennelse fra sine borgere som en følge av at de gamle regimene har falt. Den nye administrasjonen blir da evaluert basert på politiske goder som allokeres, selv om økonomien forverres som en konsekvens av uforsvarlig allokering (Linz &amp; Stephan, 1996; Bratton &amp; Mattes, 2001). Støtten som nye demokratier nyter må opprettholdes ved at de politiske institusjonene tilbyr varige driftsmidler, og støtten vil tape seg dersom den økonomiske situasjonen ikke er tilstrekkelig for å tilby dette i det lange løp (Mishler &amp; Rose, 1999). Haggard &amp; Kaufman (2016) argumenterer for at dårlig økonomisk håndtering, samt svak institusjonalisme, er de viktigste grunnene til at nye demokratier ikke overlever, og faller tilbake til en autokratisk tilstand. Dette finner vi igjen hos Collier et al. (2003) som peker på at det oppstår et autoritetsvakuum ved svak institusjonalisme og dårlig økonomisk håndtering, noe som øker sannsynligheten for tilbakevendende konflikt. </w:t>
      </w:r>
    </w:p>
    <w:p>
      <w:pPr>
        <w:pStyle w:val="Normal"/>
        <w:spacing w:lineRule="auto" w:line="360"/>
        <w:rPr/>
      </w:pPr>
      <w:r>
        <w:rPr>
          <w:rFonts w:cs="Times New Roman"/>
          <w:color w:val="000000"/>
          <w:szCs w:val="24"/>
        </w:rPr>
        <w:t xml:space="preserve">Flere statsvitere identifiserer politisk tillit som et grunnlag for legitimering (Newton, 2007; Hutchinson &amp; Johnson, 2011; Mishler &amp; Rose, 2001; Hetherington 1998, 2005). Særlig på det afrikanske kontinentet vil tillitsnivået reflektere samfunnets totalvurdering av legitimitet som en følge av hvor godt institusjonene fungerer opp mot forventningene, og føre til at de politiske holdningene er mer dynamiske enn andre steder i verden (Ridley, 1997; Newton, 2007; Bratton, Mattes &amp; Gyimah-Boadi, 2005; Hutchinson &amp; Johnson, 2011). </w:t>
      </w:r>
      <w:r>
        <w:rPr>
          <w:rFonts w:cs="Times New Roman"/>
          <w:szCs w:val="24"/>
        </w:rPr>
        <w:t xml:space="preserve">Legitimitet for staten ligger i kjernen av et godt stat-samfunn-forhold (Holsti, 1996; Engleberg, 2000; Bates, 2008), og det afrikanske kontinentet har lidd enormt under vanskelige og dysfunksjonelle stat-samfunn-forhold (Bates, 2008). Som Hutchinson og Johnson (2011) påpeker, er det ingen region i verden som behøver mer innsikt i å bygge legitime regimer mer enn Afrika. Politisk tillit er tillært, og </w:t>
      </w:r>
      <w:r>
        <w:rPr>
          <w:rFonts w:cs="Times New Roman"/>
          <w:color w:val="000000"/>
          <w:szCs w:val="24"/>
        </w:rPr>
        <w:t xml:space="preserve">vil reflektere individers oppfatning av staten som er skapt over tid </w:t>
      </w:r>
      <w:r>
        <w:rPr>
          <w:rFonts w:cs="Times New Roman"/>
          <w:szCs w:val="24"/>
        </w:rPr>
        <w:t xml:space="preserve">(Ridley, 1997; </w:t>
      </w:r>
      <w:r>
        <w:rPr>
          <w:rFonts w:cs="Times New Roman"/>
          <w:color w:val="000000"/>
          <w:szCs w:val="24"/>
        </w:rPr>
        <w:t>Newton, 2007).</w:t>
      </w:r>
      <w:r>
        <w:rPr>
          <w:rFonts w:cs="Times New Roman"/>
          <w:color w:val="FF0000"/>
          <w:szCs w:val="24"/>
        </w:rPr>
        <w:t xml:space="preserve"> </w:t>
      </w:r>
      <w:r>
        <w:rPr>
          <w:rFonts w:cs="Times New Roman"/>
          <w:color w:val="000000"/>
          <w:szCs w:val="24"/>
        </w:rPr>
        <w:t>Når</w:t>
      </w:r>
      <w:r>
        <w:rPr>
          <w:rFonts w:cs="Times New Roman"/>
          <w:szCs w:val="24"/>
        </w:rPr>
        <w:t xml:space="preserve"> en region som har hatt politisk ustabilitet, regimekollaps, voldelig konflikt og fiendtlige regimer over lang tid, og gjennom hele livet til enkelte individer, er det naturlig å anta at dette vil påvirke tilliten til politiske institusjoner negativt. </w:t>
      </w:r>
    </w:p>
    <w:p>
      <w:pPr>
        <w:pStyle w:val="Normal"/>
        <w:spacing w:lineRule="auto" w:line="360"/>
        <w:rPr/>
      </w:pPr>
      <w:r>
        <w:rPr>
          <w:rFonts w:cs="Times New Roman"/>
          <w:color w:val="000000"/>
          <w:szCs w:val="24"/>
        </w:rPr>
        <w:t>I post-borgerkrigsamfunn er politisk tillit et verktøy for å unngå tilbakefall til konflikt. Dersom styringsmaktene sikrer seg tillit fra tidligere krigførere, kan dette bedre overenstemmelsen mellom stat og samfunn, og styrke forpliktelsen fra fredsavtalen (Hutchinson &amp; Johnson, 2011; Walter, 2002; Hartzell &amp; Hoddie, 2001, 2003; Hoddie &amp; Hartzell, 2005). Politisk tillit fungerer da som et middel for å sikre varig fred i det som har vært nedbrutte og polariserte samfunn (Hutchinson &amp; Johnson, 2011). Putnam, Leonardi &amp; Nanetti (1993) legger til grunn at en viss grad tillit innad i et land er nødvendig for at de politiske institusjonene skal fungere på en god måte, og dermed øke kapasiteten til styringsmaktene, noe vi også finner hos Mishler &amp; Rose (2001). Hutchinson &amp; Johnson (2011) argumenterer på en annen side for at saken vil være annerledes i afrikansk kontekst, ved at regjeringens kapasitet fremmer tillit hos befolkningen, og ikke motsatt. Dette baseres bl.a. på et eksempel fra Eritrea, hvor 99% av befolkningen stemte for uavhengighet fra Etiopia i 1993</w:t>
      </w:r>
      <w:r>
        <w:rPr>
          <w:rFonts w:cs="Times New Roman"/>
          <w:color w:val="FF0000"/>
          <w:szCs w:val="24"/>
        </w:rPr>
        <w:t xml:space="preserve">. </w:t>
      </w:r>
      <w:r>
        <w:rPr>
          <w:rFonts w:cs="Times New Roman"/>
          <w:color w:val="000000"/>
          <w:szCs w:val="24"/>
        </w:rPr>
        <w:t>Siden den tid har det har ikke blitt holdt parlamentsvalg, og landet styres fortsatt under grunnloven fra 1993. En ny grunnlov ble ratifisert i 1997, men den har ikke blitt implementert til dags dato. Eksempelet fra Eritrea viser at et felles mål og omfattende politisk mobilisering ikke er nok til å realisere etablerte mål, og Hutchinson &amp; Johnson (2011) hevder derfor at etablert institusjonell kapasitet, tillit til regjeringsstabilitet og institusjoner for øvrig er avgjørende for demokratisk utvikling.</w:t>
      </w:r>
    </w:p>
    <w:p>
      <w:pPr>
        <w:pStyle w:val="Normal"/>
        <w:spacing w:lineRule="auto" w:line="360"/>
        <w:rPr>
          <w:rFonts w:cs="Times New Roman"/>
          <w:color w:val="000000"/>
          <w:szCs w:val="24"/>
        </w:rPr>
      </w:pPr>
      <w:r>
        <w:rPr>
          <w:rFonts w:cs="Times New Roman"/>
          <w:color w:val="000000"/>
          <w:szCs w:val="24"/>
        </w:rPr>
      </w:r>
    </w:p>
    <w:p>
      <w:pPr>
        <w:pStyle w:val="Heading2"/>
        <w:numPr>
          <w:ilvl w:val="1"/>
          <w:numId w:val="4"/>
        </w:numPr>
        <w:spacing w:lineRule="auto" w:line="360"/>
        <w:rPr/>
      </w:pPr>
      <w:bookmarkStart w:id="43" w:name="_Toc72502731"/>
      <w:r>
        <w:rPr/>
        <w:t>Maktdeling</w:t>
      </w:r>
      <w:bookmarkEnd w:id="43"/>
    </w:p>
    <w:p>
      <w:pPr>
        <w:pStyle w:val="Heading3"/>
        <w:numPr>
          <w:ilvl w:val="2"/>
          <w:numId w:val="4"/>
        </w:numPr>
        <w:spacing w:lineRule="auto" w:line="360"/>
        <w:rPr/>
      </w:pPr>
      <w:bookmarkStart w:id="44" w:name="_Toc72502732"/>
      <w:r>
        <w:rPr/>
        <w:t>Institusjonsbygging</w:t>
      </w:r>
      <w:bookmarkEnd w:id="44"/>
    </w:p>
    <w:p>
      <w:pPr>
        <w:pStyle w:val="Normal"/>
        <w:spacing w:lineRule="auto" w:line="360"/>
        <w:rPr/>
      </w:pPr>
      <w:r>
        <w:rPr/>
        <w:t xml:space="preserve">Som vist i </w:t>
      </w:r>
      <w:r>
        <w:rPr>
          <w:color w:val="000000"/>
        </w:rPr>
        <w:t xml:space="preserve">delkapittel 2.2.3. </w:t>
      </w:r>
      <w:r>
        <w:rPr/>
        <w:t>tar oppgaven utgangspunkt i seks former for politisk maktdeling. Jeg vil nå gå nærmere inn på effektene av de ulike måtene å forme institusjoner på.</w:t>
      </w:r>
    </w:p>
    <w:p>
      <w:pPr>
        <w:pStyle w:val="Normal"/>
        <w:spacing w:lineRule="auto" w:line="360"/>
        <w:rPr/>
      </w:pPr>
      <w:r>
        <w:rPr/>
        <w:t>Ved et closed-list PR system vil partiledere rangere kandidatene, og velgerne kan kun stemme på partier. Ved open-list vil velgerne stemme på ett parti og kan selv rangere kandidatene som partiet har ført opp. Closed-list PR gjør det vanskeligere for velgerne å kontrollere hver enkelt politiker, da listen bestemmes av partiet.</w:t>
      </w:r>
      <w:commentRangeStart w:id="2"/>
      <w:r>
        <w:rPr/>
        <w:t xml:space="preserve"> Kunicova &amp; Rose-Ackerman (2001) argumenterer for at det derfor er en sterkere link mellom en god representant og dens gjenvalg ved open-list enn ved closed-lis</w:t>
      </w:r>
      <w:r>
        <w:rPr/>
      </w:r>
      <w:commentRangeEnd w:id="2"/>
      <w:r>
        <w:commentReference w:id="2"/>
      </w:r>
      <w:r>
        <w:rPr/>
        <w:t>t. Imidliertid, som vist i delkapittel 4.3., øker closed-list PR sannsynligheten for stabilitet i et postkonflikt-samfunn og reduserer incentiver for patronasje-basert kampanjeføring.</w:t>
      </w:r>
      <w:r>
        <w:rPr>
          <w:color w:val="4472C4"/>
        </w:rPr>
        <w:t xml:space="preserve"> </w:t>
      </w:r>
      <w:r>
        <w:rPr>
          <w:color w:val="000000"/>
        </w:rPr>
        <w:t xml:space="preserve">Sistnevnte funn understreker et viktig aspekt, da flere studier har notert seg linken mellom open-list PR og patronasje-basert kampanjeføring og korrupsjon (se delkapittel 4.5). Chang (2005) gjør rede for mekanismene ved at open-list PR inviterer til intraparti-konkurranse hvor personlige stemmer er viktig for kandidatene. Jo flere personlige stemmer en kandidat behøver, desto mer sannsynlig er det at kandidaten oppsøker ulovlige midler for å få de, og dermed begå korrupsjon. </w:t>
      </w:r>
    </w:p>
    <w:p>
      <w:pPr>
        <w:pStyle w:val="Normal"/>
        <w:spacing w:lineRule="auto" w:line="360"/>
        <w:rPr/>
      </w:pPr>
      <w:r>
        <w:rPr>
          <w:color w:val="000000"/>
        </w:rPr>
        <w:t xml:space="preserve">Som jeg har vist i delkapittel 3.2., er det afrikanske kontinentet en mer ekstrem case av etnisk fragmentering enn andre verdensregioner. Det er derfor nærliggende å tro at også forekomsten av etnisk stemmegivning vil være høyere i Afrika. </w:t>
      </w:r>
      <w:commentRangeStart w:id="3"/>
      <w:r>
        <w:rPr>
          <w:color w:val="000000"/>
        </w:rPr>
        <w:t>Da både closed- og open-list PR begrenser velgerne til ett parti,</w:t>
      </w:r>
      <w:r>
        <w:rPr/>
      </w:r>
      <w:commentRangeEnd w:id="3"/>
      <w:r>
        <w:commentReference w:id="3"/>
      </w:r>
      <w:r>
        <w:rPr>
          <w:color w:val="000000"/>
        </w:rPr>
        <w:t xml:space="preserve"> mener jeg at Kunicova &amp; Rose-Ackermans (2002) argumentasjon ikke er relevant for postkonflikt-land med etnisk fragmentering. Politikere som representerer den etniske majoriteten vil ikke være nødt til å svare til minoriteten, da disse vil stemme på andre partier. Fordelen med open-list PR vil da falle bort. I lys av dette, argumentene for økt korrupsjon ved open-list PR og funnene som viser til økt stabilitet ved closed-list PR, forventer jeg å finne at postkonflikt-land med closed-list PR har høyere politisk tillit blant etniske minoriteter og kvinner enn postkonflikt-land med open-list PR for politisk maktdeling. </w:t>
      </w:r>
    </w:p>
    <w:p>
      <w:pPr>
        <w:pStyle w:val="Heading3"/>
        <w:numPr>
          <w:ilvl w:val="2"/>
          <w:numId w:val="4"/>
        </w:numPr>
        <w:spacing w:lineRule="auto" w:line="360"/>
        <w:rPr/>
      </w:pPr>
      <w:bookmarkStart w:id="45" w:name="_Toc72502733"/>
      <w:bookmarkStart w:id="46" w:name="_Toc71923017"/>
      <w:r>
        <w:rPr/>
        <w:t>Fredsfellen</w:t>
      </w:r>
      <w:bookmarkEnd w:id="45"/>
      <w:r>
        <w:rPr/>
        <w:t xml:space="preserve"> </w:t>
      </w:r>
      <w:bookmarkEnd w:id="46"/>
    </w:p>
    <w:p>
      <w:pPr>
        <w:pStyle w:val="Normal"/>
        <w:spacing w:lineRule="auto" w:line="360"/>
        <w:rPr>
          <w:rFonts w:cs="Times New Roman"/>
          <w:szCs w:val="24"/>
        </w:rPr>
      </w:pPr>
      <w:r>
        <w:rPr>
          <w:rFonts w:cs="Times New Roman"/>
          <w:szCs w:val="24"/>
        </w:rPr>
        <w:t xml:space="preserve">Logikken som ligger bak maktdeling er at flere parter skal ha innflytelse over avgjørelser som blir tatt i overgangen til fredstid, og at partene sammen skal bestemme veien videre. Det kan også være en effektiv måte å håndtere misnøye på hos opprørere, som nå får en betydelig større makt enn de tidligere har hatt. Dette kan føre til at opprørere avslutter krigføring umiddelbart, og virker derfor som en god kortsiktig løsning (Jung, 2012). Dette er også empirisk understøttet: Borgerkriger mellom 1940 og 1992 var 38% mer sannsynlig til å bli avsluttet ved fredsavtale dersom den inneholdt løfter om maktdeling (Walter, 2002, s. 80). Hartzell &amp; Hoddie (2007) finner også at maktdeling senker sannsynligheten for å falle tilbake til borgerkrig. </w:t>
      </w:r>
    </w:p>
    <w:p>
      <w:pPr>
        <w:pStyle w:val="Normal"/>
        <w:spacing w:lineRule="auto" w:line="360"/>
        <w:rPr>
          <w:rFonts w:cs="Times New Roman"/>
          <w:szCs w:val="24"/>
        </w:rPr>
      </w:pPr>
      <w:r>
        <w:rPr>
          <w:rFonts w:cs="Times New Roman"/>
          <w:szCs w:val="24"/>
        </w:rPr>
        <w:t>På lengre sikt, derimot, kan maktdeling ha problematiske konsekvenser. Jung (2012) argumenterer for at maktdeling ikke automatisk leder til demokrati, og hevder at det i starten ikke er et komplett demokratisk system, og at det på sikt vil gi uheldige effekter på demokratisering. Ved å forhåndsbestemme formelen for maktdeling, vil relevansen av demokratisk konkurranse bli redusert. Jung anser maktdeling som en kilde til konflikt, ikke en løsning. Vi finner samme argumentasjon hos Zartman (2000), som mener at en kortsiktig løsning på konflikt er uforenelig med løsninger i et lengre perspektiv.</w:t>
      </w:r>
    </w:p>
    <w:p>
      <w:pPr>
        <w:pStyle w:val="Normal"/>
        <w:spacing w:lineRule="auto" w:line="360"/>
        <w:rPr/>
      </w:pPr>
      <w:r>
        <w:rPr/>
        <w:t>Når to parter i en borgerkrig når en fastlåst situasjon, løses det ofte med at eksterne aktører fremforhandler en maktdelingsavtale som skal balansere maktdistribusjonen mellom de krigende partene – og som skal gi insentiver til å komme til enighet om en endelig fredsavtale. Jung (2012) hevder at mens målet</w:t>
      </w:r>
      <w:r>
        <w:rPr>
          <w:rFonts w:cs="Times New Roman"/>
          <w:szCs w:val="24"/>
        </w:rPr>
        <w:t xml:space="preserve"> er å fremlegge en fredsavtale, kan det i virkeligheten føre til at det krigsherjede landet havner i en </w:t>
      </w:r>
      <w:r>
        <w:rPr>
          <w:rFonts w:cs="Times New Roman"/>
          <w:i/>
          <w:iCs/>
          <w:szCs w:val="24"/>
        </w:rPr>
        <w:t>fredsfelle</w:t>
      </w:r>
      <w:r>
        <w:rPr>
          <w:rFonts w:cs="Times New Roman"/>
          <w:szCs w:val="24"/>
        </w:rPr>
        <w:t xml:space="preserve">. Dersom krigstidens splittelser etableres inn i den nye politiske strukturen, vil splittelse og polarisering bli institusjonalisert, da viktige nøkkelposisjoner i staten er fordelt mot tidligere krigsmotstandere. Dette kan igjen føre til fastlåste situasjoner i viktige statlige avgjørelser, noe som vil svekke tilliten hos innbyggerne. Splittelse i regjeringen kan også reflekteres i befolkningen, som vil føre til et polarisert samfunn som helhet. Jung (2012) ser derfor på maktdeling som starten på en ond sirkel fremfor en bærekraftig langsiktig løsning. </w:t>
      </w:r>
    </w:p>
    <w:p>
      <w:pPr>
        <w:pStyle w:val="Normal"/>
        <w:spacing w:lineRule="auto" w:line="360"/>
        <w:rPr/>
      </w:pPr>
      <w:r>
        <w:rPr>
          <w:rFonts w:cs="Times New Roman"/>
          <w:szCs w:val="24"/>
        </w:rPr>
        <w:t>Det øyeblikket maktdeling er avtalt, vil det være vanskelig å gjøre endringer i avtalen. Maktdeling antar et sammenhengende lederskap i hver av de krigende partene, og tar ikke høyde for potensielle uenigheter innad i de ulike partene. Med eksempler fra Kypros, Libanon og Bosnia og Herzegovina ser vi en tendens til at maktdelingsinstitusjoner er ute av stand til å ta seg av politisk misnøye. I Kypros og Libanon så vi en kollaps av hele maktdelingen</w:t>
      </w:r>
      <w:r>
        <w:rPr>
          <w:rStyle w:val="FootnoteAnchor"/>
          <w:rFonts w:cs="Times New Roman"/>
          <w:szCs w:val="24"/>
        </w:rPr>
        <w:footnoteReference w:id="12"/>
      </w:r>
      <w:r>
        <w:rPr>
          <w:rFonts w:cs="Times New Roman"/>
          <w:szCs w:val="24"/>
        </w:rPr>
        <w:t xml:space="preserve">, mens Bosnia og Herzegovina sto tilbake med en ineffektiv </w:t>
      </w:r>
      <w:r>
        <w:rPr>
          <w:rFonts w:cs="Times New Roman"/>
          <w:color w:val="000000"/>
          <w:szCs w:val="24"/>
        </w:rPr>
        <w:t xml:space="preserve">regjering (Jung, 2012). </w:t>
      </w:r>
    </w:p>
    <w:p>
      <w:pPr>
        <w:pStyle w:val="Normal"/>
        <w:spacing w:lineRule="auto" w:line="360"/>
        <w:rPr/>
      </w:pPr>
      <w:r>
        <w:rPr/>
      </w:r>
    </w:p>
    <w:p>
      <w:pPr>
        <w:pStyle w:val="Heading3"/>
        <w:numPr>
          <w:ilvl w:val="2"/>
          <w:numId w:val="4"/>
        </w:numPr>
        <w:spacing w:lineRule="auto" w:line="360"/>
        <w:rPr/>
      </w:pPr>
      <w:bookmarkStart w:id="47" w:name="_Toc72502734"/>
      <w:bookmarkStart w:id="48" w:name="_Toc71923018"/>
      <w:r>
        <w:rPr/>
        <w:t>Maktdeling i Afrika</w:t>
      </w:r>
      <w:bookmarkEnd w:id="47"/>
      <w:bookmarkEnd w:id="48"/>
    </w:p>
    <w:p>
      <w:pPr>
        <w:pStyle w:val="Normal"/>
        <w:spacing w:lineRule="auto" w:line="360"/>
        <w:rPr>
          <w:rFonts w:cs="Times New Roman"/>
          <w:color w:val="000000"/>
          <w:szCs w:val="24"/>
          <w:shd w:fill="FFFFFF" w:val="clear"/>
        </w:rPr>
      </w:pPr>
      <w:r>
        <w:rPr>
          <w:rFonts w:cs="Times New Roman"/>
          <w:color w:val="000000"/>
          <w:szCs w:val="24"/>
          <w:shd w:fill="FFFFFF" w:val="clear"/>
        </w:rPr>
        <w:t>Mehler (2009) hevder at ettersom maktdelingsavtaler gir autoritet til personer eller grupper som har tydd til vold for å oppnå sine mål, kan det undergrave statsbygging da disse ikke forplikter seg til å regjere til fordel for alle landets borgere. Sriram &amp; Zahar (2009) legger til at maktdelingsavtaler ikke bare tenderer mot udemokratiske stater, men mot stater som ikke er mottakelige for borgernes behov for sikkerhet, og dermed undergraver human sikkerhet og statslegitimering. De argumenterer for at risikoen som er involvert i maktdeling er særlig akutt i kontekst med svake eller nedbrutte stater som befinner seg på det afrikanske kontinentet. Som Saideman &amp; Zahar (2009) også påpeker vil misnøye og incentiver assosiert med maktdeling ofte føre til at konflikt-rammede land svekkes i evnen til å verne om sine borgere, og dermed miste noe av sin legitimitet.</w:t>
      </w:r>
    </w:p>
    <w:p>
      <w:pPr>
        <w:pStyle w:val="Normal"/>
        <w:spacing w:lineRule="auto" w:line="360"/>
        <w:rPr>
          <w:rFonts w:cs="Times New Roman"/>
          <w:color w:val="000000"/>
          <w:szCs w:val="24"/>
          <w:shd w:fill="FFFFFF" w:val="clear"/>
        </w:rPr>
      </w:pPr>
      <w:r>
        <w:rPr>
          <w:rFonts w:cs="Times New Roman"/>
          <w:color w:val="000000"/>
          <w:szCs w:val="24"/>
          <w:shd w:fill="FFFFFF" w:val="clear"/>
        </w:rPr>
        <w:t xml:space="preserve">I lys av kapittel 2, og i tråd med Mehler (2009), vil den etniske dimensjonen være tilstedeværende i alle borgerkriger i Afrika. </w:t>
      </w:r>
    </w:p>
    <w:p>
      <w:pPr>
        <w:pStyle w:val="Normal"/>
        <w:spacing w:lineRule="auto" w:line="360"/>
        <w:rPr>
          <w:rFonts w:cs="Times New Roman"/>
          <w:color w:val="000000"/>
          <w:szCs w:val="24"/>
          <w:shd w:fill="FFFFFF" w:val="clear"/>
        </w:rPr>
      </w:pPr>
      <w:r>
        <w:rPr>
          <w:rFonts w:cs="Times New Roman"/>
          <w:color w:val="000000"/>
          <w:szCs w:val="24"/>
          <w:shd w:fill="FFFFFF" w:val="clear"/>
        </w:rPr>
      </w:r>
    </w:p>
    <w:p>
      <w:pPr>
        <w:pStyle w:val="Heading3"/>
        <w:numPr>
          <w:ilvl w:val="2"/>
          <w:numId w:val="4"/>
        </w:numPr>
        <w:spacing w:lineRule="auto" w:line="360"/>
        <w:rPr/>
      </w:pPr>
      <w:bookmarkStart w:id="49" w:name="_Toc71923019"/>
      <w:bookmarkStart w:id="50" w:name="_Toc72502735"/>
      <w:r>
        <w:rPr/>
        <w:t>Maktdelingens påvirkning på utsatte samfunnsgrupper</w:t>
      </w:r>
      <w:bookmarkEnd w:id="49"/>
      <w:bookmarkEnd w:id="50"/>
    </w:p>
    <w:p>
      <w:pPr>
        <w:pStyle w:val="Normal"/>
        <w:spacing w:lineRule="auto" w:line="360"/>
        <w:rPr/>
      </w:pPr>
      <w:r>
        <w:rPr>
          <w:rFonts w:cs="Times New Roman"/>
          <w:color w:val="000000"/>
          <w:szCs w:val="24"/>
        </w:rPr>
        <w:t xml:space="preserve">Til tross for at en ny regjering, eller den samme regjeringen, har ‘legitimert’ sin posisjon som følge av en fredsavtale, betyr ikke dette nødvendigvis at de har tjent borgernes tillit. Den politiske autoriteten er nødt til å reetablere sin posisjon som statens eneste styringsmakt (Wong, 2016; </w:t>
      </w:r>
      <w:r>
        <w:rPr>
          <w:rFonts w:cs="Times New Roman"/>
          <w:color w:val="000000"/>
          <w:szCs w:val="24"/>
          <w:shd w:fill="FFFFFF" w:val="clear"/>
        </w:rPr>
        <w:t>Bakke, Linke, O'Loughlin &amp; Toal, 2018). Dyrstad et al. (2021) hevder at borgernes syn på fredsavtalen og maktdeling videreføres og former tilliten de har til den nye autoriteten. Som nevnt vil dette også ha betydning for statens legitimering i perioden som følger. Borgerkrig kan ses på som et brudd på samfunnskontrakten fra myndighetenes side, og ved å godta en fredsavtale avgir borgerne suverenitet mot retten til å bli beskyttet (Azam &amp; Mesnard, 2003; Autesserre, 2009). For at staten skal klare å bygge seg opp etter en borgerkrig, må den sosiale kontrakten på sikt bli gjenopprettet, og sjansene for suksess øker dersom borgerne er tilfredse med situasjonen i etterkant av borgerkrigen (Addison &amp; Murshed, 2001). De påfølgende delkapitlene vil ta for seg hvordan maktdeling påvirker ulike samfunnsgrupper.</w:t>
      </w:r>
    </w:p>
    <w:p>
      <w:pPr>
        <w:pStyle w:val="Heading3"/>
        <w:numPr>
          <w:ilvl w:val="2"/>
          <w:numId w:val="4"/>
        </w:numPr>
        <w:spacing w:lineRule="auto" w:line="360"/>
        <w:jc w:val="both"/>
        <w:rPr/>
      </w:pPr>
      <w:bookmarkStart w:id="51" w:name="_Toc71923020"/>
      <w:bookmarkStart w:id="52" w:name="_Toc72502736"/>
      <w:r>
        <w:rPr/>
        <w:t>Etniske grupper</w:t>
      </w:r>
      <w:bookmarkEnd w:id="51"/>
      <w:bookmarkEnd w:id="52"/>
    </w:p>
    <w:p>
      <w:pPr>
        <w:pStyle w:val="Normal"/>
        <w:spacing w:lineRule="auto" w:line="360"/>
        <w:rPr/>
      </w:pPr>
      <w:r>
        <w:rPr>
          <w:rFonts w:cs="Times New Roman"/>
          <w:szCs w:val="24"/>
          <w:shd w:fill="FFFFFF" w:val="clear"/>
        </w:rPr>
        <w:t xml:space="preserve">Demokratisk utvikling er krevende i land med sterkt skille mellom etnisitet, religion, språk eller andre tilhørighetsskiller. Disse landene vil ofte ha etniske partier og oppleve etnisk stemmegivning. En naturlig konsekvens av dette er at den etniske majoriteten vil ha flest stemmer, og «deres» parti vil dermed ha den største makten. I etnisk polariserte samfunn vil derfor den etniske majoriteten dominere minoriteten (Horowitz, 2014). </w:t>
      </w:r>
      <w:r>
        <w:rPr>
          <w:color w:val="000000"/>
        </w:rPr>
        <w:t xml:space="preserve">For enkelhetsskyld kan vi, i tråd med tidligere studier, se på et post-konfliktsamfunn som bestående av to grupper: </w:t>
      </w:r>
      <w:r>
        <w:rPr>
          <w:rFonts w:cs="Times New Roman"/>
          <w:color w:val="000000"/>
          <w:szCs w:val="24"/>
        </w:rPr>
        <w:t>en politisk dominant etnisk majoritet, og en opprørsk etnisk minoritet. Dersom det skjer en ny tildeling av makt, vil den etniske minoriteten som regel styrke sin posisjon som følge av fredsavtalen, og dermed vinne relativ makt</w:t>
      </w:r>
      <w:r>
        <w:rPr>
          <w:sz w:val="22"/>
          <w:szCs w:val="20"/>
          <w:shd w:fill="FFFFFF" w:val="clear"/>
        </w:rPr>
        <w:t xml:space="preserve"> </w:t>
      </w:r>
      <w:r>
        <w:rPr>
          <w:rFonts w:cs="Times New Roman"/>
          <w:color w:val="000000"/>
          <w:szCs w:val="24"/>
        </w:rPr>
        <w:t>(Dyrstad, Buhaug, Ringdal, Simkus &amp; Listhaug, 2011; Svensson, 2007)</w:t>
      </w:r>
      <w:r>
        <w:rPr>
          <w:rStyle w:val="FootnoteAnchor"/>
          <w:rFonts w:cs="Times New Roman"/>
          <w:color w:val="000000"/>
          <w:szCs w:val="24"/>
        </w:rPr>
        <w:footnoteReference w:id="13"/>
      </w:r>
      <w:r>
        <w:rPr>
          <w:rFonts w:cs="Times New Roman"/>
          <w:color w:val="000000"/>
          <w:szCs w:val="24"/>
        </w:rPr>
        <w:t>.</w:t>
      </w:r>
      <w:r>
        <w:rPr>
          <w:rFonts w:cs="Times New Roman"/>
          <w:szCs w:val="24"/>
          <w:shd w:fill="FFFFFF" w:val="clear"/>
        </w:rPr>
        <w:t xml:space="preserve"> </w:t>
      </w:r>
      <w:r>
        <w:rPr>
          <w:rFonts w:cs="Times New Roman"/>
          <w:szCs w:val="24"/>
        </w:rPr>
        <w:t xml:space="preserve">En generell antagelse om maktdeling er at den politiske autoriteten skal jobbe mot å representere alle etniske grupper – ikke ekskludere eller overrepresentere. Bieber (2005) argumenterer for at når det kommer til de minste minoritetsgruppene, bør overrepresentering og positiv diskriminering foretrekkes. Konsekvensen av det motsatte vil være at noen faller helt utenfor - </w:t>
      </w:r>
      <w:r>
        <w:rPr>
          <w:rFonts w:cs="Times New Roman"/>
          <w:color w:val="000000"/>
          <w:szCs w:val="24"/>
        </w:rPr>
        <w:t>eksempelvis i Bosnia hvor en rekke små minoriteter ikke har noen til å tale deres sak, og ikke har naturlig tilhørighet til noen partier.</w:t>
      </w:r>
    </w:p>
    <w:p>
      <w:pPr>
        <w:pStyle w:val="Normal"/>
        <w:spacing w:lineRule="auto" w:line="360"/>
        <w:rPr>
          <w:rFonts w:cs="Times New Roman"/>
          <w:color w:val="000000"/>
          <w:szCs w:val="24"/>
        </w:rPr>
      </w:pPr>
      <w:r>
        <w:rPr>
          <w:rFonts w:cs="Times New Roman"/>
          <w:color w:val="000000"/>
          <w:szCs w:val="24"/>
        </w:rPr>
        <w:t>Dayton-avtalen ga en slutt på volden i Bosnia-Hercegovina, men den sementerte også de etniske motsetningene som følge av postkonflikt-politikken (McMahon &amp; Western, 2009). Sandovici &amp; Listhaug (2010) hevder at dette førte til en fortsettelse av etnisk stemmegivning i Bosnia-Hercegovina. Fredsavtaler som sementerer etniske motsetninger kan være problematiske ettersom etnisitet er et konsept med uklare skillelinjer. I neste delkapittel vil jeg begrunne dette nærmere.</w:t>
      </w:r>
    </w:p>
    <w:p>
      <w:pPr>
        <w:pStyle w:val="Normal"/>
        <w:spacing w:lineRule="auto" w:line="360"/>
        <w:rPr>
          <w:rFonts w:cs="Times New Roman"/>
          <w:color w:val="000000"/>
          <w:szCs w:val="24"/>
        </w:rPr>
      </w:pPr>
      <w:r>
        <w:rPr>
          <w:rFonts w:cs="Times New Roman"/>
          <w:color w:val="000000"/>
          <w:szCs w:val="24"/>
        </w:rPr>
      </w:r>
    </w:p>
    <w:p>
      <w:pPr>
        <w:pStyle w:val="Heading3"/>
        <w:numPr>
          <w:ilvl w:val="2"/>
          <w:numId w:val="4"/>
        </w:numPr>
        <w:spacing w:lineRule="auto" w:line="360"/>
        <w:jc w:val="both"/>
        <w:rPr/>
      </w:pPr>
      <w:bookmarkStart w:id="53" w:name="_Toc71923021"/>
      <w:bookmarkStart w:id="54" w:name="_Toc72502737"/>
      <w:r>
        <w:rPr/>
        <w:t>Etnisitet som sosialt konstruert konsept</w:t>
      </w:r>
      <w:bookmarkEnd w:id="53"/>
      <w:bookmarkEnd w:id="54"/>
    </w:p>
    <w:p>
      <w:pPr>
        <w:pStyle w:val="Normal"/>
        <w:spacing w:lineRule="auto" w:line="360"/>
        <w:rPr/>
      </w:pPr>
      <w:r>
        <w:rPr>
          <w:rFonts w:cs="Times New Roman"/>
          <w:szCs w:val="24"/>
        </w:rPr>
        <w:t>Å forsøke å definere rammer for etnisitet og etnisk identitet er ikke et problem begrenset til statsvitenskapen, og Donald L. Horowitz er blant de som har etterlyst tydeligere rammer for å studere fenomenet</w:t>
      </w:r>
      <w:r>
        <w:rPr>
          <w:rStyle w:val="FootnoteAnchor"/>
          <w:rFonts w:cs="Times New Roman"/>
          <w:szCs w:val="24"/>
        </w:rPr>
        <w:footnoteReference w:id="14"/>
      </w:r>
      <w:r>
        <w:rPr>
          <w:rFonts w:cs="Times New Roman"/>
          <w:szCs w:val="24"/>
        </w:rPr>
        <w:t xml:space="preserve">. Han ser på etnisitet som et paraplykonsept som omfatter grupper differensiert ved farge, språk og religion, og som kan omtales som stammer, raser, nasjonaliteter og kaster (Horowitz, 1985, s. 53). Denne klassifiseringen har blitt benyttet av flere i faglitteraturen (se f.eks. </w:t>
      </w:r>
      <w:r>
        <w:rPr>
          <w:rFonts w:cs="Times New Roman"/>
          <w:color w:val="000000"/>
          <w:szCs w:val="24"/>
        </w:rPr>
        <w:t>Varshney 2002; Chandra 2004; Htun 2004; Wilkinson 2004; Posner 2005</w:t>
      </w:r>
      <w:r>
        <w:rPr>
          <w:rFonts w:cs="Times New Roman"/>
          <w:szCs w:val="24"/>
        </w:rPr>
        <w:t xml:space="preserve">). Chandra (2006) ser imidlertid på etnisitet som opphav, nærmere forklart at medlemskap i en gitt etnisk gruppe er bestemt av attributter som er assosiert med individets opphav. Ved å ta i bruk denne definisjonen hevder Chandra at etnisitet ikke har noen betydning, og aldri har hatt en betydning, i å forklare utfall i komparativ statsvitenskap – inkludert vold og demokratisk stabilitet. Det grunner i at attributter som stammer fra opphav kan ses på som sosialt konstruerte. Eksempelvis vil hudfarge defineres annerledes i Brasil enn i USA. Å se på etnisitet som et sosialt konstruert konsept er ikke nytenkning, og har vært en del av den sosiologiske og sosialantropologiske diskusjonen over flere år (se f.eks. Chaturedi &amp; McKeigue, 1994; McKenney &amp; Bennett, 1994; Senior &amp; Bhopal, 1994; Williams, Lavizzo-Morey &amp; Warren, 1994; Beutler et al., 1996; Ford &amp; Kelly, 2005). </w:t>
      </w:r>
      <w:r>
        <w:rPr/>
        <w:t>Generelt sett kan institusjoner behandle etnisk konflikt ved å enten anerkjenne (konsosialisme) eller benekte (integralisme) etnisitet i politikken (Basedau, working paper</w:t>
      </w:r>
      <w:r>
        <w:rPr>
          <w:rStyle w:val="FootnoteAnchor"/>
        </w:rPr>
        <w:footnoteReference w:id="15"/>
      </w:r>
      <w:r>
        <w:rPr/>
        <w:t xml:space="preserve">), og </w:t>
      </w:r>
      <w:r>
        <w:rPr>
          <w:rFonts w:cs="Times New Roman"/>
          <w:szCs w:val="24"/>
        </w:rPr>
        <w:t>ved å anta at etnisitet er sosial konstruert, vil en maktdelingsavtale grunnet i etnisitet være problematisk. De politiske institusjonene vil da sementere etniske motsetninger, som igjen kan bidra til å legitimere det polariserte samfunnet, og gjøre det vanskeligere å gå videre gjennom å bygge en felles nasjonal identitet. Eksempelvis har Rwanda gått langt i å bytte ut hutu/tutsi-identiteter med en felles rwandisk identitet (Buckley-Zistel, 2006). Burundi, som i likhet med Rwanda har maktdeling, har ikke ført den samme politikken. Burundis utvikling har lenge blitt sett på som mer vellykket enn Rwandas (Lemarchand, 2001), før uroen blusset opp igjen i Burundi i 2015</w:t>
      </w:r>
      <w:r>
        <w:rPr>
          <w:rStyle w:val="FootnoteAnchor"/>
          <w:rFonts w:cs="Times New Roman"/>
          <w:szCs w:val="24"/>
        </w:rPr>
        <w:footnoteReference w:id="16"/>
      </w:r>
      <w:r>
        <w:rPr>
          <w:rFonts w:cs="Times New Roman"/>
          <w:szCs w:val="24"/>
        </w:rPr>
        <w:t>.</w:t>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3"/>
        <w:numPr>
          <w:ilvl w:val="2"/>
          <w:numId w:val="4"/>
        </w:numPr>
        <w:spacing w:lineRule="auto" w:line="360"/>
        <w:jc w:val="both"/>
        <w:rPr/>
      </w:pPr>
      <w:bookmarkStart w:id="55" w:name="_Toc71923022"/>
      <w:bookmarkStart w:id="56" w:name="_Toc72502738"/>
      <w:r>
        <w:rPr/>
        <w:t>Kvinner som underrepresentert gruppe</w:t>
      </w:r>
      <w:bookmarkEnd w:id="55"/>
      <w:bookmarkEnd w:id="56"/>
    </w:p>
    <w:p>
      <w:pPr>
        <w:pStyle w:val="Normal"/>
        <w:spacing w:lineRule="auto" w:line="360"/>
        <w:rPr/>
      </w:pPr>
      <w:r>
        <w:rPr>
          <w:rFonts w:cs="Times New Roman"/>
          <w:szCs w:val="24"/>
          <w:shd w:fill="FFFFFF" w:val="clear"/>
        </w:rPr>
        <w:t xml:space="preserve">Konsosiering </w:t>
      </w:r>
      <w:r>
        <w:rPr>
          <w:rFonts w:cs="Times New Roman"/>
          <w:color w:val="000000"/>
          <w:szCs w:val="24"/>
          <w:shd w:fill="FFFFFF" w:val="clear"/>
        </w:rPr>
        <w:t xml:space="preserve">gir en politisk representasjon til tidligere ekskluderte grupper. Imidlertid, som Kennedy, Pierson &amp; Thomson (2016) påpeker, vil ikke maktdeling styrke den politiske representasjonen for grupper som ikke faller under konsosierings-policyen. Herunder finner vi kjønnsforskjeller. Kennedy et al (2016/idib?) argumenterer for at kvinner er en underrepresentert gruppe som det ikke tas hensyn til, og omtaler konsosialisme som en </w:t>
      </w:r>
      <w:r>
        <w:rPr>
          <w:rFonts w:cs="Times New Roman"/>
          <w:i/>
          <w:iCs/>
          <w:color w:val="000000"/>
          <w:szCs w:val="24"/>
          <w:shd w:fill="FFFFFF" w:val="clear"/>
        </w:rPr>
        <w:t>kjønnsblind</w:t>
      </w:r>
      <w:r>
        <w:rPr>
          <w:rFonts w:cs="Times New Roman"/>
          <w:color w:val="000000"/>
          <w:szCs w:val="24"/>
          <w:shd w:fill="FFFFFF" w:val="clear"/>
        </w:rPr>
        <w:t xml:space="preserve"> teori. Den negative effekten av konsosiering på kvinner har også blitt omtalt av andre (Meintjes, Turshen &amp; Pillay, 2001; Aoláin, 2006). En grunn til at kvinners posisjon i lys av maktdeling er et viktig aspekt, ligger i at kjønnsroller og patriarkatet av enkelte ses på som en hovedgrunn til krig (Reardon, 1996, s. 10). Enloe (2005) legger til at den grunnleggende årsaken til konflikt, og nøkkelen til forsoning, ligger i de samfunnsmessige konstruksjonene av menns privilegier. Andre toner ned viktigheten av kjønnsroller i et konfliktperspektiv, og ser på likestilling som et tillegg til ordinære nasjonale aktiviteter (Enloe, 1989, s. 62; Anderlini, 2007, s. 205).</w:t>
      </w:r>
    </w:p>
    <w:p>
      <w:pPr>
        <w:pStyle w:val="Normal"/>
        <w:spacing w:lineRule="auto" w:line="360"/>
        <w:rPr/>
      </w:pPr>
      <w:r>
        <w:rPr>
          <w:rFonts w:cs="Times New Roman"/>
          <w:color w:val="000000"/>
          <w:szCs w:val="24"/>
          <w:shd w:fill="FFFFFF" w:val="clear"/>
        </w:rPr>
        <w:t>Stater som er karakterisert av kjønnsdiskriminering har i mye større grad normer for vold som gjør intern konflikt mer sannsynlig (Melander, 2005; Caprioli, 2005). Galtung (1990) argumenterer for at konservative forestillinger om kjønnshierarki fremmer militarisme og får vold til å fremstå som et naturlig resultat av samfunnsdelinger. Machanda (2001, s. 99) viser til at konflikt kan ha en liberaliserende effekt for kvinner, da post-konfliktperioder ofte åpner for nye sosiale, økonomiske og politiske realiteter som potensielt kan bryte ned etablerte strukturer og hierarkier. Meintjes et al. (2001) påpeker på en annen side av kvinners bidrag i kjølvannet av en konflikt vanligvis er marginalisert. Kennedy et al. (2016) legger til at denne marginaliseringen blir ledsaget av en reetablering av menns makt, og deres ‘tradisjonelle’ posisjonering i lederroller i de politiske institusjonene og på lokale nivå</w:t>
      </w:r>
      <w:r>
        <w:rPr>
          <w:rStyle w:val="FootnoteAnchor"/>
          <w:rFonts w:cs="Times New Roman"/>
          <w:color w:val="000000"/>
          <w:szCs w:val="24"/>
          <w:shd w:fill="FFFFFF" w:val="clear"/>
        </w:rPr>
        <w:footnoteReference w:id="17"/>
      </w:r>
      <w:r>
        <w:rPr>
          <w:rFonts w:cs="Times New Roman"/>
          <w:color w:val="000000"/>
          <w:szCs w:val="24"/>
          <w:shd w:fill="FFFFFF" w:val="clear"/>
        </w:rPr>
        <w:t xml:space="preserve">. </w:t>
      </w:r>
    </w:p>
    <w:p>
      <w:pPr>
        <w:pStyle w:val="Normal"/>
        <w:spacing w:lineRule="auto" w:line="360"/>
        <w:rPr/>
      </w:pPr>
      <w:r>
        <w:rPr>
          <w:rFonts w:cs="Times New Roman"/>
          <w:color w:val="000000"/>
          <w:szCs w:val="24"/>
          <w:shd w:fill="FFFFFF" w:val="clear"/>
        </w:rPr>
        <w:t>Som nevnt i delkapittel 4.4 viser litteraturen at konfliktløsning legger grunnlag for kvinners politiske rettigheter i større grad enn tidligere, samt at konflikt avsluttet ved fredsavtale styrker kvinners politiske rettigheter mer enn andre former for konfliktterminering.</w:t>
      </w:r>
      <w:r>
        <w:rPr>
          <w:color w:val="FF0000"/>
        </w:rPr>
        <w:t xml:space="preserve"> </w:t>
      </w:r>
      <w:r>
        <w:rPr>
          <w:rFonts w:cs="Times New Roman"/>
          <w:color w:val="000000"/>
          <w:szCs w:val="24"/>
          <w:shd w:fill="FFFFFF" w:val="clear"/>
        </w:rPr>
        <w:t>Det gir gjenklang hos Tripp (2015) som påpeker at i</w:t>
      </w:r>
      <w:r>
        <w:rPr>
          <w:color w:val="000000"/>
        </w:rPr>
        <w:t xml:space="preserve"> tiden etter år 2000 har global oppmerksomhet i større grad blitt rettet mot kvinners politiske rettigheter i postkonflikt-samfunn. Eksempelvis har krigende parter som er involvert i fredsforhandlinger begynt å møte krav fra lokale kvinners organisasjoner og internasjonale aktører om å inkludere kvinners interesser i fredsavtalene (Anderson, 2010; Bell &amp; O’Rourke, 2010; Hayes &amp; McAllister, 2012). </w:t>
      </w:r>
    </w:p>
    <w:p>
      <w:pPr>
        <w:pStyle w:val="Normal"/>
        <w:jc w:val="left"/>
        <w:rPr>
          <w:color w:val="000000"/>
        </w:rPr>
      </w:pPr>
      <w:r>
        <w:rPr>
          <w:color w:val="000000"/>
        </w:rPr>
      </w:r>
      <w:r>
        <w:br w:type="page"/>
      </w:r>
    </w:p>
    <w:p>
      <w:pPr>
        <w:pStyle w:val="Heading1"/>
        <w:spacing w:lineRule="auto" w:line="360"/>
        <w:rPr>
          <w:shd w:fill="FFFFFF" w:val="clear"/>
        </w:rPr>
      </w:pPr>
      <w:bookmarkStart w:id="57" w:name="_Toc72502739"/>
      <w:bookmarkStart w:id="58" w:name="_Toc71923023"/>
      <w:r>
        <w:rPr>
          <w:shd w:fill="FFFFFF" w:val="clear"/>
        </w:rPr>
        <w:t>Kapittel 6. Hvordan kan maktdeling tenkes å påvirke politisk tillit?</w:t>
      </w:r>
      <w:bookmarkEnd w:id="57"/>
      <w:bookmarkEnd w:id="58"/>
    </w:p>
    <w:p>
      <w:pPr>
        <w:pStyle w:val="Normal"/>
        <w:spacing w:lineRule="auto" w:line="360"/>
        <w:rPr/>
      </w:pPr>
      <w:r>
        <w:rPr/>
        <w:t>I dette kapittelet vil oppgavens teoretiske argument presenteres med bakgrunn i de tidligere kapitlene. Mekanismene som foreslås vil aggregeres til seks hypoteser som vil bli testet i kapittel 9. Heretter vil postkonflikt-land omtales som pk-land.</w:t>
      </w:r>
    </w:p>
    <w:p>
      <w:pPr>
        <w:pStyle w:val="Normal"/>
        <w:spacing w:lineRule="auto" w:line="360"/>
        <w:rPr/>
      </w:pPr>
      <w:r>
        <w:rPr/>
      </w:r>
    </w:p>
    <w:p>
      <w:pPr>
        <w:pStyle w:val="Heading2"/>
        <w:spacing w:lineRule="auto" w:line="360"/>
        <w:rPr/>
      </w:pPr>
      <w:bookmarkStart w:id="59" w:name="_Toc72502740"/>
      <w:bookmarkStart w:id="60" w:name="_Toc71923024"/>
      <w:r>
        <w:rPr/>
        <w:t>6.1.</w:t>
        <w:tab/>
        <w:t>Generell politisk tillit i maktdelingsland</w:t>
      </w:r>
      <w:bookmarkEnd w:id="59"/>
      <w:bookmarkEnd w:id="60"/>
    </w:p>
    <w:p>
      <w:pPr>
        <w:pStyle w:val="Normal"/>
        <w:spacing w:lineRule="auto" w:line="360"/>
        <w:rPr>
          <w:color w:val="000000"/>
        </w:rPr>
      </w:pPr>
      <w:r>
        <w:rPr>
          <w:color w:val="000000"/>
        </w:rPr>
        <w:t>Denne oppgaven har som mål å avdekke sammenhenger mellom utsatte samfunnsgrupper og politisk tillit i lys av politisk maktdeling. Imidlertid vil det også være interessant å undersøke den generelle politiske tilliten i maktdelingsland. Som tidligere forskning har vist, er maktdelingsland bedre rustet til å bevare fred enn pk-land som ikke har maktdeling. Da oppgavens teoretiske rammeverk har fastslått viktigheten av politisk tillit for regimestabilitet og utvikling, er min hypotese at økt generell politisk tillit som følge av maktdeling fører til bedre forutsetninger for stabilitet. Da denne oppgaven ikke tar hensyn til statlig utvikling, vil jeg kun teste den generelle politiske tilliten i maktdelingsland. Hypotesen blir derfor følgende:</w:t>
      </w:r>
    </w:p>
    <w:p>
      <w:pPr>
        <w:pStyle w:val="Normal"/>
        <w:spacing w:lineRule="auto" w:line="360"/>
        <w:rPr>
          <w:i/>
          <w:i/>
          <w:iCs/>
        </w:rPr>
      </w:pPr>
      <w:r>
        <w:rPr>
          <w:i/>
          <w:iCs/>
        </w:rPr>
        <w:t>H1: Den generelle politiske tilliten er høyere i pk-land med politisk maktdeling sammenlignet med pk-land uten politisk maktdeling.</w:t>
      </w:r>
    </w:p>
    <w:p>
      <w:pPr>
        <w:pStyle w:val="Normal"/>
        <w:spacing w:lineRule="auto" w:line="360"/>
        <w:rPr>
          <w:i/>
          <w:i/>
          <w:iCs/>
        </w:rPr>
      </w:pPr>
      <w:r>
        <w:rPr>
          <w:i/>
          <w:iCs/>
        </w:rPr>
      </w:r>
    </w:p>
    <w:p>
      <w:pPr>
        <w:pStyle w:val="Heading2"/>
        <w:spacing w:lineRule="auto" w:line="360"/>
        <w:rPr/>
      </w:pPr>
      <w:bookmarkStart w:id="61" w:name="_Toc72502741"/>
      <w:bookmarkStart w:id="62" w:name="_Toc71923025"/>
      <w:r>
        <w:rPr/>
        <w:t>6.2.</w:t>
        <w:tab/>
        <w:t>Maktdeling og undertrykte grupper</w:t>
      </w:r>
      <w:bookmarkEnd w:id="61"/>
      <w:bookmarkEnd w:id="62"/>
    </w:p>
    <w:p>
      <w:pPr>
        <w:pStyle w:val="Normal"/>
        <w:spacing w:lineRule="auto" w:line="360"/>
        <w:rPr/>
      </w:pPr>
      <w:r>
        <w:rPr/>
        <w:t xml:space="preserve">I tråd med argumentasjonen til Dyrstad et al. </w:t>
      </w:r>
      <w:r>
        <w:rPr>
          <w:color w:val="000000"/>
        </w:rPr>
        <w:t xml:space="preserve">(2021) </w:t>
      </w:r>
      <w:r>
        <w:rPr/>
        <w:t>og Svensson (2007) vil den etniske minoriteten øke sin relative makt etter en maktdelingsavtale. I afrikanske land avhenger politisk tillit i større grad av hvorvidt staten er i stand til å tilby grunnleggende politiske rettigheter, i motsetning til i vestlige land hvor landets økonomiske tilstand er en viktigere prediktor. Jeg har også vist til at nye politiske autoriteter i afrikanske land evalueres basert på politiske goder som allokeres, selv om økonomien forverres som en konsekvens av det. Der tidligere forskere har skilt mellom etniske minoriteter og majoriteter, skiller jeg mellom politisk undertrykte og politisk dominante etniske grupper. Ved å gjøre tydeliggjøre dette skillet, argumenterer jeg for at sammenhengen mellom maktdeling og politisk tillit blant utsatte grupper vil kunne testes med større nøyaktighet. I neste avsnitt vil jeg argumentere for hvorfor sammenhengen mellom maktdeling og politisk tillit blant utsatte grupper vil være spesielt fremtredende blant afrikanske land.</w:t>
      </w:r>
    </w:p>
    <w:p>
      <w:pPr>
        <w:pStyle w:val="Normal"/>
        <w:spacing w:lineRule="auto" w:line="360"/>
        <w:rPr/>
      </w:pPr>
      <w:r>
        <w:rPr/>
        <w:t>Teorien som er presentert viser at politisk tillit er et grunnlag for legitimering. På det afrikanske kontinentet spesielt, vil nivået av politisk tillit reflektere samfunnets totalvurdering av legitimitet som en følge av hvor godt institusjonene fungerer opp mot forventningene. Det betyr at politiske holdninger i Afrika vil være mer dynamiske enn andre steder i verden. Som det er referert til, ligger legitimitet for staten i kjernen av et godt stat-samfunn-forhold. Når vi antar at politisk tillit er en tillært holdning over flere år, og det afrikanske kontinentet har lidd enormt under vanskelige og dysfunksjonelle stat-samfunn-forhold over flere år, må vi også anta at den politiske tilliten i utgangspunktet er lav blant de mest utsatte gruppene. Da er det også grunn til å tro at</w:t>
      </w:r>
      <w:r>
        <w:rPr>
          <w:rFonts w:cs="Times New Roman"/>
          <w:color w:val="000000"/>
          <w:szCs w:val="24"/>
        </w:rPr>
        <w:t xml:space="preserve"> en regimeendring i form av politisk maktdeling vil ha en betydelig effekt på politisk tillit blant borgere i afrikanske land. </w:t>
      </w:r>
      <w:r>
        <w:rPr>
          <w:color w:val="000000"/>
        </w:rPr>
        <w:t>Regimeustabilitet, gjentatte konflikter, utenlandske intervensjoner og ekstrem fattigdom har preget livene til generasjoner av afrikanere, og vil påvirke politisk tillit – spesielt hos de gruppene som har vært systematisk undertrykket: politisk undertrykte etniske grupper og kvinner.</w:t>
      </w:r>
      <w:r>
        <w:rPr>
          <w:color w:val="FF0000"/>
        </w:rPr>
        <w:t xml:space="preserve"> </w:t>
      </w:r>
    </w:p>
    <w:p>
      <w:pPr>
        <w:pStyle w:val="Normal"/>
        <w:spacing w:lineRule="auto" w:line="360"/>
        <w:rPr>
          <w:color w:val="000000"/>
        </w:rPr>
      </w:pPr>
      <w:r>
        <w:rPr>
          <w:color w:val="000000"/>
        </w:rPr>
        <w:t xml:space="preserve">I tillegg til dette viser litteraturen at kvinners rettigheter styrkes dersom en konflikt avsluttes ved fredsavtale, i motsetning til andre former for konfliktterminering. Ut ifra funnene fra delkapittel 4.4. og 6.4.3. er det derfor nærliggende å tro at kvinner har høyere politisk tillit i pk-land med maktdeling, enn i pk-land uten maktdeling. </w:t>
      </w:r>
    </w:p>
    <w:p>
      <w:pPr>
        <w:pStyle w:val="Normal"/>
        <w:spacing w:lineRule="auto" w:line="360"/>
        <w:rPr>
          <w:color w:val="000000"/>
        </w:rPr>
      </w:pPr>
      <w:r>
        <w:rPr>
          <w:color w:val="000000"/>
        </w:rPr>
        <w:t>På bakgrunn av dette forventes det at både politisk undertrykte grupper og kvinner vil ha høyere politisk tillit i maktdelingsland. Dette gir hypotese 2a og 2b:</w:t>
      </w:r>
    </w:p>
    <w:p>
      <w:pPr>
        <w:pStyle w:val="Normal"/>
        <w:spacing w:lineRule="auto" w:line="360"/>
        <w:rPr/>
      </w:pPr>
      <w:commentRangeStart w:id="4"/>
      <w:r>
        <w:rPr>
          <w:i/>
          <w:iCs/>
        </w:rPr>
        <w:t>H2a: Politisk undertrykte etniske grupper har høyere politisk tillit i maktdelingsland sammenlignet med undertrykte grupper i land uten maktdeling.</w:t>
      </w:r>
    </w:p>
    <w:p>
      <w:pPr>
        <w:pStyle w:val="Normal"/>
        <w:spacing w:lineRule="auto" w:line="360"/>
        <w:rPr/>
      </w:pPr>
      <w:r>
        <w:rPr>
          <w:i/>
          <w:iCs/>
        </w:rPr>
        <w:t>H2b: Kvinner har høyere politisk tillit i maktdelingsland sammenlignet med kvinner i land uten maktdeling.</w:t>
      </w:r>
      <w:commentRangeEnd w:id="4"/>
      <w:r>
        <w:commentReference w:id="4"/>
      </w:r>
      <w:r>
        <w:rPr/>
      </w:r>
    </w:p>
    <w:p>
      <w:pPr>
        <w:pStyle w:val="Normal"/>
        <w:spacing w:lineRule="auto" w:line="360"/>
        <w:rPr>
          <w:i/>
          <w:i/>
          <w:iCs/>
        </w:rPr>
      </w:pPr>
      <w:r>
        <w:rPr>
          <w:i/>
          <w:iCs/>
        </w:rPr>
      </w:r>
    </w:p>
    <w:p>
      <w:pPr>
        <w:pStyle w:val="Heading2"/>
        <w:spacing w:lineRule="auto" w:line="360"/>
        <w:rPr/>
      </w:pPr>
      <w:bookmarkStart w:id="63" w:name="_Toc72502742"/>
      <w:bookmarkStart w:id="64" w:name="_Toc71923026"/>
      <w:r>
        <w:rPr/>
        <w:t>6.3.</w:t>
        <w:tab/>
        <w:t>Politisk tillit i land med closed-list PR</w:t>
      </w:r>
      <w:bookmarkEnd w:id="63"/>
      <w:bookmarkEnd w:id="64"/>
    </w:p>
    <w:p>
      <w:pPr>
        <w:pStyle w:val="Normal"/>
        <w:spacing w:lineRule="auto" w:line="360"/>
        <w:rPr/>
      </w:pPr>
      <w:r>
        <w:rPr>
          <w:color w:val="000000"/>
        </w:rPr>
        <w:t xml:space="preserve">Da det afrikanske kontinentet som helhet er en mer ekstrem case av etnisk fragmentering enn andre verdensregioner, er det nærliggende å tro at også forekomsten av etnisk stemmegivning vil være høyere i Afrika. Da både closed- og open-list PR begrenser velgerne til ett parti, mener jeg at Kunicova &amp; Rose-Ackermans (2002) argumentasjon ikke er relevant for postkonflikt-land med etnisk fragmentering. Politikere som representerer den politisk dominante etniske gruppen vil ikke være nødt til å svare til den politisk undertrykte gruppen, da disse vil stemme på andre partier. Fordelen med open-list PR vil da falle bort. I lys av dette, argumentene for økt korrupsjon ved open-list PR og funnene som viser til økt stabilitet ved closed-list PR, forventer jeg at postkonflikt-land med closed-list PR har høyere politisk tillit blant politisk undertrykte etniske grupper og kvinner enn postkonflikt-land med open-list PR for politisk maktdeling. Ut ifra funnene som er presentert i tabell 1, er det også nærliggende å tro at closed-list PR fører med seg høyere politisk tillit blant de utsatte samfunnsgruppene enn andre former for politisk maktdeling. </w:t>
      </w:r>
    </w:p>
    <w:p>
      <w:pPr>
        <w:pStyle w:val="Normal"/>
        <w:spacing w:lineRule="auto" w:line="360"/>
        <w:rPr/>
      </w:pPr>
      <w:r>
        <w:rPr/>
        <w:t>Oppsummert styrker closed-list PR stabilitet og motvirker korrupsjon, noe som styrker den politiske tilliten hos en historisk undertrykt samfunnsgruppe: kvinner. Samtidig foreslår jeg en kausal forklaring på hvorfor kvinners politiske tillit blir styrket av en mer direkte link fra closed-list PR som institusjonsform. Vi har sett at kvinners rettigheter har blitt styrket i kjølvannet av fredsavtaler, da kvinner har mobilisert seg i konfliktperioden. Denne mobiliseringen vil sannsynligvis bedre mulighetene for kvinner til å innta verv i politiske partier. Ved andre institusjonsformer, som open-list PR, har velgere mulighet til å stemme på enkeltpolitikere, og kvinner vil sannsynligvis få færre stemmer. Ved closed-list PR har ikke velgerne denne makten, og kvinners politiske posisjon styrkes proporsjonalt med partiet. Jeg vil også anta at denne effekten er lik for kvinner enten de tilhører en politisk dominant eller undertrykt gruppe. Når kvinner i større grad blir representert i parlamentet, vil den politiske tilliten hos kvinner som samfunnsgruppe styrkes.</w:t>
      </w:r>
    </w:p>
    <w:p>
      <w:pPr>
        <w:pStyle w:val="Normal"/>
        <w:spacing w:lineRule="auto" w:line="360"/>
        <w:rPr/>
      </w:pPr>
      <w:commentRangeStart w:id="5"/>
      <w:r>
        <w:rPr>
          <w:i/>
          <w:iCs/>
        </w:rPr>
        <w:t>Figur 1: Foreslått kausal forklaring av kvinners politiske tillit i closed-list PR-land</w:t>
      </w:r>
      <w:r>
        <w:rPr>
          <w:rStyle w:val="FootnoteAnchor"/>
          <w:i/>
          <w:iCs/>
        </w:rPr>
        <w:footnoteReference w:id="18"/>
      </w:r>
      <w:r>
        <w:rPr/>
        <w:t xml:space="preserve"> </w:t>
      </w:r>
    </w:p>
    <w:p>
      <w:pPr>
        <w:pStyle w:val="Normal"/>
        <w:spacing w:lineRule="auto" w:line="360"/>
        <w:rPr/>
      </w:pPr>
      <w:r>
        <w:rPr/>
        <w:drawing>
          <wp:inline distT="0" distB="0" distL="0" distR="0">
            <wp:extent cx="6200775" cy="1019175"/>
            <wp:effectExtent l="0" t="0" r="0" b="0"/>
            <wp:docPr id="1" name="Bild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36" descr=""/>
                    <pic:cNvPicPr>
                      <a:picLocks noChangeAspect="1" noChangeArrowheads="1"/>
                    </pic:cNvPicPr>
                  </pic:nvPicPr>
                  <pic:blipFill>
                    <a:blip r:embed="rId2"/>
                    <a:stretch>
                      <a:fillRect/>
                    </a:stretch>
                  </pic:blipFill>
                  <pic:spPr bwMode="auto">
                    <a:xfrm>
                      <a:off x="0" y="0"/>
                      <a:ext cx="6200775" cy="1019175"/>
                    </a:xfrm>
                    <a:prstGeom prst="rect">
                      <a:avLst/>
                    </a:prstGeom>
                  </pic:spPr>
                </pic:pic>
              </a:graphicData>
            </a:graphic>
          </wp:inline>
        </w:drawing>
      </w:r>
      <w:commentRangeEnd w:id="5"/>
      <w:r>
        <w:commentReference w:id="5"/>
      </w:r>
      <w:r>
        <w:rPr/>
      </w:r>
    </w:p>
    <w:p>
      <w:pPr>
        <w:pStyle w:val="Normal"/>
        <w:spacing w:lineRule="auto" w:line="360"/>
        <w:rPr>
          <w:color w:val="000000"/>
        </w:rPr>
      </w:pPr>
      <w:r>
        <w:rPr>
          <w:color w:val="000000"/>
        </w:rPr>
        <w:t xml:space="preserve">Som jeg vil komme tilbake til i delkapittel x.x, kan ikke sammenhengen mellom undertrykte grupper og closed-list PR måles grunnet for få observasjoner av closed-list PR-land. Når variabelen for undertrykte ekskluderes fra modellen, vil flere land kunne inkluderes. Derfor vil jeg kun måle generell politisk tillit i closed-list PR-land, og kvinners politiske tillit i closed-list PR-land. </w:t>
      </w:r>
    </w:p>
    <w:p>
      <w:pPr>
        <w:pStyle w:val="Normal"/>
        <w:spacing w:lineRule="auto" w:line="360"/>
        <w:rPr>
          <w:i/>
          <w:i/>
          <w:iCs/>
        </w:rPr>
      </w:pPr>
      <w:r>
        <w:rPr>
          <w:i/>
          <w:iCs/>
        </w:rPr>
        <w:t>H3a: Den generelle politiske tilliten er høyere i land med closed-list PR sammenlignet med land uten closed-list PR.</w:t>
      </w:r>
    </w:p>
    <w:p>
      <w:pPr>
        <w:pStyle w:val="Normal"/>
        <w:spacing w:lineRule="auto" w:line="360"/>
        <w:rPr>
          <w:i/>
          <w:i/>
          <w:iCs/>
        </w:rPr>
      </w:pPr>
      <w:r>
        <w:rPr>
          <w:i/>
          <w:iCs/>
        </w:rPr>
        <w:t>H3b: Kvinner har høyere politisk tillit i land med closed-list PR sammenlignet med kvinner i land uten closed-list PR.</w:t>
      </w:r>
    </w:p>
    <w:p>
      <w:pPr>
        <w:pStyle w:val="Normal"/>
        <w:jc w:val="left"/>
        <w:rPr>
          <w:i/>
          <w:i/>
          <w:iCs/>
        </w:rPr>
      </w:pPr>
      <w:r>
        <w:rPr>
          <w:i/>
          <w:iCs/>
        </w:rPr>
      </w:r>
      <w:r>
        <w:br w:type="page"/>
      </w:r>
    </w:p>
    <w:p>
      <w:pPr>
        <w:pStyle w:val="Heading1"/>
        <w:spacing w:lineRule="auto" w:line="360"/>
        <w:rPr/>
      </w:pPr>
      <w:bookmarkStart w:id="65" w:name="_Toc72502743"/>
      <w:bookmarkStart w:id="66" w:name="_Toc71923027"/>
      <w:r>
        <w:rPr/>
        <w:t>Kapittel 7. Metodisk tilnærming</w:t>
      </w:r>
      <w:bookmarkEnd w:id="65"/>
      <w:bookmarkEnd w:id="66"/>
    </w:p>
    <w:p>
      <w:pPr>
        <w:pStyle w:val="Heading2"/>
        <w:spacing w:lineRule="auto" w:line="360"/>
        <w:rPr/>
      </w:pPr>
      <w:bookmarkStart w:id="67" w:name="_Toc71923028"/>
      <w:bookmarkStart w:id="68" w:name="_Toc72502744"/>
      <w:r>
        <w:rPr/>
        <w:t>7.1.</w:t>
        <w:tab/>
        <w:t>Oppgavens metodiske design</w:t>
      </w:r>
      <w:bookmarkEnd w:id="67"/>
      <w:bookmarkEnd w:id="68"/>
    </w:p>
    <w:p>
      <w:pPr>
        <w:pStyle w:val="Normal"/>
        <w:spacing w:lineRule="auto" w:line="360"/>
        <w:rPr/>
      </w:pPr>
      <w:r>
        <w:rPr>
          <w:rFonts w:cs="Times New Roman"/>
          <w:szCs w:val="24"/>
        </w:rPr>
        <w:t xml:space="preserve">For å undersøke forhold som forklarer variasjon i politisk tillit både på individnivå og land-nivå, benytter jeg en hierarkisk lineær modell (flernivåanalyse) ved </w:t>
      </w:r>
      <w:r>
        <w:rPr>
          <w:rFonts w:cs="Times New Roman"/>
          <w:i/>
          <w:iCs/>
          <w:szCs w:val="24"/>
        </w:rPr>
        <w:t>maximun likelihood</w:t>
      </w:r>
      <w:r>
        <w:rPr>
          <w:rFonts w:cs="Times New Roman"/>
          <w:szCs w:val="24"/>
        </w:rPr>
        <w:t xml:space="preserve">. Den enkleste formen for hierarkisk strukturert data er en </w:t>
      </w:r>
      <w:r>
        <w:rPr>
          <w:rFonts w:cs="Times New Roman"/>
          <w:i/>
          <w:iCs/>
          <w:szCs w:val="24"/>
        </w:rPr>
        <w:t>random intercept-</w:t>
      </w:r>
      <w:r>
        <w:rPr>
          <w:rFonts w:cs="Times New Roman"/>
          <w:szCs w:val="24"/>
        </w:rPr>
        <w:t>modell (</w:t>
      </w:r>
      <w:r>
        <w:rPr>
          <w:rFonts w:cs="Times New Roman"/>
          <w:i/>
          <w:iCs/>
          <w:szCs w:val="24"/>
        </w:rPr>
        <w:t>fixed effect</w:t>
      </w:r>
      <w:r>
        <w:rPr>
          <w:rFonts w:cs="Times New Roman"/>
          <w:szCs w:val="24"/>
        </w:rPr>
        <w:t>), hvor man antar at de uavhengige variablene på individnivå har de samme variansene i alle landene vi inkluderer. Denne modellen forutsetter også at alle residualene er uavhengige av hverandre (Mehmetoglu &amp; Jakobsen, 2017, s. 205; Snijders &amp; Bosker, 2012, s. 43). Oppgaven foretar først en nullmodell (</w:t>
      </w:r>
      <w:r>
        <w:rPr>
          <w:rFonts w:cs="Times New Roman"/>
          <w:i/>
          <w:iCs/>
          <w:szCs w:val="24"/>
        </w:rPr>
        <w:t>random intercept</w:t>
      </w:r>
      <w:r>
        <w:rPr>
          <w:rFonts w:cs="Times New Roman"/>
          <w:szCs w:val="24"/>
        </w:rPr>
        <w:t xml:space="preserve">) som legger til rette for å identifisere en kontekstuell dimensjon av politisk tillit. Den benytter </w:t>
      </w:r>
      <w:r>
        <w:rPr>
          <w:rFonts w:cs="Times New Roman"/>
          <w:i/>
          <w:iCs/>
          <w:szCs w:val="24"/>
        </w:rPr>
        <w:t>maximum likelihood</w:t>
      </w:r>
      <w:r>
        <w:rPr>
          <w:rFonts w:cs="Times New Roman"/>
          <w:szCs w:val="24"/>
        </w:rPr>
        <w:t xml:space="preserve">, hvor skjæringspunktet er tilnærmet gjennomsnittsverdien til utvalget (Mehmetoglu &amp; Jakobsen, 2017, s. 199). Fra denne kan vi regne ut intraklassekorrelasjonen (VPC), som vil gi oss svaret på hvor mye av variansen i politisk tillit hos individer som kan forklares av forhold på individ- og landnivå (Mehmetoglu &amp; Jakobsen, s. 199). Deretter inkluderes variabler på individnivå for å undersøke hvor mye av variansen i politisk tillit som kan forklares av individuelle egenskaper. Det neste skrittet er å inkludere land-nivå-variabelen for politisk maktdeling. Her vil vi få svar på om politisk tillit kan bli forklart av forhold på landnivå. Når variabler på individ- og landnivå er lagt til vil det undersøkes om effekten av variablene på politisk tillit er lineær. Det blir også foretatt en robusthetssjekk som undersøker om andre effekter avdekkes av å se på politisk tillit som to definerte holdningspunkter (logistisk regresjon) ved lav og høy politisk tillit. </w:t>
      </w:r>
    </w:p>
    <w:p>
      <w:pPr>
        <w:pStyle w:val="Normal"/>
        <w:spacing w:lineRule="auto" w:line="360"/>
        <w:rPr>
          <w:rFonts w:cs="Times New Roman"/>
          <w:szCs w:val="24"/>
        </w:rPr>
      </w:pPr>
      <w:r>
        <w:rPr>
          <w:rFonts w:cs="Times New Roman"/>
          <w:szCs w:val="24"/>
        </w:rPr>
        <w:t>Flertallet av oppgavens hypoteser innebærer at samspillsledd må inkluderes i regresjonene. Ved å undersøke samspillet mellom politisk undertrykkelse og politisk maktdeling vil vi få svaret på om undertrykte individers politiske tillit er avhengig av om landet har hatt politisk maktdeling eller ikke. Det samme vil gjøres med kjønnsvariabelen, for å undersøke en samspillseffekt mellom kvinner og maktdeling på politisk tillit.</w:t>
      </w:r>
    </w:p>
    <w:p>
      <w:pPr>
        <w:pStyle w:val="Normal"/>
        <w:spacing w:lineRule="auto" w:line="360"/>
        <w:rPr/>
      </w:pPr>
      <w:r>
        <w:rPr>
          <w:rFonts w:cs="Times New Roman"/>
          <w:szCs w:val="24"/>
        </w:rPr>
        <w:t xml:space="preserve">Selv om </w:t>
      </w:r>
      <w:r>
        <w:rPr>
          <w:rFonts w:cs="Times New Roman"/>
          <w:i/>
          <w:iCs/>
          <w:szCs w:val="24"/>
        </w:rPr>
        <w:t xml:space="preserve">random intercept </w:t>
      </w:r>
      <w:r>
        <w:rPr>
          <w:rFonts w:cs="Times New Roman"/>
          <w:szCs w:val="24"/>
        </w:rPr>
        <w:t xml:space="preserve">er den enkleste formen for hierarkisk data, er det ikke gitt at det er denne som ligger nærmest virkeligheten. For å undersøke hvorvidt det finnes variasjoner i effekt på tvers av land, vil variablene for undertrykkelse og kjønn bli tillagt en </w:t>
      </w:r>
      <w:r>
        <w:rPr>
          <w:rFonts w:cs="Times New Roman"/>
          <w:i/>
          <w:iCs/>
          <w:szCs w:val="24"/>
        </w:rPr>
        <w:t xml:space="preserve">random </w:t>
      </w:r>
      <w:r>
        <w:rPr>
          <w:rFonts w:cs="Times New Roman"/>
          <w:szCs w:val="24"/>
        </w:rPr>
        <w:t xml:space="preserve">koeffisient i en </w:t>
      </w:r>
      <w:r>
        <w:rPr>
          <w:rFonts w:cs="Times New Roman"/>
          <w:i/>
          <w:iCs/>
          <w:szCs w:val="24"/>
        </w:rPr>
        <w:t>random slope</w:t>
      </w:r>
      <w:r>
        <w:rPr>
          <w:rFonts w:cs="Times New Roman"/>
          <w:szCs w:val="24"/>
        </w:rPr>
        <w:t xml:space="preserve">-modell. Ved å gjøre dette vil vi kunne avdekke eventuelle forskjeller mellom land. Som tabell 6 viser, er det ikke alle maktdelingsavtalene som inkluderer kvinners rettigheter. </w:t>
      </w:r>
      <w:r>
        <w:rPr>
          <w:rFonts w:cs="Times New Roman"/>
          <w:i/>
          <w:iCs/>
          <w:szCs w:val="24"/>
        </w:rPr>
        <w:t>Random slope</w:t>
      </w:r>
      <w:r>
        <w:rPr>
          <w:rFonts w:cs="Times New Roman"/>
          <w:szCs w:val="24"/>
        </w:rPr>
        <w:t>-modellen vil avsløre om politisk maktdeling assosieres med høyere politisk tillit blant kvinner i disse landene. I en</w:t>
      </w:r>
      <w:r>
        <w:rPr>
          <w:rFonts w:cs="Times New Roman"/>
          <w:szCs w:val="24"/>
          <w:shd w:fill="FFFFFF" w:val="clear"/>
        </w:rPr>
        <w:t xml:space="preserve"> </w:t>
      </w:r>
      <w:r>
        <w:rPr>
          <w:rFonts w:cs="Times New Roman"/>
          <w:i/>
          <w:iCs/>
          <w:szCs w:val="24"/>
          <w:shd w:fill="FFFFFF" w:val="clear"/>
        </w:rPr>
        <w:t>random slope</w:t>
      </w:r>
      <w:r>
        <w:rPr>
          <w:rFonts w:cs="Times New Roman"/>
          <w:szCs w:val="24"/>
          <w:shd w:fill="FFFFFF" w:val="clear"/>
        </w:rPr>
        <w:t>-modell</w:t>
      </w:r>
      <w:r>
        <w:rPr>
          <w:rFonts w:cs="Times New Roman"/>
          <w:szCs w:val="24"/>
        </w:rPr>
        <w:t xml:space="preserve"> gjelder ikke lenger antagelsen om at alle </w:t>
      </w:r>
      <w:r>
        <w:rPr>
          <w:rFonts w:cs="Times New Roman"/>
          <w:i/>
          <w:iCs/>
          <w:szCs w:val="24"/>
        </w:rPr>
        <w:t>X</w:t>
      </w:r>
      <w:r>
        <w:rPr>
          <w:rFonts w:cs="Times New Roman"/>
          <w:szCs w:val="24"/>
        </w:rPr>
        <w:t xml:space="preserve">-variablene har den samme variansen i alle land, slik som ved </w:t>
      </w:r>
      <w:r>
        <w:rPr>
          <w:rFonts w:cs="Times New Roman"/>
          <w:i/>
          <w:iCs/>
          <w:szCs w:val="24"/>
        </w:rPr>
        <w:t xml:space="preserve">random intercept </w:t>
      </w:r>
      <w:r>
        <w:rPr>
          <w:rFonts w:cs="Times New Roman"/>
          <w:szCs w:val="24"/>
        </w:rPr>
        <w:t>(Snijders &amp; Bosker, 2012, s. 74).</w:t>
      </w:r>
      <w:r>
        <w:rPr>
          <w:rFonts w:cs="Times New Roman"/>
          <w:szCs w:val="24"/>
          <w:shd w:fill="FFFFFF" w:val="clear"/>
        </w:rPr>
        <w:t xml:space="preserve"> Den tillater variasjon i regresjonskoeffisientene mellom land, og vil derfor fange opp eventuelle variasjoner i effekt (Mehmetoglu &amp; Jakobsen, 2017, s. 210). </w:t>
      </w:r>
      <w:r>
        <w:rPr>
          <w:rFonts w:cs="Times New Roman"/>
          <w:szCs w:val="24"/>
        </w:rPr>
        <w:t xml:space="preserve">Modellen forutsetter at individer innen samme land har korrelerte verdier av politisk tillit, samt at korrelasjonen og variansen av politisk tillit er avhengig av </w:t>
      </w:r>
      <w:r>
        <w:rPr>
          <w:rFonts w:cs="Times New Roman"/>
          <w:i/>
          <w:iCs/>
          <w:szCs w:val="24"/>
        </w:rPr>
        <w:t>X</w:t>
      </w:r>
      <w:r>
        <w:rPr>
          <w:rFonts w:cs="Times New Roman"/>
          <w:szCs w:val="24"/>
        </w:rPr>
        <w:t xml:space="preserve"> (Snijders &amp; Bosker, 2012, s. 75). Som jeg vil komme tilbake til i resultatdelen, bør en random slope-modell kun inkluderes dersom den gir en signifikant forbedring av modellen. Da dette ikke er tilfellet, ses random slope-modellene på som overflødige, og vil kun presenteres i appendiks.</w:t>
      </w:r>
      <w:r>
        <w:rPr>
          <w:rFonts w:cs="Times New Roman"/>
          <w:color w:val="FF0000"/>
          <w:szCs w:val="24"/>
        </w:rPr>
        <w:t xml:space="preserve"> </w:t>
      </w:r>
      <w:r>
        <w:rPr>
          <w:rFonts w:cs="Times New Roman"/>
          <w:szCs w:val="24"/>
        </w:rPr>
        <w:t>I resultatdelen vil det bli gått nærmere inn på hva de ulike modellene representerer.</w:t>
      </w:r>
    </w:p>
    <w:p>
      <w:pPr>
        <w:pStyle w:val="Normal"/>
        <w:spacing w:lineRule="auto" w:line="360"/>
        <w:rPr>
          <w:rFonts w:cs="Times New Roman"/>
          <w:szCs w:val="24"/>
        </w:rPr>
      </w:pPr>
      <w:r>
        <w:rPr>
          <w:rFonts w:cs="Times New Roman"/>
          <w:szCs w:val="24"/>
        </w:rPr>
      </w:r>
    </w:p>
    <w:p>
      <w:pPr>
        <w:pStyle w:val="Heading2"/>
        <w:spacing w:lineRule="auto" w:line="360"/>
        <w:rPr/>
      </w:pPr>
      <w:bookmarkStart w:id="69" w:name="_Toc72502745"/>
      <w:r>
        <w:rPr/>
        <w:t>7.2.</w:t>
        <w:tab/>
        <w:t>Datasett</w:t>
      </w:r>
      <w:bookmarkEnd w:id="69"/>
    </w:p>
    <w:p>
      <w:pPr>
        <w:pStyle w:val="Normal"/>
        <w:spacing w:lineRule="auto" w:line="360"/>
        <w:rPr>
          <w:rFonts w:cs="Times New Roman"/>
          <w:szCs w:val="24"/>
        </w:rPr>
      </w:pPr>
      <w:r>
        <w:rPr>
          <w:rFonts w:cs="Times New Roman"/>
          <w:szCs w:val="24"/>
        </w:rPr>
        <w:t xml:space="preserve">Denne oppgaven benytter seg av data fra Afrobarometer runde 6, som presenterer tall fra 2016. Årsaken til at jeg har valgt runde 6 er at denne runden inkluderer flest land av alle tilgjengelige versjoner, og vil derfor gi meg den beste muligheten til å sammenligne så mange land som mulig. Afrobarometer er en anerkjent samfunnsvitenskapelig undersøkelse som måler sosiale, politiske og økonomiske forhold i mer enn 30 afrikanske land. Intervjuene blir gjennomført ansikt-til-ansikt med et tilfeldig utvalg på mellom 1200 og 2400 personer i hvert land. Kvalitetssikringen innebærer tett samarbeid med nasjonale partnere i hvert survey-land, som lærer opp intervjuerne før datainnsamlingen. Det stilles krav til at de som skal holde intervjuene har de rette egenskapene og kvalifikasjonene for å utøve innsamlingen – fortrinnsvis med en grad i samfunnsvitenskap (Afrobarometer, 2021). </w:t>
      </w:r>
    </w:p>
    <w:p>
      <w:pPr>
        <w:pStyle w:val="Normal"/>
        <w:spacing w:lineRule="auto" w:line="360"/>
        <w:rPr/>
      </w:pPr>
      <w:r>
        <w:rPr>
          <w:rFonts w:cs="Times New Roman"/>
          <w:color w:val="000000"/>
          <w:szCs w:val="24"/>
        </w:rPr>
        <w:t>Afrobarometer benytter nasjonal prøvetaking (sampling) som er designet for å danne et representativt utvalg av alle borgere over 18 år i et gitt land. I teorien betyr det at alle myndige personer har en like stor sjanse for å bli valgt til intervju. For å oppnå dette i praksis blir det benyttet tilfeldige utvalgsmetoder i alle stadier av samplingen, og sampling med sannsynlighet proporsjonalt med populasjonsstørrelse</w:t>
      </w:r>
      <w:r>
        <w:rPr>
          <w:rStyle w:val="FootnoteAnchor"/>
          <w:rFonts w:cs="Times New Roman"/>
          <w:color w:val="000000"/>
          <w:szCs w:val="24"/>
        </w:rPr>
        <w:footnoteReference w:id="19"/>
      </w:r>
      <w:r>
        <w:rPr>
          <w:rFonts w:cs="Times New Roman"/>
          <w:color w:val="000000"/>
          <w:szCs w:val="24"/>
        </w:rPr>
        <w:t xml:space="preserve"> (Afrobarometer, 2021). </w:t>
      </w:r>
      <w:r>
        <w:rPr>
          <w:rFonts w:cs="Times New Roman"/>
          <w:color w:val="000000"/>
          <w:szCs w:val="24"/>
          <w:lang w:val="nn-NO"/>
        </w:rPr>
        <w:t xml:space="preserve">Afrobarometer tilbyr vekting både innad i land, og på tvers av land. </w:t>
      </w:r>
      <w:r>
        <w:rPr>
          <w:rFonts w:cs="Times New Roman"/>
          <w:color w:val="000000"/>
          <w:szCs w:val="24"/>
        </w:rPr>
        <w:t xml:space="preserve">For aggregerte data, som er benyttet i denne oppgaven, er det av Afrobarometer anbefalt å benytte </w:t>
      </w:r>
      <w:r>
        <w:rPr>
          <w:rFonts w:cs="Times New Roman"/>
          <w:i/>
          <w:iCs/>
          <w:color w:val="000000"/>
          <w:szCs w:val="24"/>
        </w:rPr>
        <w:t>Combinwt</w:t>
      </w:r>
      <w:r>
        <w:rPr>
          <w:rFonts w:cs="Times New Roman"/>
          <w:color w:val="000000"/>
          <w:szCs w:val="24"/>
        </w:rPr>
        <w:t>-vekt som standardiserer hvert nasjonale utvalg som om de var like i størrelse (Afrobarometer, 2021). Som jeg vil komme tilbake til i kapittel 9, vil analysene kjøres både med og uten vekting for å avdekke eventuelle forskjeller mellom de to. Dette vil hovedsakelig gjøres som en robusthetssjekk, men som resultatene vil vise er det få avvik mellom de to.</w:t>
      </w:r>
    </w:p>
    <w:p>
      <w:pPr>
        <w:pStyle w:val="Normal"/>
        <w:spacing w:lineRule="auto" w:line="360"/>
        <w:rPr>
          <w:rFonts w:cs="Times New Roman"/>
          <w:szCs w:val="24"/>
        </w:rPr>
      </w:pPr>
      <w:r>
        <w:rPr>
          <w:rFonts w:cs="Times New Roman"/>
          <w:szCs w:val="24"/>
        </w:rPr>
      </w:r>
    </w:p>
    <w:p>
      <w:pPr>
        <w:pStyle w:val="Heading2"/>
        <w:spacing w:lineRule="auto" w:line="360"/>
        <w:rPr/>
      </w:pPr>
      <w:bookmarkStart w:id="70" w:name="_Toc72502746"/>
      <w:bookmarkStart w:id="71" w:name="_Toc71923029"/>
      <w:r>
        <w:rPr/>
        <w:t>7.3.</w:t>
        <w:tab/>
        <w:t>Forutsetninger og diagnostikk</w:t>
      </w:r>
      <w:bookmarkEnd w:id="70"/>
      <w:bookmarkEnd w:id="71"/>
    </w:p>
    <w:p>
      <w:pPr>
        <w:pStyle w:val="Normal"/>
        <w:spacing w:lineRule="auto" w:line="360"/>
        <w:rPr/>
      </w:pPr>
      <w:r>
        <w:rPr>
          <w:rFonts w:cs="Times New Roman"/>
          <w:szCs w:val="24"/>
        </w:rPr>
        <w:t xml:space="preserve">For det første antas det i hierarkiske data at residualvariansen avhenger lineært eller kvadratisk av de uavhengige variablene (Snijders &amp; Bosker, 2012, s. 119), samt at </w:t>
      </w:r>
      <w:r>
        <w:rPr>
          <w:rFonts w:cs="Times New Roman"/>
          <w:i/>
          <w:iCs/>
          <w:szCs w:val="24"/>
        </w:rPr>
        <w:t>intercept-</w:t>
      </w:r>
      <w:r>
        <w:rPr>
          <w:rFonts w:cs="Times New Roman"/>
          <w:szCs w:val="24"/>
        </w:rPr>
        <w:t xml:space="preserve">og </w:t>
      </w:r>
      <w:r>
        <w:rPr>
          <w:rFonts w:cs="Times New Roman"/>
          <w:i/>
          <w:iCs/>
          <w:szCs w:val="24"/>
        </w:rPr>
        <w:t>random slope</w:t>
      </w:r>
      <w:r>
        <w:rPr>
          <w:rFonts w:cs="Times New Roman"/>
          <w:szCs w:val="24"/>
        </w:rPr>
        <w:t>-variansen er konstant mellom land (Snijders &amp; Bosker, s. 128). Ettersom oppgaven tar for seg flere nivåer, må det testes for heteroskedastisitet på flere nivåer. Jeg har foretatt en Breusch-Pagan/Cook-Weisberg-test som viser at nullhypotesen om heteroskedastisitet ikke er signifikant på landnivå (se appendiks 4). Testen på individnivå oppnådde statistisk signifikans (se appendiks 5), noe som kan indikere problemer med heteroskedastisitet. Imidlertid kan tester av denne typen være misvisende i store datasett, og som Mehmetoglu &amp; Jakobsen (2017, s. 150) påpeker bør visuelle grafer supplere nullhypoteser, som vist i figur 2.</w:t>
      </w:r>
    </w:p>
    <w:p>
      <w:pPr>
        <w:pStyle w:val="Normal"/>
        <w:spacing w:lineRule="auto" w:line="360"/>
        <w:rPr>
          <w:rFonts w:cs="Times New Roman"/>
          <w:szCs w:val="24"/>
        </w:rPr>
      </w:pPr>
      <w:r>
        <w:rPr>
          <w:rFonts w:cs="Times New Roman"/>
          <w:szCs w:val="24"/>
        </w:rPr>
      </w:r>
    </w:p>
    <w:p>
      <w:pPr>
        <w:pStyle w:val="Normal"/>
        <w:spacing w:lineRule="auto" w:line="360"/>
        <w:rPr>
          <w:rFonts w:cs="Times New Roman"/>
          <w:i/>
          <w:i/>
          <w:iCs/>
          <w:szCs w:val="24"/>
          <w:shd w:fill="FFFFFF" w:val="clear"/>
        </w:rPr>
      </w:pPr>
      <w:r>
        <w:rPr>
          <w:rFonts w:cs="Times New Roman"/>
          <w:i/>
          <w:iCs/>
          <w:szCs w:val="24"/>
          <w:shd w:fill="FFFFFF" w:val="clear"/>
        </w:rPr>
        <w:t>Figur 2: Distribusjon av residualer</w:t>
      </w:r>
    </w:p>
    <w:p>
      <w:pPr>
        <w:pStyle w:val="Normal"/>
        <w:spacing w:lineRule="auto" w:line="360"/>
        <w:rPr/>
      </w:pPr>
      <w:r>
        <w:rPr/>
        <w:drawing>
          <wp:inline distT="0" distB="0" distL="0" distR="0">
            <wp:extent cx="4067175" cy="2948940"/>
            <wp:effectExtent l="0" t="0" r="0" b="0"/>
            <wp:docPr id="2" name="Bild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8" descr=""/>
                    <pic:cNvPicPr>
                      <a:picLocks noChangeAspect="1" noChangeArrowheads="1"/>
                    </pic:cNvPicPr>
                  </pic:nvPicPr>
                  <pic:blipFill>
                    <a:blip r:embed="rId3"/>
                    <a:stretch>
                      <a:fillRect/>
                    </a:stretch>
                  </pic:blipFill>
                  <pic:spPr bwMode="auto">
                    <a:xfrm>
                      <a:off x="0" y="0"/>
                      <a:ext cx="4067175" cy="2948940"/>
                    </a:xfrm>
                    <a:prstGeom prst="rect">
                      <a:avLst/>
                    </a:prstGeom>
                  </pic:spPr>
                </pic:pic>
              </a:graphicData>
            </a:graphic>
          </wp:inline>
        </w:drawing>
      </w:r>
    </w:p>
    <w:p>
      <w:pPr>
        <w:pStyle w:val="Normal"/>
        <w:spacing w:lineRule="auto" w:line="360"/>
        <w:rPr/>
      </w:pPr>
      <w:r>
        <w:rPr>
          <w:rFonts w:cs="Times New Roman"/>
          <w:szCs w:val="24"/>
          <w:shd w:fill="FFFFFF" w:val="clear"/>
        </w:rPr>
        <w:t>Figur 2 viser distribusjonen av residualene i modell 7. Vi ser at residualene er mer eller mindre normalfordelt, med noen høye utslag både på den negative og positive siden. Dataen som anvendes i oppgaven kan anses som stor – med 12.781 observasjoner. Når man jobber med store data av denne typen, blir normalfordelte residualer mindre viktig enn om datasettet hadde vært betydelig mindre (</w:t>
      </w:r>
      <w:r>
        <w:rPr>
          <w:rFonts w:cs="Times New Roman"/>
          <w:color w:val="000000"/>
          <w:szCs w:val="24"/>
          <w:shd w:fill="FFFFFF" w:val="clear"/>
        </w:rPr>
        <w:t>Mehmetoglu &amp; Jakobsen, 2017, s. 153)</w:t>
      </w:r>
      <w:r>
        <w:rPr>
          <w:rFonts w:cs="Times New Roman"/>
          <w:szCs w:val="24"/>
          <w:shd w:fill="FFFFFF" w:val="clear"/>
        </w:rPr>
        <w:t xml:space="preserve">. </w:t>
      </w:r>
    </w:p>
    <w:p>
      <w:pPr>
        <w:pStyle w:val="Normal"/>
        <w:spacing w:lineRule="auto" w:line="360"/>
        <w:rPr>
          <w:rFonts w:cs="Times New Roman"/>
          <w:szCs w:val="24"/>
          <w:shd w:fill="FFFFFF" w:val="clear"/>
        </w:rPr>
      </w:pPr>
      <w:r>
        <w:rPr>
          <w:rFonts w:cs="Times New Roman"/>
          <w:szCs w:val="24"/>
          <w:shd w:fill="FFFFFF" w:val="clear"/>
        </w:rPr>
        <w:t>Det ble i tillegg foretatt måling av skjevhet og kurtose for residualene (Se appendiks 7). Vi får bekreftet at verdiene ligger tett opp mot de kritiske verdiene med -0,05 ved skjevhet og 2,22 for kurtose. Til sammenligning er de optimale verdiene 0 for skjevhet, og 3 for kurtose (Mehmetoglu &amp; Jakobsen, 2017, s. 152). I lys av dette anses fordelingen av residualene som normale, og det blir derfor ikke foretatt videre behandling av datasettet.</w:t>
      </w:r>
    </w:p>
    <w:p>
      <w:pPr>
        <w:pStyle w:val="Normal"/>
        <w:spacing w:lineRule="auto" w:line="360"/>
        <w:rPr/>
      </w:pPr>
      <w:r>
        <w:rPr>
          <w:rFonts w:cs="Times New Roman"/>
          <w:szCs w:val="24"/>
        </w:rPr>
        <w:t xml:space="preserve">Videre forutsetter analysene at variablene er normaldistribuert. Dersom vi har uteliggere i datasettet, kan dette skade normalfordelingen innad i variablene, og vi må derfor teste for dette før vi kan kjøre modellene. Ved </w:t>
      </w:r>
      <w:r>
        <w:rPr>
          <w:rFonts w:cs="Times New Roman"/>
          <w:i/>
          <w:iCs/>
          <w:color w:val="000000"/>
          <w:szCs w:val="24"/>
        </w:rPr>
        <w:t xml:space="preserve">Shapiro-Francia normalitetstest </w:t>
      </w:r>
      <w:r>
        <w:rPr>
          <w:rFonts w:cs="Times New Roman"/>
          <w:color w:val="000000"/>
          <w:szCs w:val="24"/>
        </w:rPr>
        <w:t xml:space="preserve">(se appendiks 8) </w:t>
      </w:r>
      <w:r>
        <w:rPr>
          <w:rFonts w:cs="Times New Roman"/>
          <w:szCs w:val="24"/>
        </w:rPr>
        <w:t xml:space="preserve">ser vi at flere variabler oppnår signifikant verdi. Det antyder at variablene ikke er normalfordelt. Igjen understrekes det at tester av denne typen er svake og ofte irrelevante for datasett av denne størrelsen </w:t>
      </w:r>
      <w:r>
        <w:rPr>
          <w:rFonts w:cs="Times New Roman"/>
          <w:szCs w:val="24"/>
          <w:shd w:fill="FFFFFF" w:val="clear"/>
        </w:rPr>
        <w:t>(</w:t>
      </w:r>
      <w:r>
        <w:rPr>
          <w:rFonts w:cs="Times New Roman"/>
          <w:color w:val="000000"/>
          <w:szCs w:val="24"/>
          <w:shd w:fill="FFFFFF" w:val="clear"/>
        </w:rPr>
        <w:t>Mehmetoglu &amp; Jakobsen, 2017, s. 153)</w:t>
      </w:r>
      <w:r>
        <w:rPr>
          <w:rFonts w:cs="Times New Roman"/>
          <w:szCs w:val="24"/>
        </w:rPr>
        <w:t>. I tillegg er det ingenting som skal antyde at oppgavens variabler bør være normaldistribuerte. Oppgaven tar for seg politisk tillit i Afrika, og selve poenget med analysen er å avdekke hva som forårsaker ulikheter i tillit – ikke hvorvidt variabelen er normalfordelt. Det samme gjelder de resterende variablene – oppgavens hensikt forutsetter ikke at populasjonsutvalget skal være normalfordelt i spørsmålet om utdanning eller inntekt.</w:t>
      </w:r>
    </w:p>
    <w:p>
      <w:pPr>
        <w:pStyle w:val="Normal"/>
        <w:spacing w:lineRule="auto" w:line="360"/>
        <w:rPr>
          <w:rFonts w:cs="Times New Roman"/>
          <w:szCs w:val="24"/>
        </w:rPr>
      </w:pPr>
      <w:r>
        <w:rPr>
          <w:rFonts w:cs="Times New Roman"/>
          <w:szCs w:val="24"/>
        </w:rPr>
      </w:r>
    </w:p>
    <w:p>
      <w:pPr>
        <w:pStyle w:val="Normal"/>
        <w:spacing w:lineRule="auto" w:line="360"/>
        <w:rPr>
          <w:rFonts w:cs="Times New Roman"/>
          <w:szCs w:val="24"/>
        </w:rPr>
      </w:pPr>
      <w:r>
        <w:rPr>
          <w:rFonts w:cs="Times New Roman"/>
          <w:szCs w:val="24"/>
        </w:rPr>
      </w:r>
    </w:p>
    <w:p>
      <w:pPr>
        <w:pStyle w:val="Normal"/>
        <w:spacing w:lineRule="auto" w:line="360"/>
        <w:rPr>
          <w:rFonts w:cs="Times New Roman"/>
          <w:szCs w:val="24"/>
        </w:rPr>
      </w:pPr>
      <w:r>
        <w:rPr>
          <w:rFonts w:cs="Times New Roman"/>
          <w:szCs w:val="24"/>
        </w:rPr>
      </w:r>
    </w:p>
    <w:p>
      <w:pPr>
        <w:pStyle w:val="Normal"/>
        <w:spacing w:lineRule="auto" w:line="360"/>
        <w:rPr>
          <w:rFonts w:cs="Times New Roman"/>
          <w:szCs w:val="24"/>
        </w:rPr>
      </w:pPr>
      <w:r>
        <w:rPr>
          <w:rFonts w:cs="Times New Roman"/>
          <w:szCs w:val="24"/>
        </w:rPr>
      </w:r>
    </w:p>
    <w:p>
      <w:pPr>
        <w:pStyle w:val="Normal"/>
        <w:spacing w:lineRule="auto" w:line="360"/>
        <w:rPr>
          <w:rFonts w:cs="Times New Roman"/>
          <w:szCs w:val="24"/>
        </w:rPr>
      </w:pPr>
      <w:r>
        <w:rPr>
          <w:rFonts w:cs="Times New Roman"/>
          <w:szCs w:val="24"/>
        </w:rPr>
      </w:r>
    </w:p>
    <w:p>
      <w:pPr>
        <w:pStyle w:val="Normal"/>
        <w:spacing w:lineRule="auto" w:line="360"/>
        <w:rPr>
          <w:rFonts w:cs="Times New Roman"/>
          <w:szCs w:val="24"/>
        </w:rPr>
      </w:pPr>
      <w:r>
        <w:rPr>
          <w:rFonts w:cs="Times New Roman"/>
          <w:szCs w:val="24"/>
        </w:rPr>
      </w:r>
    </w:p>
    <w:p>
      <w:pPr>
        <w:pStyle w:val="Normal"/>
        <w:spacing w:lineRule="auto" w:line="360"/>
        <w:rPr>
          <w:rFonts w:cs="Times New Roman"/>
          <w:szCs w:val="24"/>
        </w:rPr>
      </w:pPr>
      <w:r>
        <w:rPr>
          <w:rFonts w:cs="Times New Roman"/>
          <w:szCs w:val="24"/>
        </w:rPr>
      </w:r>
    </w:p>
    <w:p>
      <w:pPr>
        <w:pStyle w:val="Normal"/>
        <w:spacing w:lineRule="auto" w:line="360"/>
        <w:rPr>
          <w:rFonts w:cs="Times New Roman"/>
          <w:szCs w:val="24"/>
        </w:rPr>
      </w:pPr>
      <w:r>
        <w:rPr>
          <w:rFonts w:cs="Times New Roman"/>
          <w:szCs w:val="24"/>
        </w:rPr>
      </w:r>
    </w:p>
    <w:p>
      <w:pPr>
        <w:pStyle w:val="Normal"/>
        <w:spacing w:lineRule="auto" w:line="360"/>
        <w:rPr>
          <w:rFonts w:cs="Times New Roman"/>
          <w:szCs w:val="24"/>
        </w:rPr>
      </w:pPr>
      <w:r>
        <w:rPr>
          <w:rFonts w:cs="Times New Roman"/>
          <w:szCs w:val="24"/>
        </w:rPr>
      </w:r>
    </w:p>
    <w:p>
      <w:pPr>
        <w:pStyle w:val="Normal"/>
        <w:spacing w:lineRule="auto" w:line="360"/>
        <w:rPr>
          <w:rFonts w:cs="Times New Roman"/>
          <w:szCs w:val="24"/>
        </w:rPr>
      </w:pPr>
      <w:r>
        <w:rPr>
          <w:rFonts w:cs="Times New Roman"/>
          <w:szCs w:val="24"/>
        </w:rPr>
      </w:r>
    </w:p>
    <w:p>
      <w:pPr>
        <w:pStyle w:val="Normal"/>
        <w:spacing w:lineRule="auto" w:line="360"/>
        <w:rPr>
          <w:rFonts w:cs="Times New Roman"/>
          <w:szCs w:val="24"/>
        </w:rPr>
      </w:pPr>
      <w:r>
        <w:rPr>
          <w:rFonts w:cs="Times New Roman"/>
          <w:szCs w:val="24"/>
        </w:rPr>
      </w:r>
    </w:p>
    <w:p>
      <w:pPr>
        <w:pStyle w:val="Normal"/>
        <w:spacing w:lineRule="auto" w:line="360"/>
        <w:rPr>
          <w:rFonts w:cs="Times New Roman"/>
          <w:szCs w:val="24"/>
        </w:rPr>
      </w:pPr>
      <w:r>
        <w:rPr>
          <w:rFonts w:cs="Times New Roman"/>
          <w:szCs w:val="24"/>
        </w:rPr>
      </w:r>
    </w:p>
    <w:p>
      <w:pPr>
        <w:pStyle w:val="Normal"/>
        <w:rPr>
          <w:i/>
          <w:i/>
          <w:iCs/>
        </w:rPr>
      </w:pPr>
      <w:r>
        <w:rPr>
          <w:i/>
          <w:iCs/>
        </w:rPr>
        <w:t>Tabell 2: Avstand mellom nivå 2-enheter og gjennomsnitt</w:t>
      </w:r>
    </w:p>
    <w:tbl>
      <w:tblPr>
        <w:tblW w:w="2708" w:type="dxa"/>
        <w:jc w:val="left"/>
        <w:tblInd w:w="0" w:type="dxa"/>
        <w:tblLayout w:type="fixed"/>
        <w:tblCellMar>
          <w:top w:w="0" w:type="dxa"/>
          <w:left w:w="108" w:type="dxa"/>
          <w:bottom w:w="0" w:type="dxa"/>
          <w:right w:w="108" w:type="dxa"/>
        </w:tblCellMar>
      </w:tblPr>
      <w:tblGrid>
        <w:gridCol w:w="1407"/>
        <w:gridCol w:w="1301"/>
      </w:tblGrid>
      <w:tr>
        <w:trPr/>
        <w:tc>
          <w:tcPr>
            <w:tcW w:w="1407" w:type="dxa"/>
            <w:tcBorders>
              <w:top w:val="single" w:sz="4" w:space="0" w:color="000000"/>
              <w:bottom w:val="single" w:sz="10" w:space="0" w:color="000000"/>
            </w:tcBorders>
          </w:tcPr>
          <w:p>
            <w:pPr>
              <w:pStyle w:val="Normal"/>
              <w:widowControl w:val="false"/>
              <w:spacing w:before="0" w:after="160"/>
              <w:rPr>
                <w:sz w:val="20"/>
                <w:szCs w:val="18"/>
              </w:rPr>
            </w:pPr>
            <w:r>
              <w:rPr>
                <w:sz w:val="20"/>
                <w:szCs w:val="18"/>
              </w:rPr>
              <w:t xml:space="preserve"> </w:t>
            </w:r>
            <w:r>
              <w:rPr>
                <w:sz w:val="20"/>
                <w:szCs w:val="18"/>
                <w:lang w:val="en-US"/>
              </w:rPr>
              <w:t>Land</w:t>
            </w:r>
          </w:p>
        </w:tc>
        <w:tc>
          <w:tcPr>
            <w:tcW w:w="1301" w:type="dxa"/>
            <w:tcBorders>
              <w:top w:val="single" w:sz="4" w:space="0" w:color="000000"/>
              <w:bottom w:val="single" w:sz="10" w:space="0" w:color="000000"/>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Avstand</w:t>
            </w:r>
          </w:p>
        </w:tc>
      </w:tr>
      <w:tr>
        <w:trPr/>
        <w:tc>
          <w:tcPr>
            <w:tcW w:w="1407"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Algerie</w:t>
            </w:r>
          </w:p>
        </w:tc>
        <w:tc>
          <w:tcPr>
            <w:tcW w:w="1301"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-0.566</w:t>
            </w:r>
          </w:p>
        </w:tc>
      </w:tr>
      <w:tr>
        <w:trPr/>
        <w:tc>
          <w:tcPr>
            <w:tcW w:w="1407"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Burkina Faso</w:t>
            </w:r>
          </w:p>
        </w:tc>
        <w:tc>
          <w:tcPr>
            <w:tcW w:w="1301"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0.450</w:t>
            </w:r>
          </w:p>
        </w:tc>
      </w:tr>
      <w:tr>
        <w:trPr/>
        <w:tc>
          <w:tcPr>
            <w:tcW w:w="1407"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Elf.kysten</w:t>
            </w:r>
          </w:p>
        </w:tc>
        <w:tc>
          <w:tcPr>
            <w:tcW w:w="1301"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0.003</w:t>
            </w:r>
          </w:p>
        </w:tc>
      </w:tr>
      <w:tr>
        <w:trPr/>
        <w:tc>
          <w:tcPr>
            <w:tcW w:w="1407"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Ghana</w:t>
            </w:r>
          </w:p>
        </w:tc>
        <w:tc>
          <w:tcPr>
            <w:tcW w:w="1301"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-0.585</w:t>
            </w:r>
          </w:p>
        </w:tc>
      </w:tr>
      <w:tr>
        <w:trPr/>
        <w:tc>
          <w:tcPr>
            <w:tcW w:w="1407"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Guinea</w:t>
            </w:r>
          </w:p>
        </w:tc>
        <w:tc>
          <w:tcPr>
            <w:tcW w:w="1301"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0.211</w:t>
            </w:r>
          </w:p>
        </w:tc>
      </w:tr>
      <w:tr>
        <w:trPr/>
        <w:tc>
          <w:tcPr>
            <w:tcW w:w="1407"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Kenya</w:t>
            </w:r>
          </w:p>
        </w:tc>
        <w:tc>
          <w:tcPr>
            <w:tcW w:w="1301"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0.183</w:t>
            </w:r>
          </w:p>
        </w:tc>
      </w:tr>
      <w:tr>
        <w:trPr/>
        <w:tc>
          <w:tcPr>
            <w:tcW w:w="1407"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Liberia</w:t>
            </w:r>
          </w:p>
        </w:tc>
        <w:tc>
          <w:tcPr>
            <w:tcW w:w="1301"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-0.436</w:t>
            </w:r>
          </w:p>
        </w:tc>
      </w:tr>
      <w:tr>
        <w:trPr/>
        <w:tc>
          <w:tcPr>
            <w:tcW w:w="1407"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Mali</w:t>
            </w:r>
          </w:p>
        </w:tc>
        <w:tc>
          <w:tcPr>
            <w:tcW w:w="1301"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0.438</w:t>
            </w:r>
          </w:p>
        </w:tc>
      </w:tr>
      <w:tr>
        <w:trPr/>
        <w:tc>
          <w:tcPr>
            <w:tcW w:w="1407"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Mosambik</w:t>
            </w:r>
          </w:p>
        </w:tc>
        <w:tc>
          <w:tcPr>
            <w:tcW w:w="1301"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0.070</w:t>
            </w:r>
          </w:p>
        </w:tc>
      </w:tr>
      <w:tr>
        <w:trPr/>
        <w:tc>
          <w:tcPr>
            <w:tcW w:w="1407"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Niger</w:t>
            </w:r>
          </w:p>
        </w:tc>
        <w:tc>
          <w:tcPr>
            <w:tcW w:w="1301"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0.336</w:t>
            </w:r>
          </w:p>
        </w:tc>
      </w:tr>
      <w:tr>
        <w:trPr/>
        <w:tc>
          <w:tcPr>
            <w:tcW w:w="1407"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Nigeria</w:t>
            </w:r>
          </w:p>
        </w:tc>
        <w:tc>
          <w:tcPr>
            <w:tcW w:w="1301"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-0.509</w:t>
            </w:r>
          </w:p>
        </w:tc>
      </w:tr>
      <w:tr>
        <w:trPr/>
        <w:tc>
          <w:tcPr>
            <w:tcW w:w="1407"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Senegal</w:t>
            </w:r>
          </w:p>
        </w:tc>
        <w:tc>
          <w:tcPr>
            <w:tcW w:w="1301"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0.255</w:t>
            </w:r>
          </w:p>
        </w:tc>
      </w:tr>
      <w:tr>
        <w:trPr/>
        <w:tc>
          <w:tcPr>
            <w:tcW w:w="1407"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Sierra Leone</w:t>
            </w:r>
          </w:p>
        </w:tc>
        <w:tc>
          <w:tcPr>
            <w:tcW w:w="1301"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-0.124</w:t>
            </w:r>
          </w:p>
        </w:tc>
      </w:tr>
      <w:tr>
        <w:trPr/>
        <w:tc>
          <w:tcPr>
            <w:tcW w:w="1407"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Sør-Afrika</w:t>
            </w:r>
          </w:p>
        </w:tc>
        <w:tc>
          <w:tcPr>
            <w:tcW w:w="1301"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-0.001</w:t>
            </w:r>
          </w:p>
        </w:tc>
      </w:tr>
      <w:tr>
        <w:trPr/>
        <w:tc>
          <w:tcPr>
            <w:tcW w:w="1407"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Uganda</w:t>
            </w:r>
          </w:p>
        </w:tc>
        <w:tc>
          <w:tcPr>
            <w:tcW w:w="1301"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0.182</w:t>
            </w:r>
          </w:p>
        </w:tc>
      </w:tr>
      <w:tr>
        <w:trPr/>
        <w:tc>
          <w:tcPr>
            <w:tcW w:w="1407"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Zimbabwe</w:t>
            </w:r>
          </w:p>
        </w:tc>
        <w:tc>
          <w:tcPr>
            <w:tcW w:w="1301" w:type="dxa"/>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0.094</w:t>
            </w:r>
          </w:p>
        </w:tc>
      </w:tr>
      <w:tr>
        <w:trPr/>
        <w:tc>
          <w:tcPr>
            <w:tcW w:w="2708" w:type="dxa"/>
            <w:gridSpan w:val="2"/>
            <w:tcBorders>
              <w:top w:val="single" w:sz="6" w:space="0" w:color="000000"/>
            </w:tcBorders>
          </w:tcPr>
          <w:p>
            <w:pPr>
              <w:pStyle w:val="Normal"/>
              <w:widowControl w:val="false"/>
              <w:spacing w:before="0" w:after="160"/>
              <w:rPr>
                <w:sz w:val="20"/>
                <w:szCs w:val="18"/>
                <w:lang w:val="en-US"/>
              </w:rPr>
            </w:pPr>
            <w:r>
              <w:rPr>
                <w:sz w:val="20"/>
                <w:szCs w:val="18"/>
                <w:lang w:val="en-US"/>
              </w:rPr>
            </w:r>
          </w:p>
        </w:tc>
      </w:tr>
    </w:tbl>
    <w:p>
      <w:pPr>
        <w:pStyle w:val="Normal"/>
        <w:spacing w:lineRule="auto" w:line="360"/>
        <w:rPr>
          <w:rFonts w:cs="Times New Roman"/>
          <w:szCs w:val="24"/>
          <w:shd w:fill="FFFFFF" w:val="clear"/>
        </w:rPr>
      </w:pPr>
      <w:r>
        <w:rPr>
          <w:rFonts w:cs="Times New Roman"/>
          <w:szCs w:val="24"/>
          <w:shd w:fill="FFFFFF" w:val="clear"/>
        </w:rPr>
        <w:t>Tabell 2 viser avstanden mellom landenhetene og det gjennomsnittlige skjæringspunktet for politisk tillit. Den største avstanden vi finner er -0,585 (Ghana), som også kan sies å være tett opp mot gjennomsnittet. Avstandene ser ut til å være normale, og ingen behandling foretas på bakgrunn av dette.</w:t>
      </w:r>
    </w:p>
    <w:p>
      <w:pPr>
        <w:pStyle w:val="Normal"/>
        <w:spacing w:lineRule="auto" w:line="360"/>
        <w:rPr>
          <w:rFonts w:cs="Times New Roman"/>
          <w:szCs w:val="24"/>
          <w:shd w:fill="FFFFFF" w:val="clear"/>
        </w:rPr>
      </w:pPr>
      <w:r>
        <w:rPr>
          <w:rFonts w:cs="Times New Roman"/>
          <w:szCs w:val="24"/>
          <w:shd w:fill="FFFFFF" w:val="clear"/>
        </w:rPr>
      </w:r>
    </w:p>
    <w:p>
      <w:pPr>
        <w:pStyle w:val="Heading2"/>
        <w:spacing w:lineRule="auto" w:line="360"/>
        <w:rPr/>
      </w:pPr>
      <w:bookmarkStart w:id="72" w:name="_Toc72502747"/>
      <w:bookmarkStart w:id="73" w:name="_Toc71923031"/>
      <w:r>
        <w:rPr/>
        <w:t>7.4.</w:t>
        <w:tab/>
        <w:t>Variabler</w:t>
      </w:r>
      <w:bookmarkEnd w:id="72"/>
      <w:bookmarkEnd w:id="73"/>
    </w:p>
    <w:p>
      <w:pPr>
        <w:pStyle w:val="Normal"/>
        <w:spacing w:lineRule="auto" w:line="360"/>
        <w:rPr/>
      </w:pPr>
      <w:r>
        <w:rPr/>
        <w:t>Dette delkapittelet vil ta for seg oppgavens variabler. For hver av variablene som presenteres, vil detaljert deskriptiv statistikk vedlegges. Sammensatte tabeller for variabler med informasjon om standardavvik og gjennomsnitt presenteres i delkapittel 8.5.</w:t>
      </w:r>
    </w:p>
    <w:p>
      <w:pPr>
        <w:pStyle w:val="Heading3"/>
        <w:spacing w:lineRule="auto" w:line="360"/>
        <w:rPr/>
      </w:pPr>
      <w:bookmarkStart w:id="74" w:name="_Toc71923032"/>
      <w:bookmarkStart w:id="75" w:name="_Toc72502748"/>
      <w:r>
        <w:rPr/>
        <w:t>7.4.1.</w:t>
        <w:tab/>
        <w:t>Avhengig variabel (Politisk tillit)</w:t>
      </w:r>
      <w:bookmarkEnd w:id="74"/>
      <w:bookmarkEnd w:id="75"/>
    </w:p>
    <w:p>
      <w:pPr>
        <w:pStyle w:val="Normal"/>
        <w:spacing w:lineRule="auto" w:line="360"/>
        <w:rPr/>
      </w:pPr>
      <w:r>
        <w:rPr>
          <w:rFonts w:cs="Times New Roman"/>
          <w:szCs w:val="24"/>
          <w:lang w:eastAsia="nb-NO"/>
        </w:rPr>
        <w:t xml:space="preserve">Tradisjonelt har politisk tillit blitt operasjonalisert ved å sette sammen en skala av tillit til parlament, politikere og politiske partier (Dalton, 2004). Afrobarometer tilbyr data på tillit til parlament, men ikke de to øvrige. Imidlertid finnes det data på tillit til den sittende presidenten, samt valgkommisjonen. Ser vi tilbake på oppgavens definisjon av politisk tillit, omfatter det tillit til dynamiske aktører. I operasjonaliseringen av denne definisjonen, vil presidenten og parlamentet representere disse aktørene. Den andre dimensjonen omfatter etablerte institusjoner, og tillit til valgkommisjonen vil representere dette elementet av tillit. For å diskutere hvordan denne operasjonaliseringen speiler oppgavens definisjon av politisk tillit, må spørsmålet om innholdsvaliditet adresses </w:t>
      </w:r>
      <w:r>
        <w:rPr>
          <w:rFonts w:cs="Times New Roman"/>
          <w:color w:val="FF0000"/>
          <w:szCs w:val="24"/>
          <w:lang w:eastAsia="nb-NO"/>
        </w:rPr>
        <w:t>(gi kort definisjon)</w:t>
      </w:r>
      <w:r>
        <w:rPr>
          <w:rFonts w:cs="Times New Roman"/>
          <w:szCs w:val="24"/>
          <w:lang w:eastAsia="nb-NO"/>
        </w:rPr>
        <w:t>. Det er til syvende og sist et subjektivt mål, som både jeg og leseren må gjøre opp sin egen mening om. Det er likevel noen fakta som bør tas i betraktning: (i) Eastons (1965) definisjon av tillit har blitt en etablert mal som går igjen flere steder i den statsvitenskapelige litteraturen. (ii) Ved at jeg utelukker det samfunnsmessige perspektivet av Eastons definisjon, rendyrkes det politiske aspektet som tar for seg det jeg har valgt å kalle dynamiske aktører og etablerte institusjoner. (iii) Presidenten og parlamentets byggesteiner må ses på som dynamiske aktører</w:t>
      </w:r>
      <w:r>
        <w:rPr>
          <w:rStyle w:val="FootnoteAnchor"/>
          <w:rFonts w:cs="Times New Roman"/>
          <w:szCs w:val="24"/>
          <w:lang w:eastAsia="nb-NO"/>
        </w:rPr>
        <w:footnoteReference w:id="20"/>
      </w:r>
      <w:r>
        <w:rPr>
          <w:rFonts w:cs="Times New Roman"/>
          <w:szCs w:val="24"/>
          <w:lang w:eastAsia="nb-NO"/>
        </w:rPr>
        <w:t>, og valgkommisjoner på tvers av land er langt mer etablerte institusjoner. Til slutt må det nevnes at Daltons (2004) operasjonalisering av politisk tillit også et etablert mål, som jeg til en viss grad går bort ifra. Uten å avfeie Daltons operasjonalisering, mener jeg at de tre elementene ikke ville ha målt politisk tillit like godt som de valgte elementene, dersom vi følger oppgavens definisjon. Jeg argumenterer derfor for at innholdsvaliditeten i oppgavens avhengige variabel er sterk, og at en sammensatt skala i dette tilfellet er naturlig for å kunne fange opp de relevante dimensjonen av politisk tillit.</w:t>
      </w:r>
    </w:p>
    <w:p>
      <w:pPr>
        <w:pStyle w:val="Normal"/>
        <w:spacing w:lineRule="auto" w:line="360"/>
        <w:rPr/>
      </w:pPr>
      <w:r>
        <w:rPr>
          <w:rFonts w:cs="Times New Roman"/>
          <w:szCs w:val="24"/>
          <w:lang w:eastAsia="nb-NO"/>
        </w:rPr>
        <w:t>Oppgavens avhengige variabel tar altså for seg respondentenes politiske tillit, og er satt sammen til en skala av tre variabler: tillit til presidenten, tillit til parlamentet og tillit til valgkommisjonen. Likt for alle de opprinnelige variablene er at respondentene svarer på en fempunktsskala fra 0-4 (hvor 4 er full tillit) som måler stor tillit de har til de forskjellige institusjonene. Det betyr at alle disse variablene er på ordinalnivå, men faller i kategorien kontinuerlig på bakgrunn av antall svaralternativer. Ettersom tre variabler er satt sammen, innehar den avhengige variabelen .33 og .67-verdier mellom hvert trinn. Det betyr at den sammensatte tillitsvariabelen er en 10-punktsskala, og dermed kan anses som kontinuerlig. De opprinnelige tillitsvariablene gikk gjennom tre tester før de kunne settes sammen til en skala: (i) Korrelasjonsanalysen viste en gjennomsnittskorrelasjon (</w:t>
      </w:r>
      <w:r>
        <w:rPr>
          <w:rFonts w:cs="Times New Roman"/>
          <w:i/>
          <w:iCs/>
          <w:szCs w:val="24"/>
          <w:lang w:eastAsia="nb-NO"/>
        </w:rPr>
        <w:t>Persons R</w:t>
      </w:r>
      <w:r>
        <w:rPr>
          <w:rFonts w:cs="Times New Roman"/>
          <w:szCs w:val="24"/>
          <w:lang w:eastAsia="nb-NO"/>
        </w:rPr>
        <w:t>) over 0,3 (Se Appendiks 1), som indikerer at høye verdier på en variabel går sammen med høye variabler på de andre variablene (Midtbø, 2016, s. 84). (ii) Faktoranalysen viste at alle variablene ladet på én dimensjon (Se Appendiks 2; Skog, 2017, s. 96). (iii) Chronbach’s alpha viste over 0,7 (Se Appendiks 3), som også indikerer en god korrelasjon mellom variablene (Skog, 2017, s. 97).</w:t>
      </w:r>
    </w:p>
    <w:p>
      <w:pPr>
        <w:pStyle w:val="Normal"/>
        <w:spacing w:lineRule="auto" w:line="360"/>
        <w:rPr/>
      </w:pPr>
      <w:r>
        <w:rPr>
          <w:rFonts w:cs="Times New Roman"/>
          <w:szCs w:val="24"/>
          <w:lang w:eastAsia="nb-NO"/>
        </w:rPr>
        <w:t xml:space="preserve">Variabelen baserer seg på svarene til 12781 respondenter. Ettersom variabelen opprinnelig tar for seg respondentenes mening på en fempunktsskala, må det hevdes at konstruksjonsvaliditeten i utgangspunktet er god. I skalaer med flere trinn er det vanskelig å kunne si om individer med lik grad av tillit svarer likt, da det ikke er noen universell forståelse for hva som er en 7-er eller en 4-er. Man kan aldri vite hvor mye en slik skala er til å stole på, men med færre alternativer blir validiteten sterkere (Elasy &amp; Gaddy, 1998). </w:t>
      </w:r>
      <w:r>
        <w:rPr>
          <w:rFonts w:cs="Times New Roman"/>
          <w:szCs w:val="24"/>
        </w:rPr>
        <w:t>Det betyr ikke nødvendigvis at undersøkelsen måler det man ønsker å måle, som vil koke ned til undersøkelsens kvalitet. Er spørsmålene presise nok og forståelige nok til å fange opp politisk tillit? Afrobarometer gjennomfører store pilotstudier og kvalitative intervjuer for å sørge for at validiteten er høy, noe som igjen gir et godt utgangspunkt i spørsmålet om innholdsvaliditeten til tillits-variablene og datasettet som helhet.</w:t>
      </w:r>
      <w:r>
        <w:rPr>
          <w:rFonts w:cs="Times New Roman"/>
          <w:color w:val="FF0000"/>
          <w:szCs w:val="24"/>
        </w:rPr>
        <w:t xml:space="preserve"> </w:t>
      </w:r>
      <w:r>
        <w:rPr>
          <w:rFonts w:cs="Times New Roman"/>
          <w:szCs w:val="24"/>
        </w:rPr>
        <w:t>Reliabiliteten</w:t>
      </w:r>
      <w:r>
        <w:rPr>
          <w:rFonts w:cs="Times New Roman"/>
          <w:sz w:val="28"/>
          <w:szCs w:val="28"/>
          <w:lang w:eastAsia="nb-NO"/>
        </w:rPr>
        <w:t xml:space="preserve"> </w:t>
      </w:r>
      <w:r>
        <w:rPr>
          <w:rFonts w:cs="Times New Roman"/>
          <w:szCs w:val="24"/>
          <w:lang w:eastAsia="nb-NO"/>
        </w:rPr>
        <w:t>er derimot enklere å måle, men det er da nødvendig å sammenligne resultatene med andre surveyer for de afrikanske landene i 2016. Ser man på Afrobarometerets renommé må man anta at reliabiliteten i datasettet som en helhet er sterk, noe som styrker troen på at resultatene skal ligge nærme virkeligheten.</w:t>
      </w:r>
    </w:p>
    <w:p>
      <w:pPr>
        <w:pStyle w:val="Normal"/>
        <w:spacing w:lineRule="auto" w:line="360"/>
        <w:rPr/>
      </w:pPr>
      <w:r>
        <w:rPr/>
        <w:t>Den sammensatte skalaen ligger innenfor de akseptable rammene av skjevhet (se appendiks 4). Selv om kurtosen er noe lav (1,8), ser vi i figur 3 at distribusjonen av politisk tillit ikke er nevneverdig skjev. Det blir derfor ikke foretatt videre behandling av variabelen.</w:t>
      </w:r>
    </w:p>
    <w:p>
      <w:pPr>
        <w:pStyle w:val="Normal"/>
        <w:spacing w:lineRule="auto" w:line="360"/>
        <w:rPr>
          <w:i/>
          <w:i/>
          <w:iCs/>
        </w:rPr>
      </w:pPr>
      <w:r>
        <w:rPr>
          <w:i/>
          <w:iCs/>
        </w:rPr>
        <w:t>Figur 3: Distribusjon av politisk tillit</w:t>
      </w:r>
    </w:p>
    <w:p>
      <w:pPr>
        <w:pStyle w:val="Normal"/>
        <w:spacing w:lineRule="auto" w:line="360"/>
        <w:rPr/>
      </w:pPr>
      <w:r>
        <w:rPr/>
        <w:drawing>
          <wp:inline distT="0" distB="0" distL="0" distR="0">
            <wp:extent cx="3562350" cy="2519045"/>
            <wp:effectExtent l="0" t="0" r="0" b="0"/>
            <wp:docPr id="3" name="Bild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2" descr=""/>
                    <pic:cNvPicPr>
                      <a:picLocks noChangeAspect="1" noChangeArrowheads="1"/>
                    </pic:cNvPicPr>
                  </pic:nvPicPr>
                  <pic:blipFill>
                    <a:blip r:embed="rId4"/>
                    <a:stretch>
                      <a:fillRect/>
                    </a:stretch>
                  </pic:blipFill>
                  <pic:spPr bwMode="auto">
                    <a:xfrm>
                      <a:off x="0" y="0"/>
                      <a:ext cx="3562350" cy="2519045"/>
                    </a:xfrm>
                    <a:prstGeom prst="rect">
                      <a:avLst/>
                    </a:prstGeom>
                  </pic:spPr>
                </pic:pic>
              </a:graphicData>
            </a:graphic>
          </wp:inline>
        </w:drawing>
      </w:r>
    </w:p>
    <w:p>
      <w:pPr>
        <w:pStyle w:val="Normal"/>
        <w:spacing w:lineRule="auto" w:line="360"/>
        <w:rPr/>
      </w:pPr>
      <w:r>
        <w:rPr/>
      </w:r>
    </w:p>
    <w:p>
      <w:pPr>
        <w:pStyle w:val="Heading3"/>
        <w:spacing w:lineRule="auto" w:line="360"/>
        <w:rPr/>
      </w:pPr>
      <w:bookmarkStart w:id="76" w:name="_Toc71923033"/>
      <w:bookmarkStart w:id="77" w:name="_Toc72502749"/>
      <w:r>
        <w:rPr/>
        <w:t>7.4.2.</w:t>
        <w:tab/>
        <w:t>Uavhengige variabler (individnivå)</w:t>
      </w:r>
      <w:bookmarkEnd w:id="76"/>
      <w:bookmarkEnd w:id="77"/>
    </w:p>
    <w:p>
      <w:pPr>
        <w:pStyle w:val="Heading4"/>
        <w:rPr>
          <w:i w:val="false"/>
          <w:i w:val="false"/>
          <w:iCs w:val="false"/>
        </w:rPr>
      </w:pPr>
      <w:r>
        <w:rPr>
          <w:i w:val="false"/>
          <w:iCs w:val="false"/>
        </w:rPr>
        <w:t>Politisk undertrykte etniske grupper</w:t>
      </w:r>
    </w:p>
    <w:p>
      <w:pPr>
        <w:pStyle w:val="Normal"/>
        <w:spacing w:lineRule="auto" w:line="360"/>
        <w:rPr/>
      </w:pPr>
      <w:r>
        <w:rPr/>
        <w:t xml:space="preserve">For å måle hvorvidt respondenten tilhører en etnisk gruppe som har opplevd politisk undertrykkelse, tar jeg i bruk data fra </w:t>
      </w:r>
      <w:r>
        <w:rPr>
          <w:i/>
          <w:iCs/>
        </w:rPr>
        <w:t>Ethnic Power Relations (EPR)</w:t>
      </w:r>
      <w:r>
        <w:rPr/>
        <w:t>.</w:t>
      </w:r>
      <w:r>
        <w:rPr>
          <w:color w:val="000000"/>
        </w:rPr>
        <w:t xml:space="preserve"> Tabell 3 gir en oversikt over hvilke grupper som anses som politisk dominant og politisk undertrykt ved et gitt årstverrsnitt. </w:t>
      </w:r>
    </w:p>
    <w:p>
      <w:pPr>
        <w:pStyle w:val="Normal"/>
        <w:spacing w:lineRule="auto" w:line="360"/>
        <w:rPr/>
      </w:pPr>
      <w:r>
        <w:rPr>
          <w:color w:val="000000"/>
        </w:rPr>
        <w:t xml:space="preserve">Ulike land i Afrika har ulik politisk tidslinje, noe som fører til at spørsmålet om hvilke etniske grupper som er politisk dominante og -undertrykte vil ha ulikt svar til ulik tid. Det er derfor viktig for variabelens innholdsvaliditet at det er gode teoretiske grunner til hvilket år som velges for de ulike landene. Oversikt over dette er presentert i tabell 3. For land som har hatt politisk maktdeling, er tverrsnittet satt ut ifra når maktdelingsavtalen ble signert, for å kunne måle politisk tillit i grupper definert før innføringen av maktdeling. På denne måten vil analysen kunne si noe om hvilken effekt innføringen av maktdeling har på politisk tilit. Når det gjelder land som ikke har hatt politisk maktdeling benytter jeg kontrafaktisk tenkning og tar utgangspunkt i det året landet </w:t>
      </w:r>
      <w:r>
        <w:rPr>
          <w:i/>
          <w:iCs/>
          <w:color w:val="000000"/>
        </w:rPr>
        <w:t xml:space="preserve">ikke </w:t>
      </w:r>
      <w:r>
        <w:rPr>
          <w:color w:val="000000"/>
        </w:rPr>
        <w:t>fikk maktdeling. Jeg har derfor valgt det året som representerer siste år med borgerkrig</w:t>
      </w:r>
      <w:r>
        <w:rPr>
          <w:rStyle w:val="FootnoteAnchor"/>
          <w:color w:val="000000"/>
        </w:rPr>
        <w:footnoteReference w:id="21"/>
      </w:r>
      <w:r>
        <w:rPr>
          <w:color w:val="000000"/>
        </w:rPr>
        <w:t>. På denne måten vil tverrsnittet være basert på samme prinsipp: Maktdeling eller ikke maktdeling etter endt borgerkrig. Et problem som må adresseres er at oversikten som viser dominante og undertrykte grupper starter i 1960. Dersom et land ikke har hatt borgerkrig etter 1960, er det ingen naturlige år å ta utgangspunkt i dersom tverrsnittet skal følge prinsippet om borgerkrig. For disse tilfellene har jeg tatt utgangspunkt i siste år med data fra EPR</w:t>
      </w:r>
      <w:r>
        <w:rPr>
          <w:rStyle w:val="FootnoteAnchor"/>
          <w:color w:val="000000"/>
        </w:rPr>
        <w:footnoteReference w:id="22"/>
      </w:r>
      <w:r>
        <w:rPr>
          <w:color w:val="000000"/>
        </w:rPr>
        <w:t>.</w:t>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rPr/>
      </w:pPr>
      <w:r>
        <w:rPr>
          <w:i/>
          <w:iCs/>
        </w:rPr>
        <w:t>Tabell 3: Politisk dominante og undertrykte grupper (</w:t>
      </w:r>
      <w:r>
        <w:rPr>
          <w:i/>
          <w:iCs/>
          <w:color w:val="000000"/>
        </w:rPr>
        <w:t>Vogt et al., 2015; Blattman &amp; Miguel, 2010)</w:t>
      </w:r>
    </w:p>
    <w:tbl>
      <w:tblPr>
        <w:tblW w:w="9062" w:type="dxa"/>
        <w:jc w:val="left"/>
        <w:tblInd w:w="0" w:type="dxa"/>
        <w:tblLayout w:type="fixed"/>
        <w:tblCellMar>
          <w:top w:w="0" w:type="dxa"/>
          <w:left w:w="108" w:type="dxa"/>
          <w:bottom w:w="0" w:type="dxa"/>
          <w:right w:w="108" w:type="dxa"/>
        </w:tblCellMar>
      </w:tblPr>
      <w:tblGrid>
        <w:gridCol w:w="2265"/>
        <w:gridCol w:w="2265"/>
        <w:gridCol w:w="2266"/>
        <w:gridCol w:w="2266"/>
      </w:tblGrid>
      <w:tr>
        <w:trPr/>
        <w:tc>
          <w:tcPr>
            <w:tcW w:w="2265" w:type="dxa"/>
            <w:tcBorders>
              <w:top w:val="single" w:sz="4" w:space="0" w:color="000000"/>
              <w:left w:val="single" w:sz="4" w:space="0" w:color="000000"/>
              <w:bottom w:val="single" w:sz="4" w:space="0" w:color="000000"/>
              <w:right w:val="single" w:sz="4" w:space="0" w:color="000000"/>
            </w:tcBorders>
            <w:shd w:fill="E7E6E6" w:val="clear"/>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Land</w:t>
            </w:r>
          </w:p>
        </w:tc>
        <w:tc>
          <w:tcPr>
            <w:tcW w:w="2265" w:type="dxa"/>
            <w:tcBorders>
              <w:top w:val="single" w:sz="4" w:space="0" w:color="000000"/>
              <w:left w:val="single" w:sz="4" w:space="0" w:color="000000"/>
              <w:bottom w:val="single" w:sz="4" w:space="0" w:color="000000"/>
              <w:right w:val="single" w:sz="4" w:space="0" w:color="000000"/>
            </w:tcBorders>
            <w:shd w:fill="E7E6E6" w:val="clear"/>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Politisk dominant gruppe</w:t>
            </w:r>
          </w:p>
        </w:tc>
        <w:tc>
          <w:tcPr>
            <w:tcW w:w="2266" w:type="dxa"/>
            <w:tcBorders>
              <w:top w:val="single" w:sz="4" w:space="0" w:color="000000"/>
              <w:left w:val="single" w:sz="4" w:space="0" w:color="000000"/>
              <w:bottom w:val="single" w:sz="4" w:space="0" w:color="000000"/>
              <w:right w:val="single" w:sz="4" w:space="0" w:color="000000"/>
            </w:tcBorders>
            <w:shd w:fill="E7E6E6" w:val="clear"/>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Politisk undertrykt gruppe</w:t>
            </w:r>
          </w:p>
        </w:tc>
        <w:tc>
          <w:tcPr>
            <w:tcW w:w="2266" w:type="dxa"/>
            <w:tcBorders>
              <w:top w:val="single" w:sz="4" w:space="0" w:color="000000"/>
              <w:left w:val="single" w:sz="4" w:space="0" w:color="000000"/>
              <w:bottom w:val="single" w:sz="4" w:space="0" w:color="000000"/>
              <w:right w:val="single" w:sz="4" w:space="0" w:color="000000"/>
            </w:tcBorders>
            <w:shd w:fill="E7E6E6" w:val="clear"/>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År</w:t>
            </w:r>
          </w:p>
        </w:tc>
      </w:tr>
      <w:tr>
        <w:trPr/>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Algerie</w:t>
            </w:r>
          </w:p>
        </w:tc>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Arabisk</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Berber</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2015</w:t>
            </w:r>
          </w:p>
        </w:tc>
      </w:tr>
      <w:tr>
        <w:trPr/>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Burkina Faso</w:t>
            </w:r>
          </w:p>
        </w:tc>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Mossi</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Ingen</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2010</w:t>
            </w:r>
          </w:p>
        </w:tc>
      </w:tr>
      <w:tr>
        <w:trPr/>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Elfenbenskysten*</w:t>
            </w:r>
          </w:p>
        </w:tc>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Akan, Gur</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Mandé, Kru</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2002</w:t>
            </w:r>
          </w:p>
        </w:tc>
      </w:tr>
      <w:tr>
        <w:trPr/>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Ghana</w:t>
            </w:r>
          </w:p>
        </w:tc>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Akan</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Ingen</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2007</w:t>
            </w:r>
          </w:p>
        </w:tc>
      </w:tr>
      <w:tr>
        <w:trPr/>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Guinea</w:t>
            </w:r>
          </w:p>
        </w:tc>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Malinke</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Fulami (Peuhl)</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2010</w:t>
            </w:r>
          </w:p>
        </w:tc>
      </w:tr>
      <w:tr>
        <w:trPr/>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Kenya*</w:t>
            </w:r>
          </w:p>
        </w:tc>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Kikuya</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Luo, Kisii, Somali</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b-NO" w:eastAsia="en-US" w:bidi="ar-SA"/>
              </w:rPr>
            </w:pPr>
            <w:r>
              <w:rPr>
                <w:rFonts w:eastAsia="Calibri"/>
                <w:kern w:val="0"/>
                <w:szCs w:val="22"/>
                <w:lang w:val="nb-NO" w:eastAsia="en-US" w:bidi="ar-SA"/>
              </w:rPr>
            </w:r>
          </w:p>
        </w:tc>
      </w:tr>
      <w:tr>
        <w:trPr/>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Liberia*</w:t>
            </w:r>
          </w:p>
        </w:tc>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Americo-Liberians</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Kpelle, Mandingo</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2003</w:t>
            </w:r>
          </w:p>
        </w:tc>
      </w:tr>
      <w:tr>
        <w:trPr/>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Mali</w:t>
            </w:r>
          </w:p>
        </w:tc>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Arab, Mande, Peuhl, Tuareg</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Ingen</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2015</w:t>
            </w:r>
          </w:p>
        </w:tc>
      </w:tr>
      <w:tr>
        <w:trPr/>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Mosambik*</w:t>
            </w:r>
          </w:p>
        </w:tc>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Makonde, Chope</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Shona-Ndau</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1992</w:t>
            </w:r>
          </w:p>
        </w:tc>
      </w:tr>
      <w:tr>
        <w:trPr/>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Niger</w:t>
            </w:r>
          </w:p>
        </w:tc>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Djerma-Songhai</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Hausa, Kanouri, Toubou, Tuareg</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1997</w:t>
            </w:r>
          </w:p>
        </w:tc>
      </w:tr>
      <w:tr>
        <w:trPr/>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Nigeria</w:t>
            </w:r>
          </w:p>
        </w:tc>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Hausa-Fulani, Igbo, Yoruba</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Ijaw, Ogoni, Tiv</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2004</w:t>
            </w:r>
          </w:p>
        </w:tc>
      </w:tr>
      <w:tr>
        <w:trPr/>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Senegal</w:t>
            </w:r>
          </w:p>
        </w:tc>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Pulaar</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Diola</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2015</w:t>
            </w:r>
          </w:p>
        </w:tc>
      </w:tr>
      <w:tr>
        <w:trPr/>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Sierra Leone</w:t>
            </w:r>
          </w:p>
        </w:tc>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Mende</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Kono, Temne, Limba, Kreole</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2002</w:t>
            </w:r>
          </w:p>
        </w:tc>
      </w:tr>
      <w:tr>
        <w:trPr/>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Sør-Afrika*</w:t>
            </w:r>
          </w:p>
        </w:tc>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Afrikaners</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Black African, Colored, Zulu</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1993</w:t>
            </w:r>
          </w:p>
        </w:tc>
      </w:tr>
      <w:tr>
        <w:trPr/>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Uganda</w:t>
            </w:r>
          </w:p>
        </w:tc>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Mutooro, Muganda, Musoga</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Ateso, Langi, Acholi, Madi</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2011</w:t>
            </w:r>
          </w:p>
        </w:tc>
      </w:tr>
      <w:tr>
        <w:trPr/>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Zimbabwe*</w:t>
            </w:r>
          </w:p>
        </w:tc>
        <w:tc>
          <w:tcPr>
            <w:tcW w:w="226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Shona</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Ndebele, Kalanga, Tonga</w:t>
            </w:r>
          </w:p>
        </w:tc>
        <w:tc>
          <w:tcPr>
            <w:tcW w:w="226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2008</w:t>
            </w:r>
          </w:p>
        </w:tc>
      </w:tr>
    </w:tbl>
    <w:p>
      <w:pPr>
        <w:pStyle w:val="Normal"/>
        <w:spacing w:lineRule="auto" w:line="240"/>
        <w:rPr/>
      </w:pPr>
      <w:r>
        <w:rPr>
          <w:sz w:val="22"/>
          <w:szCs w:val="20"/>
          <w:lang w:val="en-US"/>
        </w:rPr>
        <w:t xml:space="preserve">*Land </w:t>
      </w:r>
      <w:r>
        <w:rPr>
          <w:sz w:val="22"/>
          <w:szCs w:val="20"/>
        </w:rPr>
        <w:t>med politisk maktdeling</w:t>
      </w:r>
    </w:p>
    <w:p>
      <w:pPr>
        <w:pStyle w:val="Normal"/>
        <w:spacing w:lineRule="auto" w:line="240"/>
        <w:rPr>
          <w:b/>
          <w:b/>
          <w:bCs/>
          <w:lang w:val="en-US"/>
        </w:rPr>
      </w:pPr>
      <w:r>
        <w:rPr>
          <w:b/>
          <w:bCs/>
          <w:lang w:val="en-US"/>
        </w:rPr>
      </w:r>
    </w:p>
    <w:p>
      <w:pPr>
        <w:pStyle w:val="Normal"/>
        <w:spacing w:lineRule="auto" w:line="240"/>
        <w:rPr/>
      </w:pPr>
      <w:r>
        <w:rPr>
          <w:b/>
          <w:bCs/>
          <w:lang w:val="en-US"/>
        </w:rPr>
        <w:br/>
      </w:r>
      <w:r>
        <w:rPr>
          <w:i/>
          <w:iCs/>
          <w:sz w:val="22"/>
          <w:szCs w:val="20"/>
          <w:lang w:val="en-US"/>
        </w:rPr>
        <w:t>Tabell 4</w:t>
      </w:r>
      <w:r>
        <w:rPr>
          <w:i/>
          <w:iCs/>
          <w:sz w:val="22"/>
          <w:szCs w:val="20"/>
        </w:rPr>
        <w:t>: Politisk dominante -og undertrykte grupper</w:t>
      </w:r>
      <w:r>
        <w:rPr>
          <w:i/>
          <w:iCs/>
          <w:sz w:val="22"/>
          <w:szCs w:val="20"/>
          <w:lang w:val="en-US"/>
        </w:rPr>
        <w:t xml:space="preserve">  </w:t>
      </w:r>
    </w:p>
    <w:tbl>
      <w:tblPr>
        <w:tblW w:w="4008" w:type="dxa"/>
        <w:jc w:val="left"/>
        <w:tblInd w:w="0" w:type="dxa"/>
        <w:tblLayout w:type="fixed"/>
        <w:tblCellMar>
          <w:top w:w="0" w:type="dxa"/>
          <w:left w:w="108" w:type="dxa"/>
          <w:bottom w:w="0" w:type="dxa"/>
          <w:right w:w="108" w:type="dxa"/>
        </w:tblCellMar>
      </w:tblPr>
      <w:tblGrid>
        <w:gridCol w:w="1307"/>
        <w:gridCol w:w="901"/>
        <w:gridCol w:w="899"/>
        <w:gridCol w:w="901"/>
      </w:tblGrid>
      <w:tr>
        <w:trPr/>
        <w:tc>
          <w:tcPr>
            <w:tcW w:w="1307" w:type="dxa"/>
            <w:tcBorders>
              <w:top w:val="single" w:sz="4" w:space="0" w:color="000000"/>
              <w:bottom w:val="single" w:sz="10" w:space="0" w:color="000000"/>
            </w:tcBorders>
          </w:tcPr>
          <w:p>
            <w:pPr>
              <w:pStyle w:val="Normal"/>
              <w:widowControl w:val="false"/>
              <w:spacing w:lineRule="auto" w:line="240" w:before="0" w:after="160"/>
              <w:rPr>
                <w:sz w:val="22"/>
                <w:szCs w:val="20"/>
                <w:lang w:val="en-US"/>
              </w:rPr>
            </w:pPr>
            <w:r>
              <w:rPr>
                <w:sz w:val="22"/>
                <w:szCs w:val="20"/>
                <w:lang w:val="en-US"/>
              </w:rPr>
            </w:r>
          </w:p>
        </w:tc>
        <w:tc>
          <w:tcPr>
            <w:tcW w:w="901" w:type="dxa"/>
            <w:tcBorders>
              <w:top w:val="single" w:sz="4" w:space="0" w:color="000000"/>
              <w:bottom w:val="single" w:sz="10" w:space="0" w:color="000000"/>
            </w:tcBorders>
          </w:tcPr>
          <w:p>
            <w:pPr>
              <w:pStyle w:val="Normal"/>
              <w:widowControl w:val="false"/>
              <w:spacing w:lineRule="auto" w:line="240" w:before="0" w:after="160"/>
              <w:rPr>
                <w:sz w:val="22"/>
                <w:szCs w:val="20"/>
                <w:lang w:val="en-US"/>
              </w:rPr>
            </w:pPr>
            <w:r>
              <w:rPr>
                <w:sz w:val="22"/>
                <w:szCs w:val="20"/>
                <w:lang w:val="en-US"/>
              </w:rPr>
              <w:t>Freq.</w:t>
            </w:r>
          </w:p>
        </w:tc>
        <w:tc>
          <w:tcPr>
            <w:tcW w:w="899" w:type="dxa"/>
            <w:tcBorders>
              <w:top w:val="single" w:sz="4" w:space="0" w:color="000000"/>
              <w:bottom w:val="single" w:sz="10" w:space="0" w:color="000000"/>
            </w:tcBorders>
          </w:tcPr>
          <w:p>
            <w:pPr>
              <w:pStyle w:val="Normal"/>
              <w:widowControl w:val="false"/>
              <w:spacing w:lineRule="auto" w:line="240" w:before="0" w:after="160"/>
              <w:rPr>
                <w:sz w:val="22"/>
                <w:szCs w:val="20"/>
                <w:lang w:val="en-US"/>
              </w:rPr>
            </w:pPr>
            <w:r>
              <w:rPr>
                <w:sz w:val="22"/>
                <w:szCs w:val="20"/>
                <w:lang w:val="en-US"/>
              </w:rPr>
              <w:t>Percent</w:t>
            </w:r>
          </w:p>
        </w:tc>
        <w:tc>
          <w:tcPr>
            <w:tcW w:w="901" w:type="dxa"/>
            <w:tcBorders>
              <w:top w:val="single" w:sz="4" w:space="0" w:color="000000"/>
              <w:bottom w:val="single" w:sz="10" w:space="0" w:color="000000"/>
            </w:tcBorders>
          </w:tcPr>
          <w:p>
            <w:pPr>
              <w:pStyle w:val="Normal"/>
              <w:widowControl w:val="false"/>
              <w:spacing w:lineRule="auto" w:line="240" w:before="0" w:after="160"/>
              <w:rPr>
                <w:sz w:val="22"/>
                <w:szCs w:val="20"/>
                <w:lang w:val="en-US"/>
              </w:rPr>
            </w:pPr>
            <w:r>
              <w:rPr>
                <w:sz w:val="22"/>
                <w:szCs w:val="20"/>
                <w:lang w:val="en-US"/>
              </w:rPr>
              <w:t>Cum.</w:t>
            </w:r>
          </w:p>
        </w:tc>
      </w:tr>
      <w:tr>
        <w:trPr/>
        <w:tc>
          <w:tcPr>
            <w:tcW w:w="1307" w:type="dxa"/>
            <w:tcBorders/>
          </w:tcPr>
          <w:p>
            <w:pPr>
              <w:pStyle w:val="Normal"/>
              <w:widowControl w:val="false"/>
              <w:spacing w:lineRule="auto" w:line="240" w:before="0" w:after="160"/>
              <w:rPr>
                <w:sz w:val="22"/>
                <w:szCs w:val="20"/>
              </w:rPr>
            </w:pPr>
            <w:r>
              <w:rPr>
                <w:sz w:val="22"/>
                <w:szCs w:val="20"/>
              </w:rPr>
              <w:t>Politisk dominant</w:t>
            </w:r>
          </w:p>
        </w:tc>
        <w:tc>
          <w:tcPr>
            <w:tcW w:w="901" w:type="dxa"/>
            <w:tcBorders/>
          </w:tcPr>
          <w:p>
            <w:pPr>
              <w:pStyle w:val="Normal"/>
              <w:widowControl w:val="false"/>
              <w:spacing w:lineRule="auto" w:line="240" w:before="0" w:after="160"/>
              <w:rPr>
                <w:sz w:val="22"/>
                <w:szCs w:val="20"/>
                <w:lang w:val="en-US"/>
              </w:rPr>
            </w:pPr>
            <w:r>
              <w:rPr>
                <w:sz w:val="22"/>
                <w:szCs w:val="20"/>
                <w:lang w:val="en-US"/>
              </w:rPr>
              <w:t>7834</w:t>
            </w:r>
          </w:p>
        </w:tc>
        <w:tc>
          <w:tcPr>
            <w:tcW w:w="899" w:type="dxa"/>
            <w:tcBorders/>
          </w:tcPr>
          <w:p>
            <w:pPr>
              <w:pStyle w:val="Normal"/>
              <w:widowControl w:val="false"/>
              <w:spacing w:lineRule="auto" w:line="240" w:before="0" w:after="160"/>
              <w:rPr>
                <w:sz w:val="22"/>
                <w:szCs w:val="20"/>
                <w:lang w:val="en-US"/>
              </w:rPr>
            </w:pPr>
            <w:r>
              <w:rPr>
                <w:sz w:val="22"/>
                <w:szCs w:val="20"/>
                <w:lang w:val="en-US"/>
              </w:rPr>
              <w:t>61.29</w:t>
            </w:r>
          </w:p>
        </w:tc>
        <w:tc>
          <w:tcPr>
            <w:tcW w:w="901" w:type="dxa"/>
            <w:tcBorders/>
          </w:tcPr>
          <w:p>
            <w:pPr>
              <w:pStyle w:val="Normal"/>
              <w:widowControl w:val="false"/>
              <w:spacing w:lineRule="auto" w:line="240" w:before="0" w:after="160"/>
              <w:rPr>
                <w:sz w:val="22"/>
                <w:szCs w:val="20"/>
                <w:lang w:val="en-US"/>
              </w:rPr>
            </w:pPr>
            <w:r>
              <w:rPr>
                <w:sz w:val="22"/>
                <w:szCs w:val="20"/>
                <w:lang w:val="en-US"/>
              </w:rPr>
              <w:t>61.29</w:t>
            </w:r>
          </w:p>
        </w:tc>
      </w:tr>
      <w:tr>
        <w:trPr/>
        <w:tc>
          <w:tcPr>
            <w:tcW w:w="1307" w:type="dxa"/>
            <w:tcBorders/>
          </w:tcPr>
          <w:p>
            <w:pPr>
              <w:pStyle w:val="Normal"/>
              <w:widowControl w:val="false"/>
              <w:spacing w:lineRule="auto" w:line="240" w:before="0" w:after="160"/>
              <w:rPr>
                <w:sz w:val="22"/>
                <w:szCs w:val="20"/>
              </w:rPr>
            </w:pPr>
            <w:r>
              <w:rPr>
                <w:sz w:val="22"/>
                <w:szCs w:val="20"/>
              </w:rPr>
              <w:t>Politisk undertrykt</w:t>
            </w:r>
          </w:p>
        </w:tc>
        <w:tc>
          <w:tcPr>
            <w:tcW w:w="901" w:type="dxa"/>
            <w:tcBorders/>
          </w:tcPr>
          <w:p>
            <w:pPr>
              <w:pStyle w:val="Normal"/>
              <w:widowControl w:val="false"/>
              <w:spacing w:lineRule="auto" w:line="240" w:before="0" w:after="160"/>
              <w:rPr>
                <w:sz w:val="22"/>
                <w:szCs w:val="20"/>
                <w:lang w:val="en-US"/>
              </w:rPr>
            </w:pPr>
            <w:r>
              <w:rPr>
                <w:sz w:val="22"/>
                <w:szCs w:val="20"/>
                <w:lang w:val="en-US"/>
              </w:rPr>
              <w:t>4947</w:t>
            </w:r>
          </w:p>
        </w:tc>
        <w:tc>
          <w:tcPr>
            <w:tcW w:w="899" w:type="dxa"/>
            <w:tcBorders/>
          </w:tcPr>
          <w:p>
            <w:pPr>
              <w:pStyle w:val="Normal"/>
              <w:widowControl w:val="false"/>
              <w:spacing w:lineRule="auto" w:line="240" w:before="0" w:after="160"/>
              <w:rPr>
                <w:sz w:val="22"/>
                <w:szCs w:val="20"/>
                <w:lang w:val="en-US"/>
              </w:rPr>
            </w:pPr>
            <w:r>
              <w:rPr>
                <w:sz w:val="22"/>
                <w:szCs w:val="20"/>
                <w:lang w:val="en-US"/>
              </w:rPr>
              <w:t>38.71</w:t>
            </w:r>
          </w:p>
        </w:tc>
        <w:tc>
          <w:tcPr>
            <w:tcW w:w="901" w:type="dxa"/>
            <w:tcBorders/>
          </w:tcPr>
          <w:p>
            <w:pPr>
              <w:pStyle w:val="Normal"/>
              <w:widowControl w:val="false"/>
              <w:spacing w:lineRule="auto" w:line="240" w:before="0" w:after="160"/>
              <w:rPr>
                <w:sz w:val="22"/>
                <w:szCs w:val="20"/>
                <w:lang w:val="en-US"/>
              </w:rPr>
            </w:pPr>
            <w:r>
              <w:rPr>
                <w:sz w:val="22"/>
                <w:szCs w:val="20"/>
                <w:lang w:val="en-US"/>
              </w:rPr>
              <w:t>100.00</w:t>
            </w:r>
          </w:p>
        </w:tc>
      </w:tr>
      <w:tr>
        <w:trPr/>
        <w:tc>
          <w:tcPr>
            <w:tcW w:w="1307" w:type="dxa"/>
            <w:tcBorders>
              <w:top w:val="single" w:sz="4" w:space="0" w:color="000000"/>
            </w:tcBorders>
          </w:tcPr>
          <w:p>
            <w:pPr>
              <w:pStyle w:val="Normal"/>
              <w:widowControl w:val="false"/>
              <w:spacing w:lineRule="auto" w:line="240" w:before="0" w:after="160"/>
              <w:rPr>
                <w:sz w:val="22"/>
                <w:szCs w:val="20"/>
                <w:lang w:val="en-US"/>
              </w:rPr>
            </w:pPr>
            <w:r>
              <w:rPr>
                <w:sz w:val="22"/>
                <w:szCs w:val="20"/>
                <w:lang w:val="en-US"/>
              </w:rPr>
              <w:t>Total</w:t>
            </w:r>
          </w:p>
        </w:tc>
        <w:tc>
          <w:tcPr>
            <w:tcW w:w="901" w:type="dxa"/>
            <w:tcBorders>
              <w:top w:val="single" w:sz="4" w:space="0" w:color="000000"/>
            </w:tcBorders>
          </w:tcPr>
          <w:p>
            <w:pPr>
              <w:pStyle w:val="Normal"/>
              <w:widowControl w:val="false"/>
              <w:spacing w:lineRule="auto" w:line="240" w:before="0" w:after="160"/>
              <w:rPr>
                <w:sz w:val="22"/>
                <w:szCs w:val="20"/>
                <w:lang w:val="en-US"/>
              </w:rPr>
            </w:pPr>
            <w:r>
              <w:rPr>
                <w:sz w:val="22"/>
                <w:szCs w:val="20"/>
                <w:lang w:val="en-US"/>
              </w:rPr>
              <w:t>12781</w:t>
            </w:r>
          </w:p>
        </w:tc>
        <w:tc>
          <w:tcPr>
            <w:tcW w:w="899" w:type="dxa"/>
            <w:tcBorders>
              <w:top w:val="single" w:sz="4" w:space="0" w:color="000000"/>
            </w:tcBorders>
          </w:tcPr>
          <w:p>
            <w:pPr>
              <w:pStyle w:val="Normal"/>
              <w:widowControl w:val="false"/>
              <w:spacing w:lineRule="auto" w:line="240" w:before="0" w:after="160"/>
              <w:rPr>
                <w:sz w:val="22"/>
                <w:szCs w:val="20"/>
                <w:lang w:val="en-US"/>
              </w:rPr>
            </w:pPr>
            <w:r>
              <w:rPr>
                <w:sz w:val="22"/>
                <w:szCs w:val="20"/>
                <w:lang w:val="en-US"/>
              </w:rPr>
              <w:t>100.00</w:t>
            </w:r>
          </w:p>
        </w:tc>
        <w:tc>
          <w:tcPr>
            <w:tcW w:w="901" w:type="dxa"/>
            <w:tcBorders>
              <w:top w:val="single" w:sz="4" w:space="0" w:color="000000"/>
            </w:tcBorders>
          </w:tcPr>
          <w:p>
            <w:pPr>
              <w:pStyle w:val="Normal"/>
              <w:widowControl w:val="false"/>
              <w:spacing w:lineRule="auto" w:line="240" w:before="0" w:after="160"/>
              <w:rPr>
                <w:sz w:val="22"/>
                <w:szCs w:val="20"/>
                <w:lang w:val="en-US"/>
              </w:rPr>
            </w:pPr>
            <w:r>
              <w:rPr>
                <w:sz w:val="22"/>
                <w:szCs w:val="20"/>
                <w:lang w:val="en-US"/>
              </w:rPr>
            </w:r>
          </w:p>
        </w:tc>
      </w:tr>
    </w:tbl>
    <w:p>
      <w:pPr>
        <w:pStyle w:val="Heading4"/>
        <w:rPr>
          <w:i w:val="false"/>
          <w:i w:val="false"/>
          <w:iCs w:val="false"/>
        </w:rPr>
      </w:pPr>
      <w:r>
        <w:rPr>
          <w:i w:val="false"/>
          <w:iCs w:val="false"/>
        </w:rPr>
      </w:r>
    </w:p>
    <w:p>
      <w:pPr>
        <w:pStyle w:val="Normal"/>
        <w:spacing w:lineRule="auto" w:line="360"/>
        <w:rPr/>
      </w:pPr>
      <w:r>
        <w:rPr/>
        <w:t>Vi ser i tabell 4 at 38,71% av utvalget av respondenter tilhører en politisk undertrykt gruppe. Variabelen er dummy-kodet, hvor undertrykt kodes 1, og dominant kodes 0. Personer som ikke faller inn under verken politisk undertrykt -eller dominant (fra tabell 3), vil ikke bli representert i videre analyser. Dette betyr at halvparten av de etniske gruppene som er representert vil ekskluderes. En ulempe med dette vil være at mangfoldet av etniske grupper ikke vil representeres, og vi vil ikke få svar på hvordan maktdeling påvirker politisk tillit hos personer som tilhører etniske grupper som faller imellom det dominante og undertrykte aspektet. Imidlertid søker denne oppgaven å måle hvordan politisk undertrykte grupper påvirkes av maktdeling, og ut ifra dette vil analysens validitet skades av å inkludere grupper som ikke tilhører noen av disse gruppene. Å bestemme hvilke grupper som anses som dominante og undertrykte kan være forbundet med unøyaktighet, og andre analyser av samme problemstilling kan benytte andre mål. Denne oppgaven tar utgangspunkt i EPRs database (Vogt et al., 2015), men det vil være interessant å undersøke hvorvidt andre datakilder eller operasjonaliseringer ville gitt andre resultater.</w:t>
      </w:r>
    </w:p>
    <w:p>
      <w:pPr>
        <w:pStyle w:val="Heading4"/>
        <w:spacing w:lineRule="auto" w:line="360"/>
        <w:rPr>
          <w:i w:val="false"/>
          <w:i w:val="false"/>
          <w:iCs w:val="false"/>
        </w:rPr>
      </w:pPr>
      <w:r>
        <w:rPr>
          <w:i w:val="false"/>
          <w:iCs w:val="false"/>
        </w:rPr>
        <w:t>Kjønn</w:t>
      </w:r>
    </w:p>
    <w:p>
      <w:pPr>
        <w:pStyle w:val="Normal"/>
        <w:spacing w:lineRule="auto" w:line="360"/>
        <w:rPr/>
      </w:pPr>
      <w:r>
        <w:rPr/>
        <w:t>Kjønnsvariabelen er kodet 1 dersom respondenten er kvinne, og kodet 0 dersom respondenten er mann. Datasettet består av 49% kvinner (. Kjønnsvariabelen er ikke stratifisert, men en nøye foretatt samplingteknikk sikrer et jevnt utvalg blant kjønn. Dette innebærer blant annet å kaste krone og mynt for å avgjøre hvilket kjønn som først skal intervjues den første dagen av intervjurunden (Afrobarometer, 2014).</w:t>
      </w:r>
    </w:p>
    <w:p>
      <w:pPr>
        <w:pStyle w:val="Normal"/>
        <w:spacing w:lineRule="auto" w:line="360"/>
        <w:rPr/>
      </w:pPr>
      <w:r>
        <w:rPr/>
      </w:r>
    </w:p>
    <w:p>
      <w:pPr>
        <w:pStyle w:val="Heading3"/>
        <w:spacing w:lineRule="auto" w:line="360"/>
        <w:rPr/>
      </w:pPr>
      <w:bookmarkStart w:id="78" w:name="_Toc72502750"/>
      <w:bookmarkStart w:id="79" w:name="_Toc71923034"/>
      <w:r>
        <w:rPr/>
        <w:t>7.4.3.</w:t>
        <w:tab/>
        <w:t>Uavhengige variabler (landnivå)</w:t>
      </w:r>
      <w:bookmarkEnd w:id="78"/>
      <w:bookmarkEnd w:id="79"/>
    </w:p>
    <w:p>
      <w:pPr>
        <w:pStyle w:val="Heading4"/>
        <w:spacing w:lineRule="auto" w:line="360"/>
        <w:rPr>
          <w:i w:val="false"/>
          <w:i w:val="false"/>
          <w:iCs w:val="false"/>
        </w:rPr>
      </w:pPr>
      <w:r>
        <w:rPr>
          <w:i w:val="false"/>
          <w:iCs w:val="false"/>
        </w:rPr>
        <w:t>Politisk maktdeling</w:t>
      </w:r>
    </w:p>
    <w:p>
      <w:pPr>
        <w:pStyle w:val="Normal"/>
        <w:spacing w:lineRule="auto" w:line="360"/>
        <w:rPr/>
      </w:pPr>
      <w:r>
        <w:rPr/>
        <w:t>Oppgavens uavhengige variabel på landnivå måler om et land har hatt politisk maktdeling (1) eller om landet ikke har hatt det (0). Variabelen baserer seg i utgangspunktet på 20 land, hvorav ni land har hatt politisk maktdeling. I tabell 6 ser vi at 47,48% av respondentene tilhører et maktdelingsland. Grunnet manglende data på etniske grupper, mister vi fire land ved å inkludere variabelen for undertrykte grupper. Tre av disse er maktdelingsland. Når hypotesene om politisk undertrykte grupper skal testes, vil derfor N2 falle fra 20 til 16. Som vi ser i tabell 7 tilhører 48,79% av individutvalget et land med politisk maktdeling. Oversikt over inkluderte land er vist i tabell 9 (N2=20) og tabell 10 (N2=16).</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240"/>
        <w:rPr>
          <w:i/>
          <w:i/>
          <w:iCs/>
        </w:rPr>
      </w:pPr>
      <w:r>
        <w:rPr>
          <w:i/>
          <w:iCs/>
        </w:rPr>
        <w:t>Tabell 5: Politiske maktdelingsavtaler blant utvalget av land (Cammet &amp; Malesky, 2012; PSED, 2015; Peace Agreements Database, 2021)</w:t>
      </w:r>
    </w:p>
    <w:tbl>
      <w:tblPr>
        <w:tblW w:w="9062" w:type="dxa"/>
        <w:jc w:val="left"/>
        <w:tblInd w:w="0" w:type="dxa"/>
        <w:tblLayout w:type="fixed"/>
        <w:tblCellMar>
          <w:top w:w="0" w:type="dxa"/>
          <w:left w:w="108" w:type="dxa"/>
          <w:bottom w:w="0" w:type="dxa"/>
          <w:right w:w="108" w:type="dxa"/>
        </w:tblCellMar>
      </w:tblPr>
      <w:tblGrid>
        <w:gridCol w:w="2291"/>
        <w:gridCol w:w="2518"/>
        <w:gridCol w:w="1746"/>
        <w:gridCol w:w="1303"/>
        <w:gridCol w:w="1204"/>
      </w:tblGrid>
      <w:tr>
        <w:trPr>
          <w:trHeight w:val="679" w:hRule="atLeast"/>
        </w:trPr>
        <w:tc>
          <w:tcPr>
            <w:tcW w:w="2291" w:type="dxa"/>
            <w:tcBorders>
              <w:top w:val="single" w:sz="4" w:space="0" w:color="000000"/>
              <w:left w:val="single" w:sz="4" w:space="0" w:color="000000"/>
              <w:bottom w:val="single" w:sz="4" w:space="0" w:color="000000"/>
              <w:right w:val="single" w:sz="4" w:space="0" w:color="000000"/>
            </w:tcBorders>
            <w:shd w:fill="E7E6E6" w:val="clear"/>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Land</w:t>
            </w:r>
          </w:p>
        </w:tc>
        <w:tc>
          <w:tcPr>
            <w:tcW w:w="2518" w:type="dxa"/>
            <w:tcBorders>
              <w:top w:val="single" w:sz="4" w:space="0" w:color="000000"/>
              <w:left w:val="single" w:sz="4" w:space="0" w:color="000000"/>
              <w:bottom w:val="single" w:sz="4" w:space="0" w:color="000000"/>
              <w:right w:val="single" w:sz="4" w:space="0" w:color="000000"/>
            </w:tcBorders>
            <w:shd w:fill="E7E6E6" w:val="clear"/>
          </w:tcPr>
          <w:p>
            <w:pPr>
              <w:pStyle w:val="Normal"/>
              <w:widowControl/>
              <w:spacing w:lineRule="auto" w:line="240" w:before="0" w:after="0"/>
              <w:jc w:val="left"/>
              <w:rPr>
                <w:rFonts w:eastAsia="Calibri"/>
                <w:kern w:val="0"/>
                <w:szCs w:val="22"/>
                <w:lang w:val="nb-NO" w:eastAsia="en-US" w:bidi="ar-SA"/>
              </w:rPr>
            </w:pPr>
            <w:r>
              <w:rPr>
                <w:rFonts w:eastAsia="Calibri"/>
                <w:kern w:val="0"/>
                <w:szCs w:val="22"/>
                <w:lang w:val="nb-NO" w:eastAsia="en-US" w:bidi="ar-SA"/>
              </w:rPr>
              <w:t>Navn på avtale</w:t>
            </w:r>
          </w:p>
        </w:tc>
        <w:tc>
          <w:tcPr>
            <w:tcW w:w="1746" w:type="dxa"/>
            <w:tcBorders>
              <w:top w:val="single" w:sz="4" w:space="0" w:color="000000"/>
              <w:left w:val="single" w:sz="4" w:space="0" w:color="000000"/>
              <w:bottom w:val="single" w:sz="4" w:space="0" w:color="000000"/>
              <w:right w:val="single" w:sz="4" w:space="0" w:color="000000"/>
            </w:tcBorders>
            <w:shd w:fill="E7E6E6" w:val="clear"/>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Opprørsk gruppe</w:t>
            </w:r>
          </w:p>
        </w:tc>
        <w:tc>
          <w:tcPr>
            <w:tcW w:w="1303" w:type="dxa"/>
            <w:tcBorders>
              <w:top w:val="single" w:sz="4" w:space="0" w:color="000000"/>
              <w:left w:val="single" w:sz="4" w:space="0" w:color="000000"/>
              <w:bottom w:val="single" w:sz="4" w:space="0" w:color="000000"/>
              <w:right w:val="single" w:sz="4" w:space="0" w:color="000000"/>
            </w:tcBorders>
            <w:shd w:fill="E7E6E6" w:val="clear"/>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Avtale signert (år)</w:t>
            </w:r>
          </w:p>
        </w:tc>
        <w:tc>
          <w:tcPr>
            <w:tcW w:w="1204" w:type="dxa"/>
            <w:tcBorders>
              <w:top w:val="single" w:sz="4" w:space="0" w:color="000000"/>
              <w:left w:val="single" w:sz="4" w:space="0" w:color="000000"/>
              <w:bottom w:val="single" w:sz="4" w:space="0" w:color="000000"/>
              <w:right w:val="single" w:sz="4" w:space="0" w:color="000000"/>
            </w:tcBorders>
            <w:shd w:fill="E7E6E6" w:val="clear"/>
          </w:tcPr>
          <w:p>
            <w:pPr>
              <w:pStyle w:val="Normal"/>
              <w:widowControl/>
              <w:spacing w:lineRule="auto" w:line="240" w:before="0" w:after="0"/>
              <w:jc w:val="left"/>
              <w:rPr>
                <w:rFonts w:eastAsia="Calibri"/>
                <w:kern w:val="0"/>
                <w:szCs w:val="22"/>
                <w:lang w:val="nb-NO" w:eastAsia="en-US" w:bidi="ar-SA"/>
              </w:rPr>
            </w:pPr>
            <w:r>
              <w:rPr>
                <w:rFonts w:eastAsia="Calibri"/>
                <w:kern w:val="0"/>
                <w:szCs w:val="22"/>
                <w:lang w:val="nb-NO" w:eastAsia="en-US" w:bidi="ar-SA"/>
              </w:rPr>
              <w:t>Kvinners rettigheter nevnt i avtale</w:t>
            </w:r>
          </w:p>
        </w:tc>
      </w:tr>
      <w:tr>
        <w:trPr>
          <w:trHeight w:val="444" w:hRule="atLeast"/>
        </w:trPr>
        <w:tc>
          <w:tcPr>
            <w:tcW w:w="22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Elfenbenskysten</w:t>
            </w:r>
          </w:p>
        </w:tc>
        <w:tc>
          <w:tcPr>
            <w:tcW w:w="25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Linas-Marcoussis Peace Accords</w:t>
            </w:r>
          </w:p>
        </w:tc>
        <w:tc>
          <w:tcPr>
            <w:tcW w:w="174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MJP, MCI, MPIGO</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2003</w:t>
            </w:r>
          </w:p>
        </w:tc>
        <w:tc>
          <w:tcPr>
            <w:tcW w:w="12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Ja</w:t>
            </w:r>
          </w:p>
        </w:tc>
      </w:tr>
      <w:tr>
        <w:trPr>
          <w:trHeight w:val="457" w:hRule="atLeast"/>
        </w:trPr>
        <w:tc>
          <w:tcPr>
            <w:tcW w:w="22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Elfenbenskysten</w:t>
            </w:r>
          </w:p>
        </w:tc>
        <w:tc>
          <w:tcPr>
            <w:tcW w:w="25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Accra II</w:t>
            </w:r>
          </w:p>
        </w:tc>
        <w:tc>
          <w:tcPr>
            <w:tcW w:w="174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MJP, MCI, MPIGO</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2003</w:t>
            </w:r>
          </w:p>
        </w:tc>
        <w:tc>
          <w:tcPr>
            <w:tcW w:w="12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Nei</w:t>
            </w:r>
          </w:p>
        </w:tc>
      </w:tr>
      <w:tr>
        <w:trPr>
          <w:trHeight w:val="444" w:hRule="atLeast"/>
        </w:trPr>
        <w:tc>
          <w:tcPr>
            <w:tcW w:w="22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Elfenbenskysten</w:t>
            </w:r>
          </w:p>
        </w:tc>
        <w:tc>
          <w:tcPr>
            <w:tcW w:w="25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Accra III</w:t>
            </w:r>
          </w:p>
        </w:tc>
        <w:tc>
          <w:tcPr>
            <w:tcW w:w="174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MJP, MCI, MPIGO</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2004</w:t>
            </w:r>
          </w:p>
        </w:tc>
        <w:tc>
          <w:tcPr>
            <w:tcW w:w="12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Nei</w:t>
            </w:r>
          </w:p>
        </w:tc>
      </w:tr>
      <w:tr>
        <w:trPr>
          <w:trHeight w:val="914" w:hRule="atLeast"/>
        </w:trPr>
        <w:tc>
          <w:tcPr>
            <w:tcW w:w="22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Elfenbenskysten</w:t>
            </w:r>
          </w:p>
        </w:tc>
        <w:tc>
          <w:tcPr>
            <w:tcW w:w="25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en-US" w:eastAsia="en-US" w:bidi="ar-SA"/>
              </w:rPr>
            </w:pPr>
            <w:r>
              <w:rPr>
                <w:rFonts w:eastAsia="Calibri"/>
                <w:kern w:val="0"/>
                <w:szCs w:val="22"/>
                <w:lang w:val="en-US" w:eastAsia="en-US" w:bidi="ar-SA"/>
              </w:rPr>
              <w:t>Pretoria Agreement on the Peace Process in Côte d’Ivorie</w:t>
            </w:r>
          </w:p>
        </w:tc>
        <w:tc>
          <w:tcPr>
            <w:tcW w:w="174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FRCI</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2005</w:t>
            </w:r>
          </w:p>
        </w:tc>
        <w:tc>
          <w:tcPr>
            <w:tcW w:w="12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Nei</w:t>
            </w:r>
          </w:p>
        </w:tc>
      </w:tr>
      <w:tr>
        <w:trPr>
          <w:trHeight w:val="1318" w:hRule="atLeast"/>
        </w:trPr>
        <w:tc>
          <w:tcPr>
            <w:tcW w:w="22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Kenya</w:t>
            </w:r>
          </w:p>
        </w:tc>
        <w:tc>
          <w:tcPr>
            <w:tcW w:w="25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en-US" w:eastAsia="en-US" w:bidi="ar-SA"/>
              </w:rPr>
            </w:pPr>
            <w:r>
              <w:rPr>
                <w:rFonts w:eastAsia="Calibri"/>
                <w:kern w:val="0"/>
                <w:szCs w:val="22"/>
                <w:lang w:val="en-US" w:eastAsia="en-US" w:bidi="ar-SA"/>
              </w:rPr>
              <w:t>Acting Together for Kenya - Agreement on the Principles of Partnership of the Coalition Government</w:t>
            </w:r>
          </w:p>
        </w:tc>
        <w:tc>
          <w:tcPr>
            <w:tcW w:w="174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en-US" w:eastAsia="en-US" w:bidi="ar-SA"/>
              </w:rPr>
            </w:pPr>
            <w:r>
              <w:rPr>
                <w:rFonts w:eastAsia="Calibri"/>
                <w:kern w:val="0"/>
                <w:szCs w:val="22"/>
                <w:lang w:val="en-US" w:eastAsia="en-US" w:bidi="ar-SA"/>
              </w:rPr>
              <w:t>Orange Democratic Movement</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en-US" w:eastAsia="en-US" w:bidi="ar-SA"/>
              </w:rPr>
            </w:pPr>
            <w:r>
              <w:rPr>
                <w:rFonts w:eastAsia="Calibri"/>
                <w:kern w:val="0"/>
                <w:szCs w:val="22"/>
                <w:lang w:val="en-US" w:eastAsia="en-US" w:bidi="ar-SA"/>
              </w:rPr>
              <w:t>2008</w:t>
            </w:r>
          </w:p>
        </w:tc>
        <w:tc>
          <w:tcPr>
            <w:tcW w:w="12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en-US" w:eastAsia="en-US" w:bidi="ar-SA"/>
              </w:rPr>
            </w:pPr>
            <w:r>
              <w:rPr>
                <w:rFonts w:eastAsia="Calibri"/>
                <w:kern w:val="0"/>
                <w:szCs w:val="22"/>
                <w:lang w:val="en-US" w:eastAsia="en-US" w:bidi="ar-SA"/>
              </w:rPr>
              <w:t>Nei</w:t>
            </w:r>
          </w:p>
        </w:tc>
      </w:tr>
      <w:tr>
        <w:trPr>
          <w:trHeight w:val="429" w:hRule="atLeast"/>
        </w:trPr>
        <w:tc>
          <w:tcPr>
            <w:tcW w:w="22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Liberia</w:t>
            </w:r>
          </w:p>
        </w:tc>
        <w:tc>
          <w:tcPr>
            <w:tcW w:w="25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Banjul IV-Agreement</w:t>
            </w:r>
          </w:p>
        </w:tc>
        <w:tc>
          <w:tcPr>
            <w:tcW w:w="174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NPFL, INPFL</w:t>
            </w:r>
          </w:p>
          <w:p>
            <w:pPr>
              <w:pStyle w:val="Normal"/>
              <w:widowControl/>
              <w:spacing w:lineRule="auto" w:line="240" w:before="0" w:after="0"/>
              <w:jc w:val="left"/>
              <w:rPr>
                <w:rFonts w:eastAsia="Calibri"/>
                <w:kern w:val="0"/>
                <w:szCs w:val="22"/>
                <w:lang w:val="nb-NO" w:eastAsia="en-US" w:bidi="ar-SA"/>
              </w:rPr>
            </w:pPr>
            <w:r>
              <w:rPr>
                <w:rFonts w:eastAsia="Calibri"/>
                <w:kern w:val="0"/>
                <w:szCs w:val="22"/>
                <w:lang w:val="nb-NO" w:eastAsia="en-US" w:bidi="ar-SA"/>
              </w:rPr>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1990</w:t>
            </w:r>
          </w:p>
        </w:tc>
        <w:tc>
          <w:tcPr>
            <w:tcW w:w="12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Nei</w:t>
            </w:r>
          </w:p>
        </w:tc>
      </w:tr>
      <w:tr>
        <w:trPr>
          <w:trHeight w:val="444" w:hRule="atLeast"/>
        </w:trPr>
        <w:tc>
          <w:tcPr>
            <w:tcW w:w="22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Liberia</w:t>
            </w:r>
          </w:p>
        </w:tc>
        <w:tc>
          <w:tcPr>
            <w:tcW w:w="25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Accra Peace Agreement</w:t>
            </w:r>
          </w:p>
        </w:tc>
        <w:tc>
          <w:tcPr>
            <w:tcW w:w="174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LURD, MODEL</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2003</w:t>
            </w:r>
          </w:p>
        </w:tc>
        <w:tc>
          <w:tcPr>
            <w:tcW w:w="12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Ja</w:t>
            </w:r>
          </w:p>
        </w:tc>
      </w:tr>
      <w:tr>
        <w:trPr>
          <w:trHeight w:val="457" w:hRule="atLeast"/>
        </w:trPr>
        <w:tc>
          <w:tcPr>
            <w:tcW w:w="22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Mosambik</w:t>
            </w:r>
          </w:p>
        </w:tc>
        <w:tc>
          <w:tcPr>
            <w:tcW w:w="25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Rome General Peace Accords</w:t>
            </w:r>
          </w:p>
        </w:tc>
        <w:tc>
          <w:tcPr>
            <w:tcW w:w="174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RENAMO</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1992</w:t>
            </w:r>
          </w:p>
        </w:tc>
        <w:tc>
          <w:tcPr>
            <w:tcW w:w="12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Nei</w:t>
            </w:r>
          </w:p>
        </w:tc>
      </w:tr>
      <w:tr>
        <w:trPr>
          <w:trHeight w:val="457" w:hRule="atLeast"/>
        </w:trPr>
        <w:tc>
          <w:tcPr>
            <w:tcW w:w="22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Sudan</w:t>
            </w:r>
          </w:p>
        </w:tc>
        <w:tc>
          <w:tcPr>
            <w:tcW w:w="25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Comprehensive Peace Agreement</w:t>
            </w:r>
          </w:p>
        </w:tc>
        <w:tc>
          <w:tcPr>
            <w:tcW w:w="174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 xml:space="preserve">SPLM/A, </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2005</w:t>
            </w:r>
          </w:p>
        </w:tc>
        <w:tc>
          <w:tcPr>
            <w:tcW w:w="12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b-NO" w:eastAsia="en-US" w:bidi="ar-SA"/>
              </w:rPr>
            </w:pPr>
            <w:r>
              <w:rPr>
                <w:rFonts w:eastAsia="Calibri"/>
                <w:kern w:val="0"/>
                <w:szCs w:val="22"/>
                <w:lang w:val="nb-NO" w:eastAsia="en-US" w:bidi="ar-SA"/>
              </w:rPr>
            </w:r>
          </w:p>
        </w:tc>
      </w:tr>
      <w:tr>
        <w:trPr>
          <w:trHeight w:val="666" w:hRule="atLeast"/>
        </w:trPr>
        <w:tc>
          <w:tcPr>
            <w:tcW w:w="22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Sudan</w:t>
            </w:r>
          </w:p>
        </w:tc>
        <w:tc>
          <w:tcPr>
            <w:tcW w:w="25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Darfur Peace Agreement</w:t>
            </w:r>
          </w:p>
        </w:tc>
        <w:tc>
          <w:tcPr>
            <w:tcW w:w="174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SLM/A-Minni Minawi</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2011</w:t>
            </w:r>
          </w:p>
        </w:tc>
        <w:tc>
          <w:tcPr>
            <w:tcW w:w="12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b-NO" w:eastAsia="en-US" w:bidi="ar-SA"/>
              </w:rPr>
            </w:pPr>
            <w:r>
              <w:rPr>
                <w:rFonts w:eastAsia="Calibri"/>
                <w:kern w:val="0"/>
                <w:szCs w:val="22"/>
                <w:lang w:val="nb-NO" w:eastAsia="en-US" w:bidi="ar-SA"/>
              </w:rPr>
            </w:r>
          </w:p>
        </w:tc>
      </w:tr>
      <w:tr>
        <w:trPr>
          <w:trHeight w:val="441" w:hRule="atLeast"/>
        </w:trPr>
        <w:tc>
          <w:tcPr>
            <w:tcW w:w="22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Sør-Afrika</w:t>
            </w:r>
          </w:p>
        </w:tc>
        <w:tc>
          <w:tcPr>
            <w:tcW w:w="25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Interim Constitution</w:t>
            </w:r>
          </w:p>
        </w:tc>
        <w:tc>
          <w:tcPr>
            <w:tcW w:w="174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ANC</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1993</w:t>
            </w:r>
          </w:p>
        </w:tc>
        <w:tc>
          <w:tcPr>
            <w:tcW w:w="12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Ja</w:t>
            </w:r>
          </w:p>
        </w:tc>
      </w:tr>
      <w:tr>
        <w:trPr>
          <w:trHeight w:val="441" w:hRule="atLeast"/>
        </w:trPr>
        <w:tc>
          <w:tcPr>
            <w:tcW w:w="22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Zimbabwe</w:t>
            </w:r>
          </w:p>
        </w:tc>
        <w:tc>
          <w:tcPr>
            <w:tcW w:w="251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en-US" w:eastAsia="en-US" w:bidi="ar-SA"/>
              </w:rPr>
            </w:pPr>
            <w:r>
              <w:rPr>
                <w:rFonts w:eastAsia="Calibri"/>
                <w:kern w:val="0"/>
                <w:szCs w:val="22"/>
                <w:lang w:val="en-US" w:eastAsia="en-US" w:bidi="ar-SA"/>
              </w:rPr>
              <w:t>Global Political Agreement</w:t>
            </w:r>
          </w:p>
        </w:tc>
        <w:tc>
          <w:tcPr>
            <w:tcW w:w="174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en-US" w:eastAsia="en-US" w:bidi="ar-SA"/>
              </w:rPr>
            </w:pPr>
            <w:r>
              <w:rPr>
                <w:rFonts w:eastAsia="Calibri"/>
                <w:kern w:val="0"/>
                <w:szCs w:val="22"/>
                <w:lang w:val="en-US" w:eastAsia="en-US" w:bidi="ar-SA"/>
              </w:rPr>
              <w:t>MDC</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2008</w:t>
            </w:r>
          </w:p>
        </w:tc>
        <w:tc>
          <w:tcPr>
            <w:tcW w:w="12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Calibri"/>
                <w:kern w:val="0"/>
                <w:szCs w:val="22"/>
                <w:lang w:val="nn-NO" w:eastAsia="en-US" w:bidi="ar-SA"/>
              </w:rPr>
            </w:pPr>
            <w:r>
              <w:rPr>
                <w:rFonts w:eastAsia="Calibri"/>
                <w:kern w:val="0"/>
                <w:szCs w:val="22"/>
                <w:lang w:val="nn-NO" w:eastAsia="en-US" w:bidi="ar-SA"/>
              </w:rPr>
              <w:t>Ja</w:t>
            </w:r>
          </w:p>
        </w:tc>
      </w:tr>
    </w:tbl>
    <w:p>
      <w:pPr>
        <w:pStyle w:val="Normal"/>
        <w:rPr>
          <w:i/>
          <w:i/>
          <w:iCs/>
          <w:szCs w:val="20"/>
        </w:rPr>
      </w:pPr>
      <w:r>
        <w:rPr>
          <w:i/>
          <w:iCs/>
          <w:szCs w:val="20"/>
        </w:rPr>
      </w:r>
    </w:p>
    <w:p>
      <w:pPr>
        <w:pStyle w:val="Normal"/>
        <w:rPr/>
      </w:pPr>
      <w:r>
        <w:rPr/>
      </w:r>
    </w:p>
    <w:p>
      <w:pPr>
        <w:pStyle w:val="Normal"/>
        <w:rPr/>
      </w:pPr>
      <w:r>
        <w:rPr>
          <w:i/>
          <w:iCs/>
          <w:sz w:val="22"/>
          <w:lang w:val="en-US"/>
        </w:rPr>
        <w:t xml:space="preserve">Tabell 6: </w:t>
      </w:r>
      <w:r>
        <w:rPr>
          <w:i/>
          <w:iCs/>
          <w:sz w:val="22"/>
        </w:rPr>
        <w:t>Politisk maktdeling før inkludering av undertrykte grupper</w:t>
      </w:r>
      <w:r>
        <w:rPr>
          <w:i/>
          <w:iCs/>
          <w:sz w:val="22"/>
          <w:lang w:val="en-US"/>
        </w:rPr>
        <w:t xml:space="preserve">  </w:t>
      </w:r>
    </w:p>
    <w:tbl>
      <w:tblPr>
        <w:tblW w:w="4008" w:type="dxa"/>
        <w:jc w:val="left"/>
        <w:tblInd w:w="0" w:type="dxa"/>
        <w:tblLayout w:type="fixed"/>
        <w:tblCellMar>
          <w:top w:w="0" w:type="dxa"/>
          <w:left w:w="108" w:type="dxa"/>
          <w:bottom w:w="0" w:type="dxa"/>
          <w:right w:w="108" w:type="dxa"/>
        </w:tblCellMar>
      </w:tblPr>
      <w:tblGrid>
        <w:gridCol w:w="1307"/>
        <w:gridCol w:w="901"/>
        <w:gridCol w:w="899"/>
        <w:gridCol w:w="901"/>
      </w:tblGrid>
      <w:tr>
        <w:trPr/>
        <w:tc>
          <w:tcPr>
            <w:tcW w:w="1307" w:type="dxa"/>
            <w:tcBorders>
              <w:top w:val="single" w:sz="4" w:space="0" w:color="000000"/>
              <w:bottom w:val="single" w:sz="10" w:space="0" w:color="000000"/>
            </w:tcBorders>
          </w:tcPr>
          <w:p>
            <w:pPr>
              <w:pStyle w:val="Normal"/>
              <w:widowControl w:val="false"/>
              <w:spacing w:before="0" w:after="160"/>
              <w:rPr>
                <w:sz w:val="22"/>
                <w:lang w:val="en-US"/>
              </w:rPr>
            </w:pPr>
            <w:r>
              <w:rPr>
                <w:sz w:val="22"/>
                <w:lang w:val="en-US"/>
              </w:rPr>
            </w:r>
          </w:p>
        </w:tc>
        <w:tc>
          <w:tcPr>
            <w:tcW w:w="901" w:type="dxa"/>
            <w:tcBorders>
              <w:top w:val="single" w:sz="4" w:space="0" w:color="000000"/>
              <w:bottom w:val="single" w:sz="10" w:space="0" w:color="000000"/>
            </w:tcBorders>
          </w:tcPr>
          <w:p>
            <w:pPr>
              <w:pStyle w:val="Normal"/>
              <w:widowControl w:val="false"/>
              <w:spacing w:before="0" w:after="160"/>
              <w:rPr>
                <w:sz w:val="22"/>
                <w:lang w:val="en-US"/>
              </w:rPr>
            </w:pPr>
            <w:r>
              <w:rPr>
                <w:sz w:val="22"/>
                <w:lang w:val="en-US"/>
              </w:rPr>
              <w:t>Freq.</w:t>
            </w:r>
          </w:p>
        </w:tc>
        <w:tc>
          <w:tcPr>
            <w:tcW w:w="899" w:type="dxa"/>
            <w:tcBorders>
              <w:top w:val="single" w:sz="4" w:space="0" w:color="000000"/>
              <w:bottom w:val="single" w:sz="10" w:space="0" w:color="000000"/>
            </w:tcBorders>
          </w:tcPr>
          <w:p>
            <w:pPr>
              <w:pStyle w:val="Normal"/>
              <w:widowControl w:val="false"/>
              <w:spacing w:before="0" w:after="160"/>
              <w:rPr>
                <w:sz w:val="22"/>
                <w:lang w:val="en-US"/>
              </w:rPr>
            </w:pPr>
            <w:r>
              <w:rPr>
                <w:sz w:val="22"/>
                <w:lang w:val="en-US"/>
              </w:rPr>
              <w:t>Percent</w:t>
            </w:r>
          </w:p>
        </w:tc>
        <w:tc>
          <w:tcPr>
            <w:tcW w:w="901" w:type="dxa"/>
            <w:tcBorders>
              <w:top w:val="single" w:sz="4" w:space="0" w:color="000000"/>
              <w:bottom w:val="single" w:sz="10" w:space="0" w:color="000000"/>
            </w:tcBorders>
          </w:tcPr>
          <w:p>
            <w:pPr>
              <w:pStyle w:val="Normal"/>
              <w:widowControl w:val="false"/>
              <w:spacing w:before="0" w:after="160"/>
              <w:rPr>
                <w:sz w:val="22"/>
                <w:lang w:val="en-US"/>
              </w:rPr>
            </w:pPr>
            <w:r>
              <w:rPr>
                <w:sz w:val="22"/>
                <w:lang w:val="en-US"/>
              </w:rPr>
              <w:t>Cum.</w:t>
            </w:r>
          </w:p>
        </w:tc>
      </w:tr>
      <w:tr>
        <w:trPr/>
        <w:tc>
          <w:tcPr>
            <w:tcW w:w="1307" w:type="dxa"/>
            <w:tcBorders/>
          </w:tcPr>
          <w:p>
            <w:pPr>
              <w:pStyle w:val="Normal"/>
              <w:widowControl w:val="false"/>
              <w:spacing w:before="0" w:after="160"/>
              <w:jc w:val="left"/>
              <w:rPr>
                <w:sz w:val="22"/>
              </w:rPr>
            </w:pPr>
            <w:r>
              <w:rPr>
                <w:sz w:val="22"/>
              </w:rPr>
              <w:t>Land uten politisk maktdeling</w:t>
            </w:r>
          </w:p>
        </w:tc>
        <w:tc>
          <w:tcPr>
            <w:tcW w:w="901" w:type="dxa"/>
            <w:tcBorders/>
          </w:tcPr>
          <w:p>
            <w:pPr>
              <w:pStyle w:val="Normal"/>
              <w:widowControl w:val="false"/>
              <w:spacing w:before="0" w:after="160"/>
              <w:rPr>
                <w:sz w:val="22"/>
                <w:lang w:val="en-US"/>
              </w:rPr>
            </w:pPr>
            <w:r>
              <w:rPr>
                <w:sz w:val="22"/>
                <w:lang w:val="en-US"/>
              </w:rPr>
              <w:t>15485</w:t>
            </w:r>
          </w:p>
        </w:tc>
        <w:tc>
          <w:tcPr>
            <w:tcW w:w="899" w:type="dxa"/>
            <w:tcBorders/>
          </w:tcPr>
          <w:p>
            <w:pPr>
              <w:pStyle w:val="Normal"/>
              <w:widowControl w:val="false"/>
              <w:spacing w:before="0" w:after="160"/>
              <w:rPr>
                <w:sz w:val="22"/>
                <w:lang w:val="en-US"/>
              </w:rPr>
            </w:pPr>
            <w:r>
              <w:rPr>
                <w:sz w:val="22"/>
                <w:lang w:val="en-US"/>
              </w:rPr>
              <w:t>52.52</w:t>
            </w:r>
          </w:p>
        </w:tc>
        <w:tc>
          <w:tcPr>
            <w:tcW w:w="901" w:type="dxa"/>
            <w:tcBorders/>
          </w:tcPr>
          <w:p>
            <w:pPr>
              <w:pStyle w:val="Normal"/>
              <w:widowControl w:val="false"/>
              <w:spacing w:before="0" w:after="160"/>
              <w:rPr>
                <w:sz w:val="22"/>
                <w:lang w:val="en-US"/>
              </w:rPr>
            </w:pPr>
            <w:r>
              <w:rPr>
                <w:sz w:val="22"/>
                <w:lang w:val="en-US"/>
              </w:rPr>
              <w:t>52.52</w:t>
            </w:r>
          </w:p>
        </w:tc>
      </w:tr>
      <w:tr>
        <w:trPr/>
        <w:tc>
          <w:tcPr>
            <w:tcW w:w="1307" w:type="dxa"/>
            <w:tcBorders/>
          </w:tcPr>
          <w:p>
            <w:pPr>
              <w:pStyle w:val="Normal"/>
              <w:widowControl w:val="false"/>
              <w:spacing w:before="0" w:after="160"/>
              <w:jc w:val="left"/>
              <w:rPr>
                <w:sz w:val="22"/>
              </w:rPr>
            </w:pPr>
            <w:r>
              <w:rPr>
                <w:sz w:val="22"/>
              </w:rPr>
              <w:t>Land med politisk maktdeling</w:t>
            </w:r>
          </w:p>
        </w:tc>
        <w:tc>
          <w:tcPr>
            <w:tcW w:w="901" w:type="dxa"/>
            <w:tcBorders/>
          </w:tcPr>
          <w:p>
            <w:pPr>
              <w:pStyle w:val="Normal"/>
              <w:widowControl w:val="false"/>
              <w:spacing w:before="0" w:after="160"/>
              <w:rPr>
                <w:sz w:val="22"/>
                <w:lang w:val="en-US"/>
              </w:rPr>
            </w:pPr>
            <w:r>
              <w:rPr>
                <w:sz w:val="22"/>
                <w:lang w:val="en-US"/>
              </w:rPr>
              <w:t>14000</w:t>
            </w:r>
          </w:p>
        </w:tc>
        <w:tc>
          <w:tcPr>
            <w:tcW w:w="899" w:type="dxa"/>
            <w:tcBorders/>
          </w:tcPr>
          <w:p>
            <w:pPr>
              <w:pStyle w:val="Normal"/>
              <w:widowControl w:val="false"/>
              <w:spacing w:before="0" w:after="160"/>
              <w:rPr>
                <w:sz w:val="22"/>
                <w:lang w:val="en-US"/>
              </w:rPr>
            </w:pPr>
            <w:r>
              <w:rPr>
                <w:sz w:val="22"/>
                <w:lang w:val="en-US"/>
              </w:rPr>
              <w:t>47.48</w:t>
            </w:r>
          </w:p>
        </w:tc>
        <w:tc>
          <w:tcPr>
            <w:tcW w:w="901" w:type="dxa"/>
            <w:tcBorders/>
          </w:tcPr>
          <w:p>
            <w:pPr>
              <w:pStyle w:val="Normal"/>
              <w:widowControl w:val="false"/>
              <w:spacing w:before="0" w:after="160"/>
              <w:rPr>
                <w:sz w:val="22"/>
                <w:lang w:val="en-US"/>
              </w:rPr>
            </w:pPr>
            <w:r>
              <w:rPr>
                <w:sz w:val="22"/>
                <w:lang w:val="en-US"/>
              </w:rPr>
              <w:t>100.00</w:t>
            </w:r>
          </w:p>
        </w:tc>
      </w:tr>
      <w:tr>
        <w:trPr/>
        <w:tc>
          <w:tcPr>
            <w:tcW w:w="1307" w:type="dxa"/>
            <w:tcBorders>
              <w:top w:val="single" w:sz="4" w:space="0" w:color="000000"/>
            </w:tcBorders>
          </w:tcPr>
          <w:p>
            <w:pPr>
              <w:pStyle w:val="Normal"/>
              <w:widowControl w:val="false"/>
              <w:spacing w:before="0" w:after="160"/>
              <w:rPr>
                <w:sz w:val="22"/>
                <w:lang w:val="en-US"/>
              </w:rPr>
            </w:pPr>
            <w:r>
              <w:rPr>
                <w:sz w:val="22"/>
                <w:lang w:val="en-US"/>
              </w:rPr>
              <w:t>Total</w:t>
            </w:r>
          </w:p>
        </w:tc>
        <w:tc>
          <w:tcPr>
            <w:tcW w:w="901" w:type="dxa"/>
            <w:tcBorders>
              <w:top w:val="single" w:sz="4" w:space="0" w:color="000000"/>
            </w:tcBorders>
          </w:tcPr>
          <w:p>
            <w:pPr>
              <w:pStyle w:val="Normal"/>
              <w:widowControl w:val="false"/>
              <w:spacing w:before="0" w:after="160"/>
              <w:rPr>
                <w:sz w:val="22"/>
                <w:lang w:val="en-US"/>
              </w:rPr>
            </w:pPr>
            <w:r>
              <w:rPr>
                <w:sz w:val="22"/>
                <w:lang w:val="en-US"/>
              </w:rPr>
              <w:t>29485</w:t>
            </w:r>
          </w:p>
        </w:tc>
        <w:tc>
          <w:tcPr>
            <w:tcW w:w="899" w:type="dxa"/>
            <w:tcBorders>
              <w:top w:val="single" w:sz="4" w:space="0" w:color="000000"/>
            </w:tcBorders>
          </w:tcPr>
          <w:p>
            <w:pPr>
              <w:pStyle w:val="Normal"/>
              <w:widowControl w:val="false"/>
              <w:spacing w:before="0" w:after="160"/>
              <w:rPr>
                <w:sz w:val="22"/>
                <w:lang w:val="en-US"/>
              </w:rPr>
            </w:pPr>
            <w:r>
              <w:rPr>
                <w:sz w:val="22"/>
                <w:lang w:val="en-US"/>
              </w:rPr>
              <w:t>100.00</w:t>
            </w:r>
          </w:p>
        </w:tc>
        <w:tc>
          <w:tcPr>
            <w:tcW w:w="901" w:type="dxa"/>
            <w:tcBorders>
              <w:top w:val="single" w:sz="4" w:space="0" w:color="000000"/>
            </w:tcBorders>
          </w:tcPr>
          <w:p>
            <w:pPr>
              <w:pStyle w:val="Normal"/>
              <w:widowControl w:val="false"/>
              <w:spacing w:before="0" w:after="160"/>
              <w:rPr>
                <w:sz w:val="22"/>
                <w:lang w:val="en-US"/>
              </w:rPr>
            </w:pPr>
            <w:r>
              <w:rPr>
                <w:sz w:val="22"/>
                <w:lang w:val="en-US"/>
              </w:rPr>
            </w:r>
          </w:p>
        </w:tc>
      </w:tr>
      <w:tr>
        <w:trPr/>
        <w:tc>
          <w:tcPr>
            <w:tcW w:w="4008" w:type="dxa"/>
            <w:gridSpan w:val="4"/>
            <w:tcBorders>
              <w:top w:val="single" w:sz="6" w:space="0" w:color="000000"/>
            </w:tcBorders>
          </w:tcPr>
          <w:p>
            <w:pPr>
              <w:pStyle w:val="Normal"/>
              <w:widowControl w:val="false"/>
              <w:spacing w:before="0" w:after="160"/>
              <w:rPr>
                <w:sz w:val="22"/>
                <w:lang w:val="en-US"/>
              </w:rPr>
            </w:pPr>
            <w:r>
              <w:rPr>
                <w:sz w:val="22"/>
                <w:lang w:val="en-US"/>
              </w:rPr>
            </w:r>
          </w:p>
        </w:tc>
      </w:tr>
    </w:tbl>
    <w:p>
      <w:pPr>
        <w:pStyle w:val="Normal"/>
        <w:rPr/>
      </w:pPr>
      <w:r>
        <w:rPr/>
      </w:r>
    </w:p>
    <w:p>
      <w:pPr>
        <w:pStyle w:val="Normal"/>
        <w:rPr>
          <w:i/>
          <w:i/>
          <w:iCs/>
          <w:sz w:val="22"/>
          <w:szCs w:val="20"/>
        </w:rPr>
      </w:pPr>
      <w:r>
        <w:rPr>
          <w:i/>
          <w:iCs/>
          <w:sz w:val="22"/>
          <w:szCs w:val="20"/>
        </w:rPr>
        <w:t>Tabell 7: Politisk maktdeling etter inkludering av undertrykte grupper</w:t>
      </w:r>
    </w:p>
    <w:tbl>
      <w:tblPr>
        <w:tblW w:w="4008" w:type="dxa"/>
        <w:jc w:val="left"/>
        <w:tblInd w:w="0" w:type="dxa"/>
        <w:tblLayout w:type="fixed"/>
        <w:tblCellMar>
          <w:top w:w="0" w:type="dxa"/>
          <w:left w:w="108" w:type="dxa"/>
          <w:bottom w:w="0" w:type="dxa"/>
          <w:right w:w="108" w:type="dxa"/>
        </w:tblCellMar>
      </w:tblPr>
      <w:tblGrid>
        <w:gridCol w:w="1307"/>
        <w:gridCol w:w="901"/>
        <w:gridCol w:w="899"/>
        <w:gridCol w:w="901"/>
      </w:tblGrid>
      <w:tr>
        <w:trPr/>
        <w:tc>
          <w:tcPr>
            <w:tcW w:w="1307" w:type="dxa"/>
            <w:tcBorders>
              <w:top w:val="single" w:sz="4" w:space="0" w:color="000000"/>
              <w:bottom w:val="single" w:sz="10" w:space="0" w:color="000000"/>
            </w:tcBorders>
          </w:tcPr>
          <w:p>
            <w:pPr>
              <w:pStyle w:val="Normal"/>
              <w:widowControl w:val="false"/>
              <w:spacing w:before="0" w:after="160"/>
              <w:rPr>
                <w:sz w:val="22"/>
                <w:szCs w:val="20"/>
                <w:lang w:val="en-US"/>
              </w:rPr>
            </w:pPr>
            <w:r>
              <w:rPr>
                <w:sz w:val="22"/>
                <w:szCs w:val="20"/>
                <w:lang w:val="en-US"/>
              </w:rPr>
            </w:r>
          </w:p>
        </w:tc>
        <w:tc>
          <w:tcPr>
            <w:tcW w:w="901" w:type="dxa"/>
            <w:tcBorders>
              <w:top w:val="single" w:sz="4" w:space="0" w:color="000000"/>
              <w:bottom w:val="single" w:sz="10" w:space="0" w:color="000000"/>
            </w:tcBorders>
          </w:tcPr>
          <w:p>
            <w:pPr>
              <w:pStyle w:val="Normal"/>
              <w:widowControl w:val="false"/>
              <w:spacing w:before="0" w:after="160"/>
              <w:rPr>
                <w:sz w:val="22"/>
                <w:szCs w:val="20"/>
                <w:lang w:val="en-US"/>
              </w:rPr>
            </w:pPr>
            <w:r>
              <w:rPr>
                <w:sz w:val="22"/>
                <w:szCs w:val="20"/>
                <w:lang w:val="en-US"/>
              </w:rPr>
              <w:t>Freq.</w:t>
            </w:r>
          </w:p>
        </w:tc>
        <w:tc>
          <w:tcPr>
            <w:tcW w:w="899" w:type="dxa"/>
            <w:tcBorders>
              <w:top w:val="single" w:sz="4" w:space="0" w:color="000000"/>
              <w:bottom w:val="single" w:sz="10" w:space="0" w:color="000000"/>
            </w:tcBorders>
          </w:tcPr>
          <w:p>
            <w:pPr>
              <w:pStyle w:val="Normal"/>
              <w:widowControl w:val="false"/>
              <w:spacing w:before="0" w:after="160"/>
              <w:rPr>
                <w:sz w:val="22"/>
                <w:szCs w:val="20"/>
                <w:lang w:val="en-US"/>
              </w:rPr>
            </w:pPr>
            <w:r>
              <w:rPr>
                <w:sz w:val="22"/>
                <w:szCs w:val="20"/>
                <w:lang w:val="en-US"/>
              </w:rPr>
              <w:t>Percent</w:t>
            </w:r>
          </w:p>
        </w:tc>
        <w:tc>
          <w:tcPr>
            <w:tcW w:w="901" w:type="dxa"/>
            <w:tcBorders>
              <w:top w:val="single" w:sz="4" w:space="0" w:color="000000"/>
              <w:bottom w:val="single" w:sz="10" w:space="0" w:color="000000"/>
            </w:tcBorders>
          </w:tcPr>
          <w:p>
            <w:pPr>
              <w:pStyle w:val="Normal"/>
              <w:widowControl w:val="false"/>
              <w:spacing w:before="0" w:after="160"/>
              <w:rPr>
                <w:sz w:val="22"/>
                <w:szCs w:val="20"/>
                <w:lang w:val="en-US"/>
              </w:rPr>
            </w:pPr>
            <w:r>
              <w:rPr>
                <w:sz w:val="22"/>
                <w:szCs w:val="20"/>
                <w:lang w:val="en-US"/>
              </w:rPr>
              <w:t>Cum.</w:t>
            </w:r>
          </w:p>
        </w:tc>
      </w:tr>
      <w:tr>
        <w:trPr/>
        <w:tc>
          <w:tcPr>
            <w:tcW w:w="1307" w:type="dxa"/>
            <w:tcBorders/>
          </w:tcPr>
          <w:p>
            <w:pPr>
              <w:pStyle w:val="Normal"/>
              <w:widowControl w:val="false"/>
              <w:spacing w:before="0" w:after="160"/>
              <w:jc w:val="left"/>
              <w:rPr>
                <w:sz w:val="22"/>
                <w:szCs w:val="20"/>
              </w:rPr>
            </w:pPr>
            <w:r>
              <w:rPr>
                <w:sz w:val="22"/>
                <w:szCs w:val="20"/>
              </w:rPr>
              <w:t>Land uten politisk maktdeling</w:t>
            </w:r>
          </w:p>
        </w:tc>
        <w:tc>
          <w:tcPr>
            <w:tcW w:w="901" w:type="dxa"/>
            <w:tcBorders/>
          </w:tcPr>
          <w:p>
            <w:pPr>
              <w:pStyle w:val="Normal"/>
              <w:widowControl w:val="false"/>
              <w:spacing w:before="0" w:after="160"/>
              <w:rPr>
                <w:sz w:val="22"/>
                <w:szCs w:val="20"/>
                <w:lang w:val="en-US"/>
              </w:rPr>
            </w:pPr>
            <w:r>
              <w:rPr>
                <w:sz w:val="22"/>
                <w:szCs w:val="20"/>
                <w:lang w:val="en-US"/>
              </w:rPr>
              <w:t>6545</w:t>
            </w:r>
          </w:p>
        </w:tc>
        <w:tc>
          <w:tcPr>
            <w:tcW w:w="899" w:type="dxa"/>
            <w:tcBorders/>
          </w:tcPr>
          <w:p>
            <w:pPr>
              <w:pStyle w:val="Normal"/>
              <w:widowControl w:val="false"/>
              <w:spacing w:before="0" w:after="160"/>
              <w:rPr>
                <w:sz w:val="22"/>
                <w:szCs w:val="20"/>
                <w:lang w:val="en-US"/>
              </w:rPr>
            </w:pPr>
            <w:r>
              <w:rPr>
                <w:sz w:val="22"/>
                <w:szCs w:val="20"/>
                <w:lang w:val="en-US"/>
              </w:rPr>
              <w:t>51.21</w:t>
            </w:r>
          </w:p>
        </w:tc>
        <w:tc>
          <w:tcPr>
            <w:tcW w:w="901" w:type="dxa"/>
            <w:tcBorders/>
          </w:tcPr>
          <w:p>
            <w:pPr>
              <w:pStyle w:val="Normal"/>
              <w:widowControl w:val="false"/>
              <w:spacing w:before="0" w:after="160"/>
              <w:rPr>
                <w:sz w:val="22"/>
                <w:szCs w:val="20"/>
                <w:lang w:val="en-US"/>
              </w:rPr>
            </w:pPr>
            <w:r>
              <w:rPr>
                <w:sz w:val="22"/>
                <w:szCs w:val="20"/>
                <w:lang w:val="en-US"/>
              </w:rPr>
              <w:t>51.21</w:t>
            </w:r>
          </w:p>
        </w:tc>
      </w:tr>
      <w:tr>
        <w:trPr/>
        <w:tc>
          <w:tcPr>
            <w:tcW w:w="1307" w:type="dxa"/>
            <w:tcBorders/>
          </w:tcPr>
          <w:p>
            <w:pPr>
              <w:pStyle w:val="Normal"/>
              <w:widowControl w:val="false"/>
              <w:spacing w:before="0" w:after="160"/>
              <w:jc w:val="left"/>
              <w:rPr>
                <w:sz w:val="22"/>
                <w:szCs w:val="20"/>
              </w:rPr>
            </w:pPr>
            <w:r>
              <w:rPr>
                <w:sz w:val="22"/>
                <w:szCs w:val="20"/>
              </w:rPr>
              <w:t>Land med politisk maktdeling</w:t>
            </w:r>
          </w:p>
        </w:tc>
        <w:tc>
          <w:tcPr>
            <w:tcW w:w="901" w:type="dxa"/>
            <w:tcBorders/>
          </w:tcPr>
          <w:p>
            <w:pPr>
              <w:pStyle w:val="Normal"/>
              <w:widowControl w:val="false"/>
              <w:spacing w:before="0" w:after="160"/>
              <w:rPr>
                <w:sz w:val="22"/>
                <w:szCs w:val="20"/>
                <w:lang w:val="en-US"/>
              </w:rPr>
            </w:pPr>
            <w:r>
              <w:rPr>
                <w:sz w:val="22"/>
                <w:szCs w:val="20"/>
                <w:lang w:val="en-US"/>
              </w:rPr>
              <w:t>6236</w:t>
            </w:r>
          </w:p>
        </w:tc>
        <w:tc>
          <w:tcPr>
            <w:tcW w:w="899" w:type="dxa"/>
            <w:tcBorders/>
          </w:tcPr>
          <w:p>
            <w:pPr>
              <w:pStyle w:val="Normal"/>
              <w:widowControl w:val="false"/>
              <w:spacing w:before="0" w:after="160"/>
              <w:rPr>
                <w:sz w:val="22"/>
                <w:szCs w:val="20"/>
                <w:lang w:val="en-US"/>
              </w:rPr>
            </w:pPr>
            <w:r>
              <w:rPr>
                <w:sz w:val="22"/>
                <w:szCs w:val="20"/>
                <w:lang w:val="en-US"/>
              </w:rPr>
              <w:t>48.79</w:t>
            </w:r>
          </w:p>
        </w:tc>
        <w:tc>
          <w:tcPr>
            <w:tcW w:w="901" w:type="dxa"/>
            <w:tcBorders/>
          </w:tcPr>
          <w:p>
            <w:pPr>
              <w:pStyle w:val="Normal"/>
              <w:widowControl w:val="false"/>
              <w:spacing w:before="0" w:after="160"/>
              <w:rPr>
                <w:sz w:val="22"/>
                <w:szCs w:val="20"/>
                <w:lang w:val="en-US"/>
              </w:rPr>
            </w:pPr>
            <w:r>
              <w:rPr>
                <w:sz w:val="22"/>
                <w:szCs w:val="20"/>
                <w:lang w:val="en-US"/>
              </w:rPr>
              <w:t>100.00</w:t>
            </w:r>
          </w:p>
        </w:tc>
      </w:tr>
      <w:tr>
        <w:trPr/>
        <w:tc>
          <w:tcPr>
            <w:tcW w:w="1307" w:type="dxa"/>
            <w:tcBorders>
              <w:top w:val="single" w:sz="4" w:space="0" w:color="000000"/>
            </w:tcBorders>
          </w:tcPr>
          <w:p>
            <w:pPr>
              <w:pStyle w:val="Normal"/>
              <w:widowControl w:val="false"/>
              <w:spacing w:before="0" w:after="160"/>
              <w:rPr>
                <w:sz w:val="22"/>
                <w:szCs w:val="20"/>
                <w:lang w:val="en-US"/>
              </w:rPr>
            </w:pPr>
            <w:r>
              <w:rPr>
                <w:sz w:val="22"/>
                <w:szCs w:val="20"/>
                <w:lang w:val="en-US"/>
              </w:rPr>
              <w:t>Total</w:t>
            </w:r>
          </w:p>
        </w:tc>
        <w:tc>
          <w:tcPr>
            <w:tcW w:w="901" w:type="dxa"/>
            <w:tcBorders>
              <w:top w:val="single" w:sz="4" w:space="0" w:color="000000"/>
            </w:tcBorders>
          </w:tcPr>
          <w:p>
            <w:pPr>
              <w:pStyle w:val="Normal"/>
              <w:widowControl w:val="false"/>
              <w:spacing w:before="0" w:after="160"/>
              <w:rPr>
                <w:sz w:val="22"/>
                <w:szCs w:val="20"/>
                <w:lang w:val="en-US"/>
              </w:rPr>
            </w:pPr>
            <w:r>
              <w:rPr>
                <w:sz w:val="22"/>
                <w:szCs w:val="20"/>
                <w:lang w:val="en-US"/>
              </w:rPr>
              <w:t>12781</w:t>
            </w:r>
          </w:p>
        </w:tc>
        <w:tc>
          <w:tcPr>
            <w:tcW w:w="899" w:type="dxa"/>
            <w:tcBorders>
              <w:top w:val="single" w:sz="4" w:space="0" w:color="000000"/>
            </w:tcBorders>
          </w:tcPr>
          <w:p>
            <w:pPr>
              <w:pStyle w:val="Normal"/>
              <w:widowControl w:val="false"/>
              <w:spacing w:before="0" w:after="160"/>
              <w:rPr>
                <w:sz w:val="22"/>
                <w:szCs w:val="20"/>
                <w:lang w:val="en-US"/>
              </w:rPr>
            </w:pPr>
            <w:r>
              <w:rPr>
                <w:sz w:val="22"/>
                <w:szCs w:val="20"/>
                <w:lang w:val="en-US"/>
              </w:rPr>
              <w:t>100.00</w:t>
            </w:r>
          </w:p>
        </w:tc>
        <w:tc>
          <w:tcPr>
            <w:tcW w:w="901" w:type="dxa"/>
            <w:tcBorders>
              <w:top w:val="single" w:sz="4" w:space="0" w:color="000000"/>
            </w:tcBorders>
          </w:tcPr>
          <w:p>
            <w:pPr>
              <w:pStyle w:val="Normal"/>
              <w:widowControl w:val="false"/>
              <w:spacing w:before="0" w:after="160"/>
              <w:rPr>
                <w:sz w:val="22"/>
                <w:szCs w:val="20"/>
                <w:lang w:val="en-US"/>
              </w:rPr>
            </w:pPr>
            <w:r>
              <w:rPr>
                <w:sz w:val="22"/>
                <w:szCs w:val="20"/>
                <w:lang w:val="en-US"/>
              </w:rPr>
            </w:r>
          </w:p>
        </w:tc>
      </w:tr>
    </w:tbl>
    <w:p>
      <w:pPr>
        <w:pStyle w:val="Normal"/>
        <w:rPr>
          <w:rFonts w:cs="Times New Roman"/>
          <w:i/>
          <w:i/>
          <w:iCs/>
          <w:sz w:val="22"/>
        </w:rPr>
      </w:pPr>
      <w:r>
        <w:rPr>
          <w:rFonts w:cs="Times New Roman"/>
          <w:i/>
          <w:iCs/>
          <w:sz w:val="22"/>
        </w:rPr>
      </w:r>
    </w:p>
    <w:p>
      <w:pPr>
        <w:pStyle w:val="Normal"/>
        <w:rPr>
          <w:rFonts w:cs="Times New Roman"/>
          <w:i/>
          <w:i/>
          <w:iCs/>
          <w:sz w:val="22"/>
        </w:rPr>
      </w:pPr>
      <w:r>
        <w:rPr>
          <w:rFonts w:cs="Times New Roman"/>
          <w:i/>
          <w:iCs/>
          <w:sz w:val="22"/>
        </w:rPr>
      </w:r>
    </w:p>
    <w:p>
      <w:pPr>
        <w:pStyle w:val="Normal"/>
        <w:rPr>
          <w:rFonts w:cs="Times New Roman"/>
          <w:i/>
          <w:i/>
          <w:iCs/>
          <w:sz w:val="22"/>
        </w:rPr>
      </w:pPr>
      <w:r>
        <w:rPr>
          <w:rFonts w:cs="Times New Roman"/>
          <w:i/>
          <w:iCs/>
          <w:sz w:val="22"/>
        </w:rPr>
      </w:r>
    </w:p>
    <w:p>
      <w:pPr>
        <w:pStyle w:val="Normal"/>
        <w:rPr>
          <w:rFonts w:cs="Times New Roman"/>
          <w:i/>
          <w:i/>
          <w:iCs/>
          <w:sz w:val="22"/>
        </w:rPr>
      </w:pPr>
      <w:r>
        <w:rPr>
          <w:rFonts w:cs="Times New Roman"/>
          <w:i/>
          <w:iCs/>
          <w:sz w:val="22"/>
        </w:rPr>
      </w:r>
    </w:p>
    <w:p>
      <w:pPr>
        <w:pStyle w:val="Normal"/>
        <w:rPr>
          <w:rFonts w:cs="Times New Roman"/>
          <w:i/>
          <w:i/>
          <w:iCs/>
          <w:sz w:val="22"/>
        </w:rPr>
      </w:pPr>
      <w:r>
        <w:rPr>
          <w:rFonts w:cs="Times New Roman"/>
          <w:i/>
          <w:iCs/>
          <w:sz w:val="22"/>
        </w:rPr>
      </w:r>
    </w:p>
    <w:p>
      <w:pPr>
        <w:pStyle w:val="Normal"/>
        <w:rPr>
          <w:rFonts w:cs="Times New Roman"/>
          <w:i/>
          <w:i/>
          <w:iCs/>
          <w:sz w:val="22"/>
        </w:rPr>
      </w:pPr>
      <w:r>
        <w:rPr>
          <w:rFonts w:cs="Times New Roman"/>
          <w:i/>
          <w:iCs/>
          <w:sz w:val="22"/>
        </w:rPr>
      </w:r>
    </w:p>
    <w:p>
      <w:pPr>
        <w:pStyle w:val="Normal"/>
        <w:rPr>
          <w:rFonts w:cs="Times New Roman"/>
          <w:i/>
          <w:i/>
          <w:iCs/>
          <w:sz w:val="22"/>
        </w:rPr>
      </w:pPr>
      <w:r>
        <w:rPr>
          <w:rFonts w:cs="Times New Roman"/>
          <w:i/>
          <w:iCs/>
          <w:sz w:val="22"/>
        </w:rPr>
      </w:r>
    </w:p>
    <w:p>
      <w:pPr>
        <w:pStyle w:val="Normal"/>
        <w:rPr>
          <w:rFonts w:cs="Times New Roman"/>
          <w:i/>
          <w:i/>
          <w:iCs/>
          <w:sz w:val="22"/>
        </w:rPr>
      </w:pPr>
      <w:r>
        <w:rPr>
          <w:rFonts w:cs="Times New Roman"/>
          <w:i/>
          <w:iCs/>
          <w:sz w:val="22"/>
        </w:rPr>
      </w:r>
    </w:p>
    <w:p>
      <w:pPr>
        <w:pStyle w:val="Normal"/>
        <w:rPr>
          <w:rFonts w:cs="Times New Roman"/>
          <w:i/>
          <w:i/>
          <w:iCs/>
          <w:sz w:val="22"/>
        </w:rPr>
      </w:pPr>
      <w:r>
        <w:rPr>
          <w:rFonts w:cs="Times New Roman"/>
          <w:i/>
          <w:iCs/>
          <w:sz w:val="22"/>
        </w:rPr>
      </w:r>
    </w:p>
    <w:p>
      <w:pPr>
        <w:pStyle w:val="Normal"/>
        <w:rPr>
          <w:rFonts w:cs="Times New Roman"/>
          <w:i/>
          <w:i/>
          <w:iCs/>
          <w:sz w:val="22"/>
        </w:rPr>
      </w:pPr>
      <w:r>
        <w:rPr>
          <w:rFonts w:cs="Times New Roman"/>
          <w:i/>
          <w:iCs/>
          <w:sz w:val="22"/>
        </w:rPr>
      </w:r>
    </w:p>
    <w:p>
      <w:pPr>
        <w:pStyle w:val="Normal"/>
        <w:rPr>
          <w:rFonts w:cs="Times New Roman"/>
          <w:i/>
          <w:i/>
          <w:iCs/>
          <w:sz w:val="22"/>
        </w:rPr>
      </w:pPr>
      <w:r>
        <w:rPr>
          <w:rFonts w:cs="Times New Roman"/>
          <w:i/>
          <w:iCs/>
          <w:sz w:val="22"/>
        </w:rPr>
      </w:r>
    </w:p>
    <w:p>
      <w:pPr>
        <w:pStyle w:val="Normal"/>
        <w:rPr>
          <w:rFonts w:cs="Times New Roman"/>
          <w:i/>
          <w:i/>
          <w:iCs/>
          <w:sz w:val="22"/>
        </w:rPr>
      </w:pPr>
      <w:r>
        <w:rPr>
          <w:rFonts w:cs="Times New Roman"/>
          <w:i/>
          <w:iCs/>
          <w:sz w:val="22"/>
        </w:rPr>
      </w:r>
    </w:p>
    <w:p>
      <w:pPr>
        <w:pStyle w:val="Normal"/>
        <w:rPr>
          <w:rFonts w:cs="Times New Roman"/>
          <w:i/>
          <w:i/>
          <w:iCs/>
          <w:sz w:val="22"/>
        </w:rPr>
      </w:pPr>
      <w:r>
        <w:rPr>
          <w:rFonts w:cs="Times New Roman"/>
          <w:i/>
          <w:iCs/>
          <w:sz w:val="22"/>
        </w:rPr>
      </w:r>
    </w:p>
    <w:p>
      <w:pPr>
        <w:pStyle w:val="Normal"/>
        <w:rPr>
          <w:rFonts w:cs="Times New Roman"/>
          <w:i/>
          <w:i/>
          <w:iCs/>
          <w:sz w:val="22"/>
        </w:rPr>
      </w:pPr>
      <w:r>
        <w:rPr>
          <w:rFonts w:cs="Times New Roman"/>
          <w:i/>
          <w:iCs/>
          <w:sz w:val="22"/>
        </w:rPr>
      </w:r>
    </w:p>
    <w:p>
      <w:pPr>
        <w:pStyle w:val="Normal"/>
        <w:rPr>
          <w:rFonts w:cs="Times New Roman"/>
          <w:i/>
          <w:i/>
          <w:iCs/>
          <w:sz w:val="22"/>
        </w:rPr>
      </w:pPr>
      <w:r>
        <w:rPr>
          <w:rFonts w:cs="Times New Roman"/>
          <w:i/>
          <w:iCs/>
          <w:sz w:val="22"/>
        </w:rPr>
      </w:r>
    </w:p>
    <w:p>
      <w:pPr>
        <w:pStyle w:val="Normal"/>
        <w:rPr>
          <w:rFonts w:cs="Times New Roman"/>
          <w:i/>
          <w:i/>
          <w:iCs/>
          <w:sz w:val="22"/>
        </w:rPr>
      </w:pPr>
      <w:r>
        <w:rPr>
          <w:rFonts w:cs="Times New Roman"/>
          <w:i/>
          <w:iCs/>
          <w:sz w:val="22"/>
        </w:rPr>
      </w:r>
    </w:p>
    <w:p>
      <w:pPr>
        <w:pStyle w:val="Normal"/>
        <w:rPr>
          <w:rFonts w:cs="Times New Roman"/>
          <w:i/>
          <w:i/>
          <w:iCs/>
          <w:sz w:val="22"/>
        </w:rPr>
      </w:pPr>
      <w:r>
        <w:rPr>
          <w:rFonts w:cs="Times New Roman"/>
          <w:i/>
          <w:iCs/>
          <w:sz w:val="22"/>
        </w:rPr>
      </w:r>
    </w:p>
    <w:p>
      <w:pPr>
        <w:pStyle w:val="Normal"/>
        <w:rPr>
          <w:rFonts w:cs="Times New Roman"/>
          <w:i/>
          <w:i/>
          <w:iCs/>
          <w:sz w:val="22"/>
        </w:rPr>
      </w:pPr>
      <w:r>
        <w:rPr>
          <w:rFonts w:cs="Times New Roman"/>
          <w:i/>
          <w:iCs/>
          <w:sz w:val="22"/>
        </w:rPr>
      </w:r>
    </w:p>
    <w:p>
      <w:pPr>
        <w:pStyle w:val="Normal"/>
        <w:rPr>
          <w:rFonts w:cs="Times New Roman"/>
          <w:i/>
          <w:i/>
          <w:iCs/>
          <w:sz w:val="22"/>
        </w:rPr>
      </w:pPr>
      <w:r>
        <w:rPr>
          <w:rFonts w:cs="Times New Roman"/>
          <w:i/>
          <w:iCs/>
          <w:sz w:val="22"/>
        </w:rPr>
      </w:r>
    </w:p>
    <w:p>
      <w:pPr>
        <w:pStyle w:val="Normal"/>
        <w:rPr>
          <w:rFonts w:cs="Times New Roman"/>
          <w:i/>
          <w:i/>
          <w:iCs/>
          <w:sz w:val="22"/>
        </w:rPr>
      </w:pPr>
      <w:r>
        <w:rPr>
          <w:rFonts w:cs="Times New Roman"/>
          <w:i/>
          <w:iCs/>
          <w:sz w:val="22"/>
        </w:rPr>
      </w:r>
    </w:p>
    <w:p>
      <w:pPr>
        <w:pStyle w:val="Normal"/>
        <w:rPr>
          <w:rFonts w:cs="Times New Roman"/>
          <w:i/>
          <w:i/>
          <w:iCs/>
          <w:sz w:val="22"/>
        </w:rPr>
      </w:pPr>
      <w:r>
        <w:rPr>
          <w:rFonts w:cs="Times New Roman"/>
          <w:i/>
          <w:iCs/>
          <w:sz w:val="22"/>
        </w:rPr>
      </w:r>
    </w:p>
    <w:p>
      <w:pPr>
        <w:pStyle w:val="Normal"/>
        <w:rPr>
          <w:rFonts w:cs="Times New Roman"/>
          <w:i/>
          <w:i/>
          <w:iCs/>
          <w:sz w:val="22"/>
        </w:rPr>
      </w:pPr>
      <w:r>
        <w:rPr>
          <w:rFonts w:cs="Times New Roman"/>
          <w:i/>
          <w:iCs/>
          <w:sz w:val="22"/>
        </w:rPr>
      </w:r>
    </w:p>
    <w:p>
      <w:pPr>
        <w:pStyle w:val="Normal"/>
        <w:rPr>
          <w:rFonts w:cs="Times New Roman"/>
          <w:i/>
          <w:i/>
          <w:iCs/>
          <w:sz w:val="22"/>
        </w:rPr>
      </w:pPr>
      <w:r>
        <w:rPr>
          <w:rFonts w:cs="Times New Roman"/>
          <w:i/>
          <w:iCs/>
          <w:sz w:val="22"/>
        </w:rPr>
      </w:r>
    </w:p>
    <w:p>
      <w:pPr>
        <w:pStyle w:val="Normal"/>
        <w:rPr>
          <w:rFonts w:cs="Times New Roman"/>
          <w:i/>
          <w:i/>
          <w:iCs/>
          <w:sz w:val="22"/>
        </w:rPr>
      </w:pPr>
      <w:r>
        <w:rPr>
          <w:rFonts w:cs="Times New Roman"/>
          <w:i/>
          <w:iCs/>
          <w:sz w:val="22"/>
        </w:rPr>
        <w:t>Tabell 8: Oversikt over land før inkludering av undertrykte grupper</w:t>
      </w:r>
    </w:p>
    <w:tbl>
      <w:tblPr>
        <w:tblW w:w="7209" w:type="dxa"/>
        <w:jc w:val="left"/>
        <w:tblInd w:w="0" w:type="dxa"/>
        <w:tblLayout w:type="fixed"/>
        <w:tblCellMar>
          <w:top w:w="0" w:type="dxa"/>
          <w:left w:w="108" w:type="dxa"/>
          <w:bottom w:w="0" w:type="dxa"/>
          <w:right w:w="108" w:type="dxa"/>
        </w:tblCellMar>
      </w:tblPr>
      <w:tblGrid>
        <w:gridCol w:w="2708"/>
        <w:gridCol w:w="1500"/>
        <w:gridCol w:w="1500"/>
        <w:gridCol w:w="1501"/>
      </w:tblGrid>
      <w:tr>
        <w:trPr/>
        <w:tc>
          <w:tcPr>
            <w:tcW w:w="2708" w:type="dxa"/>
            <w:tcBorders>
              <w:top w:val="single" w:sz="4" w:space="0" w:color="000000"/>
              <w:bottom w:val="single" w:sz="10" w:space="0" w:color="000000"/>
            </w:tcBorders>
          </w:tcPr>
          <w:p>
            <w:pPr>
              <w:pStyle w:val="Normal"/>
              <w:widowControl w:val="false"/>
              <w:spacing w:before="0" w:after="160"/>
              <w:rPr>
                <w:rFonts w:cs="Times New Roman"/>
                <w:sz w:val="20"/>
                <w:szCs w:val="20"/>
                <w:lang w:val="en-US"/>
              </w:rPr>
            </w:pPr>
            <w:r>
              <w:rPr>
                <w:rFonts w:cs="Times New Roman"/>
                <w:sz w:val="20"/>
                <w:szCs w:val="20"/>
                <w:lang w:val="en-US"/>
              </w:rPr>
              <w:t>Country</w:t>
            </w:r>
          </w:p>
        </w:tc>
        <w:tc>
          <w:tcPr>
            <w:tcW w:w="1500" w:type="dxa"/>
            <w:tcBorders>
              <w:top w:val="single" w:sz="4" w:space="0" w:color="000000"/>
              <w:bottom w:val="single" w:sz="10" w:space="0" w:color="000000"/>
            </w:tcBorders>
          </w:tcPr>
          <w:p>
            <w:pPr>
              <w:pStyle w:val="Normal"/>
              <w:widowControl w:val="false"/>
              <w:spacing w:before="0" w:after="160"/>
              <w:rPr>
                <w:rFonts w:cs="Times New Roman"/>
                <w:sz w:val="20"/>
                <w:szCs w:val="20"/>
                <w:lang w:val="en-US"/>
              </w:rPr>
            </w:pPr>
            <w:r>
              <w:rPr>
                <w:rFonts w:cs="Times New Roman"/>
                <w:sz w:val="20"/>
                <w:szCs w:val="20"/>
                <w:lang w:val="en-US"/>
              </w:rPr>
              <w:t>Freq.</w:t>
            </w:r>
          </w:p>
        </w:tc>
        <w:tc>
          <w:tcPr>
            <w:tcW w:w="1500" w:type="dxa"/>
            <w:tcBorders>
              <w:top w:val="single" w:sz="4" w:space="0" w:color="000000"/>
              <w:bottom w:val="single" w:sz="10" w:space="0" w:color="000000"/>
            </w:tcBorders>
          </w:tcPr>
          <w:p>
            <w:pPr>
              <w:pStyle w:val="Normal"/>
              <w:widowControl w:val="false"/>
              <w:spacing w:before="0" w:after="160"/>
              <w:rPr>
                <w:rFonts w:cs="Times New Roman"/>
                <w:sz w:val="20"/>
                <w:szCs w:val="20"/>
                <w:lang w:val="en-US"/>
              </w:rPr>
            </w:pPr>
            <w:r>
              <w:rPr>
                <w:rFonts w:cs="Times New Roman"/>
                <w:sz w:val="20"/>
                <w:szCs w:val="20"/>
                <w:lang w:val="en-US"/>
              </w:rPr>
              <w:t>Percent</w:t>
            </w:r>
          </w:p>
        </w:tc>
        <w:tc>
          <w:tcPr>
            <w:tcW w:w="1501" w:type="dxa"/>
            <w:tcBorders>
              <w:top w:val="single" w:sz="4" w:space="0" w:color="000000"/>
              <w:bottom w:val="single" w:sz="10" w:space="0" w:color="000000"/>
            </w:tcBorders>
          </w:tcPr>
          <w:p>
            <w:pPr>
              <w:pStyle w:val="Normal"/>
              <w:widowControl w:val="false"/>
              <w:spacing w:before="0" w:after="160"/>
              <w:rPr>
                <w:rFonts w:cs="Times New Roman"/>
                <w:sz w:val="20"/>
                <w:szCs w:val="20"/>
                <w:lang w:val="en-US"/>
              </w:rPr>
            </w:pPr>
            <w:r>
              <w:rPr>
                <w:rFonts w:cs="Times New Roman"/>
                <w:sz w:val="20"/>
                <w:szCs w:val="20"/>
                <w:lang w:val="en-US"/>
              </w:rPr>
              <w:t>Cum.</w:t>
            </w:r>
          </w:p>
        </w:tc>
      </w:tr>
      <w:tr>
        <w:trPr/>
        <w:tc>
          <w:tcPr>
            <w:tcW w:w="2708" w:type="dxa"/>
            <w:tcBorders/>
          </w:tcPr>
          <w:p>
            <w:pPr>
              <w:pStyle w:val="Normal"/>
              <w:widowControl w:val="false"/>
              <w:spacing w:before="0" w:after="160"/>
              <w:rPr>
                <w:rFonts w:cs="Times New Roman"/>
                <w:sz w:val="20"/>
                <w:szCs w:val="20"/>
                <w:lang w:val="en-US"/>
              </w:rPr>
            </w:pPr>
            <w:r>
              <w:rPr>
                <w:rFonts w:cs="Times New Roman"/>
                <w:sz w:val="20"/>
                <w:szCs w:val="20"/>
                <w:lang w:val="en-US"/>
              </w:rPr>
              <w:t>Algerie</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1030</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3.49</w:t>
            </w:r>
          </w:p>
        </w:tc>
        <w:tc>
          <w:tcPr>
            <w:tcW w:w="1501" w:type="dxa"/>
            <w:tcBorders/>
          </w:tcPr>
          <w:p>
            <w:pPr>
              <w:pStyle w:val="Normal"/>
              <w:widowControl w:val="false"/>
              <w:spacing w:before="0" w:after="160"/>
              <w:rPr>
                <w:rFonts w:cs="Times New Roman"/>
                <w:sz w:val="20"/>
                <w:szCs w:val="20"/>
                <w:lang w:val="en-US"/>
              </w:rPr>
            </w:pPr>
            <w:r>
              <w:rPr>
                <w:rFonts w:cs="Times New Roman"/>
                <w:sz w:val="20"/>
                <w:szCs w:val="20"/>
                <w:lang w:val="en-US"/>
              </w:rPr>
              <w:t>3.49</w:t>
            </w:r>
          </w:p>
        </w:tc>
      </w:tr>
      <w:tr>
        <w:trPr/>
        <w:tc>
          <w:tcPr>
            <w:tcW w:w="2708" w:type="dxa"/>
            <w:tcBorders/>
          </w:tcPr>
          <w:p>
            <w:pPr>
              <w:pStyle w:val="Normal"/>
              <w:widowControl w:val="false"/>
              <w:spacing w:before="0" w:after="160"/>
              <w:rPr>
                <w:rFonts w:cs="Times New Roman"/>
                <w:sz w:val="20"/>
                <w:szCs w:val="20"/>
                <w:lang w:val="en-US"/>
              </w:rPr>
            </w:pPr>
            <w:r>
              <w:rPr>
                <w:rFonts w:cs="Times New Roman"/>
                <w:sz w:val="20"/>
                <w:szCs w:val="20"/>
                <w:lang w:val="en-US"/>
              </w:rPr>
              <w:t>Burkina Faso</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1121</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3.80</w:t>
            </w:r>
          </w:p>
        </w:tc>
        <w:tc>
          <w:tcPr>
            <w:tcW w:w="1501" w:type="dxa"/>
            <w:tcBorders/>
          </w:tcPr>
          <w:p>
            <w:pPr>
              <w:pStyle w:val="Normal"/>
              <w:widowControl w:val="false"/>
              <w:spacing w:before="0" w:after="160"/>
              <w:rPr>
                <w:rFonts w:cs="Times New Roman"/>
                <w:sz w:val="20"/>
                <w:szCs w:val="20"/>
                <w:lang w:val="en-US"/>
              </w:rPr>
            </w:pPr>
            <w:r>
              <w:rPr>
                <w:rFonts w:cs="Times New Roman"/>
                <w:sz w:val="20"/>
                <w:szCs w:val="20"/>
                <w:lang w:val="en-US"/>
              </w:rPr>
              <w:t>7.30</w:t>
            </w:r>
          </w:p>
        </w:tc>
      </w:tr>
      <w:tr>
        <w:trPr/>
        <w:tc>
          <w:tcPr>
            <w:tcW w:w="2708" w:type="dxa"/>
            <w:tcBorders/>
          </w:tcPr>
          <w:p>
            <w:pPr>
              <w:pStyle w:val="Normal"/>
              <w:widowControl w:val="false"/>
              <w:spacing w:before="0" w:after="160"/>
              <w:rPr>
                <w:rFonts w:cs="Times New Roman"/>
                <w:sz w:val="20"/>
                <w:szCs w:val="20"/>
                <w:lang w:val="en-US"/>
              </w:rPr>
            </w:pPr>
            <w:r>
              <w:rPr>
                <w:rFonts w:cs="Times New Roman"/>
                <w:sz w:val="20"/>
                <w:szCs w:val="20"/>
                <w:lang w:val="en-US"/>
              </w:rPr>
              <w:t>Burundi**</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1125</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3.82</w:t>
            </w:r>
          </w:p>
        </w:tc>
        <w:tc>
          <w:tcPr>
            <w:tcW w:w="1501" w:type="dxa"/>
            <w:tcBorders/>
          </w:tcPr>
          <w:p>
            <w:pPr>
              <w:pStyle w:val="Normal"/>
              <w:widowControl w:val="false"/>
              <w:spacing w:before="0" w:after="160"/>
              <w:rPr>
                <w:rFonts w:cs="Times New Roman"/>
                <w:sz w:val="20"/>
                <w:szCs w:val="20"/>
                <w:lang w:val="en-US"/>
              </w:rPr>
            </w:pPr>
            <w:r>
              <w:rPr>
                <w:rFonts w:cs="Times New Roman"/>
                <w:sz w:val="20"/>
                <w:szCs w:val="20"/>
                <w:lang w:val="en-US"/>
              </w:rPr>
              <w:t>11.11</w:t>
            </w:r>
          </w:p>
        </w:tc>
      </w:tr>
      <w:tr>
        <w:trPr/>
        <w:tc>
          <w:tcPr>
            <w:tcW w:w="2708" w:type="dxa"/>
            <w:tcBorders/>
          </w:tcPr>
          <w:p>
            <w:pPr>
              <w:pStyle w:val="Normal"/>
              <w:widowControl w:val="false"/>
              <w:spacing w:before="0" w:after="160"/>
              <w:rPr>
                <w:rFonts w:cs="Times New Roman"/>
                <w:sz w:val="20"/>
                <w:szCs w:val="20"/>
                <w:lang w:val="en-US"/>
              </w:rPr>
            </w:pPr>
            <w:r>
              <w:rPr>
                <w:rFonts w:cs="Times New Roman"/>
                <w:sz w:val="20"/>
                <w:szCs w:val="20"/>
                <w:lang w:val="en-US"/>
              </w:rPr>
              <w:t>Elfenbenskysten*</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1168</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3.96</w:t>
            </w:r>
          </w:p>
        </w:tc>
        <w:tc>
          <w:tcPr>
            <w:tcW w:w="1501" w:type="dxa"/>
            <w:tcBorders/>
          </w:tcPr>
          <w:p>
            <w:pPr>
              <w:pStyle w:val="Normal"/>
              <w:widowControl w:val="false"/>
              <w:spacing w:before="0" w:after="160"/>
              <w:rPr>
                <w:rFonts w:cs="Times New Roman"/>
                <w:sz w:val="20"/>
                <w:szCs w:val="20"/>
                <w:lang w:val="en-US"/>
              </w:rPr>
            </w:pPr>
            <w:r>
              <w:rPr>
                <w:rFonts w:cs="Times New Roman"/>
                <w:sz w:val="20"/>
                <w:szCs w:val="20"/>
                <w:lang w:val="en-US"/>
              </w:rPr>
              <w:t>15.07</w:t>
            </w:r>
          </w:p>
        </w:tc>
      </w:tr>
      <w:tr>
        <w:trPr/>
        <w:tc>
          <w:tcPr>
            <w:tcW w:w="2708" w:type="dxa"/>
            <w:tcBorders/>
          </w:tcPr>
          <w:p>
            <w:pPr>
              <w:pStyle w:val="Normal"/>
              <w:widowControl w:val="false"/>
              <w:spacing w:before="0" w:after="160"/>
              <w:rPr>
                <w:rFonts w:cs="Times New Roman"/>
                <w:sz w:val="20"/>
                <w:szCs w:val="20"/>
                <w:lang w:val="en-US"/>
              </w:rPr>
            </w:pPr>
            <w:r>
              <w:rPr>
                <w:rFonts w:cs="Times New Roman"/>
                <w:sz w:val="20"/>
                <w:szCs w:val="20"/>
                <w:lang w:val="en-US"/>
              </w:rPr>
              <w:t>Ghana</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2229</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7.56</w:t>
            </w:r>
          </w:p>
        </w:tc>
        <w:tc>
          <w:tcPr>
            <w:tcW w:w="1501" w:type="dxa"/>
            <w:tcBorders/>
          </w:tcPr>
          <w:p>
            <w:pPr>
              <w:pStyle w:val="Normal"/>
              <w:widowControl w:val="false"/>
              <w:spacing w:before="0" w:after="160"/>
              <w:rPr>
                <w:rFonts w:cs="Times New Roman"/>
                <w:sz w:val="20"/>
                <w:szCs w:val="20"/>
                <w:lang w:val="en-US"/>
              </w:rPr>
            </w:pPr>
            <w:r>
              <w:rPr>
                <w:rFonts w:cs="Times New Roman"/>
                <w:sz w:val="20"/>
                <w:szCs w:val="20"/>
                <w:lang w:val="en-US"/>
              </w:rPr>
              <w:t>22.63</w:t>
            </w:r>
          </w:p>
        </w:tc>
      </w:tr>
      <w:tr>
        <w:trPr/>
        <w:tc>
          <w:tcPr>
            <w:tcW w:w="2708" w:type="dxa"/>
            <w:tcBorders/>
          </w:tcPr>
          <w:p>
            <w:pPr>
              <w:pStyle w:val="Normal"/>
              <w:widowControl w:val="false"/>
              <w:spacing w:before="0" w:after="160"/>
              <w:rPr>
                <w:rFonts w:cs="Times New Roman"/>
                <w:sz w:val="20"/>
                <w:szCs w:val="20"/>
                <w:lang w:val="en-US"/>
              </w:rPr>
            </w:pPr>
            <w:r>
              <w:rPr>
                <w:rFonts w:cs="Times New Roman"/>
                <w:sz w:val="20"/>
                <w:szCs w:val="20"/>
                <w:lang w:val="en-US"/>
              </w:rPr>
              <w:t>Guinea</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1130</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3.83</w:t>
            </w:r>
          </w:p>
        </w:tc>
        <w:tc>
          <w:tcPr>
            <w:tcW w:w="1501" w:type="dxa"/>
            <w:tcBorders/>
          </w:tcPr>
          <w:p>
            <w:pPr>
              <w:pStyle w:val="Normal"/>
              <w:widowControl w:val="false"/>
              <w:spacing w:before="0" w:after="160"/>
              <w:rPr>
                <w:rFonts w:cs="Times New Roman"/>
                <w:sz w:val="20"/>
                <w:szCs w:val="20"/>
                <w:lang w:val="en-US"/>
              </w:rPr>
            </w:pPr>
            <w:r>
              <w:rPr>
                <w:rFonts w:cs="Times New Roman"/>
                <w:sz w:val="20"/>
                <w:szCs w:val="20"/>
                <w:lang w:val="en-US"/>
              </w:rPr>
              <w:t>26.46</w:t>
            </w:r>
          </w:p>
        </w:tc>
      </w:tr>
      <w:tr>
        <w:trPr/>
        <w:tc>
          <w:tcPr>
            <w:tcW w:w="2708" w:type="dxa"/>
            <w:tcBorders/>
          </w:tcPr>
          <w:p>
            <w:pPr>
              <w:pStyle w:val="Normal"/>
              <w:widowControl w:val="false"/>
              <w:spacing w:before="0" w:after="160"/>
              <w:rPr>
                <w:rFonts w:cs="Times New Roman"/>
                <w:sz w:val="20"/>
                <w:szCs w:val="20"/>
                <w:lang w:val="en-US"/>
              </w:rPr>
            </w:pPr>
            <w:r>
              <w:rPr>
                <w:rFonts w:cs="Times New Roman"/>
                <w:sz w:val="20"/>
                <w:szCs w:val="20"/>
                <w:lang w:val="en-US"/>
              </w:rPr>
              <w:t>Kenya*</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2224</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7.54</w:t>
            </w:r>
          </w:p>
        </w:tc>
        <w:tc>
          <w:tcPr>
            <w:tcW w:w="1501" w:type="dxa"/>
            <w:tcBorders/>
          </w:tcPr>
          <w:p>
            <w:pPr>
              <w:pStyle w:val="Normal"/>
              <w:widowControl w:val="false"/>
              <w:spacing w:before="0" w:after="160"/>
              <w:rPr>
                <w:rFonts w:cs="Times New Roman"/>
                <w:sz w:val="20"/>
                <w:szCs w:val="20"/>
                <w:lang w:val="en-US"/>
              </w:rPr>
            </w:pPr>
            <w:r>
              <w:rPr>
                <w:rFonts w:cs="Times New Roman"/>
                <w:sz w:val="20"/>
                <w:szCs w:val="20"/>
                <w:lang w:val="en-US"/>
              </w:rPr>
              <w:t>34.01</w:t>
            </w:r>
          </w:p>
        </w:tc>
      </w:tr>
      <w:tr>
        <w:trPr/>
        <w:tc>
          <w:tcPr>
            <w:tcW w:w="2708" w:type="dxa"/>
            <w:tcBorders/>
          </w:tcPr>
          <w:p>
            <w:pPr>
              <w:pStyle w:val="Normal"/>
              <w:widowControl w:val="false"/>
              <w:spacing w:before="0" w:after="160"/>
              <w:rPr>
                <w:rFonts w:cs="Times New Roman"/>
                <w:sz w:val="20"/>
                <w:szCs w:val="20"/>
                <w:lang w:val="en-US"/>
              </w:rPr>
            </w:pPr>
            <w:r>
              <w:rPr>
                <w:rFonts w:cs="Times New Roman"/>
                <w:sz w:val="20"/>
                <w:szCs w:val="20"/>
                <w:lang w:val="en-US"/>
              </w:rPr>
              <w:t>Liberia**</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1135</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3.85</w:t>
            </w:r>
          </w:p>
        </w:tc>
        <w:tc>
          <w:tcPr>
            <w:tcW w:w="1501" w:type="dxa"/>
            <w:tcBorders/>
          </w:tcPr>
          <w:p>
            <w:pPr>
              <w:pStyle w:val="Normal"/>
              <w:widowControl w:val="false"/>
              <w:spacing w:before="0" w:after="160"/>
              <w:rPr>
                <w:rFonts w:cs="Times New Roman"/>
                <w:sz w:val="20"/>
                <w:szCs w:val="20"/>
                <w:lang w:val="en-US"/>
              </w:rPr>
            </w:pPr>
            <w:r>
              <w:rPr>
                <w:rFonts w:cs="Times New Roman"/>
                <w:sz w:val="20"/>
                <w:szCs w:val="20"/>
                <w:lang w:val="en-US"/>
              </w:rPr>
              <w:t>37.86</w:t>
            </w:r>
          </w:p>
        </w:tc>
      </w:tr>
      <w:tr>
        <w:trPr/>
        <w:tc>
          <w:tcPr>
            <w:tcW w:w="2708" w:type="dxa"/>
            <w:tcBorders/>
          </w:tcPr>
          <w:p>
            <w:pPr>
              <w:pStyle w:val="Normal"/>
              <w:widowControl w:val="false"/>
              <w:spacing w:before="0" w:after="160"/>
              <w:rPr>
                <w:rFonts w:cs="Times New Roman"/>
                <w:sz w:val="20"/>
                <w:szCs w:val="20"/>
                <w:lang w:val="en-US"/>
              </w:rPr>
            </w:pPr>
            <w:r>
              <w:rPr>
                <w:rFonts w:cs="Times New Roman"/>
                <w:sz w:val="20"/>
                <w:szCs w:val="20"/>
                <w:lang w:val="en-US"/>
              </w:rPr>
              <w:t>Mali</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1185</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4.02</w:t>
            </w:r>
          </w:p>
        </w:tc>
        <w:tc>
          <w:tcPr>
            <w:tcW w:w="1501" w:type="dxa"/>
            <w:tcBorders/>
          </w:tcPr>
          <w:p>
            <w:pPr>
              <w:pStyle w:val="Normal"/>
              <w:widowControl w:val="false"/>
              <w:spacing w:before="0" w:after="160"/>
              <w:rPr>
                <w:rFonts w:cs="Times New Roman"/>
                <w:sz w:val="20"/>
                <w:szCs w:val="20"/>
                <w:lang w:val="en-US"/>
              </w:rPr>
            </w:pPr>
            <w:r>
              <w:rPr>
                <w:rFonts w:cs="Times New Roman"/>
                <w:sz w:val="20"/>
                <w:szCs w:val="20"/>
                <w:lang w:val="en-US"/>
              </w:rPr>
              <w:t>41.88</w:t>
            </w:r>
          </w:p>
        </w:tc>
      </w:tr>
      <w:tr>
        <w:trPr/>
        <w:tc>
          <w:tcPr>
            <w:tcW w:w="2708" w:type="dxa"/>
            <w:tcBorders/>
          </w:tcPr>
          <w:p>
            <w:pPr>
              <w:pStyle w:val="Normal"/>
              <w:widowControl w:val="false"/>
              <w:spacing w:before="0" w:after="160"/>
              <w:rPr>
                <w:rFonts w:cs="Times New Roman"/>
                <w:sz w:val="20"/>
                <w:szCs w:val="20"/>
                <w:lang w:val="en-US"/>
              </w:rPr>
            </w:pPr>
            <w:r>
              <w:rPr>
                <w:rFonts w:cs="Times New Roman"/>
                <w:sz w:val="20"/>
                <w:szCs w:val="20"/>
                <w:lang w:val="en-US"/>
              </w:rPr>
              <w:t>Mosambik**</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1874</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6.36</w:t>
            </w:r>
          </w:p>
        </w:tc>
        <w:tc>
          <w:tcPr>
            <w:tcW w:w="1501" w:type="dxa"/>
            <w:tcBorders/>
          </w:tcPr>
          <w:p>
            <w:pPr>
              <w:pStyle w:val="Normal"/>
              <w:widowControl w:val="false"/>
              <w:spacing w:before="0" w:after="160"/>
              <w:rPr>
                <w:rFonts w:cs="Times New Roman"/>
                <w:sz w:val="20"/>
                <w:szCs w:val="20"/>
                <w:lang w:val="en-US"/>
              </w:rPr>
            </w:pPr>
            <w:r>
              <w:rPr>
                <w:rFonts w:cs="Times New Roman"/>
                <w:sz w:val="20"/>
                <w:szCs w:val="20"/>
                <w:lang w:val="en-US"/>
              </w:rPr>
              <w:t>48.23</w:t>
            </w:r>
          </w:p>
        </w:tc>
      </w:tr>
      <w:tr>
        <w:trPr/>
        <w:tc>
          <w:tcPr>
            <w:tcW w:w="2708" w:type="dxa"/>
            <w:tcBorders/>
          </w:tcPr>
          <w:p>
            <w:pPr>
              <w:pStyle w:val="Normal"/>
              <w:widowControl w:val="false"/>
              <w:spacing w:before="0" w:after="160"/>
              <w:rPr>
                <w:rFonts w:cs="Times New Roman"/>
                <w:sz w:val="20"/>
                <w:szCs w:val="20"/>
                <w:lang w:val="en-US"/>
              </w:rPr>
            </w:pPr>
            <w:r>
              <w:rPr>
                <w:rFonts w:cs="Times New Roman"/>
                <w:sz w:val="20"/>
                <w:szCs w:val="20"/>
                <w:lang w:val="en-US"/>
              </w:rPr>
              <w:t>Niger</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1106</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3.75</w:t>
            </w:r>
          </w:p>
        </w:tc>
        <w:tc>
          <w:tcPr>
            <w:tcW w:w="1501" w:type="dxa"/>
            <w:tcBorders/>
          </w:tcPr>
          <w:p>
            <w:pPr>
              <w:pStyle w:val="Normal"/>
              <w:widowControl w:val="false"/>
              <w:spacing w:before="0" w:after="160"/>
              <w:rPr>
                <w:rFonts w:cs="Times New Roman"/>
                <w:sz w:val="20"/>
                <w:szCs w:val="20"/>
                <w:lang w:val="en-US"/>
              </w:rPr>
            </w:pPr>
            <w:r>
              <w:rPr>
                <w:rFonts w:cs="Times New Roman"/>
                <w:sz w:val="20"/>
                <w:szCs w:val="20"/>
                <w:lang w:val="en-US"/>
              </w:rPr>
              <w:t>51.98</w:t>
            </w:r>
          </w:p>
        </w:tc>
      </w:tr>
      <w:tr>
        <w:trPr/>
        <w:tc>
          <w:tcPr>
            <w:tcW w:w="2708" w:type="dxa"/>
            <w:tcBorders/>
          </w:tcPr>
          <w:p>
            <w:pPr>
              <w:pStyle w:val="Normal"/>
              <w:widowControl w:val="false"/>
              <w:spacing w:before="0" w:after="160"/>
              <w:rPr>
                <w:rFonts w:cs="Times New Roman"/>
                <w:sz w:val="20"/>
                <w:szCs w:val="20"/>
                <w:lang w:val="en-US"/>
              </w:rPr>
            </w:pPr>
            <w:r>
              <w:rPr>
                <w:rFonts w:cs="Times New Roman"/>
                <w:sz w:val="20"/>
                <w:szCs w:val="20"/>
                <w:lang w:val="en-US"/>
              </w:rPr>
              <w:t>Nigeria</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2321</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7.87</w:t>
            </w:r>
          </w:p>
        </w:tc>
        <w:tc>
          <w:tcPr>
            <w:tcW w:w="1501" w:type="dxa"/>
            <w:tcBorders/>
          </w:tcPr>
          <w:p>
            <w:pPr>
              <w:pStyle w:val="Normal"/>
              <w:widowControl w:val="false"/>
              <w:spacing w:before="0" w:after="160"/>
              <w:rPr>
                <w:rFonts w:cs="Times New Roman"/>
                <w:sz w:val="20"/>
                <w:szCs w:val="20"/>
                <w:lang w:val="en-US"/>
              </w:rPr>
            </w:pPr>
            <w:r>
              <w:rPr>
                <w:rFonts w:cs="Times New Roman"/>
                <w:sz w:val="20"/>
                <w:szCs w:val="20"/>
                <w:lang w:val="en-US"/>
              </w:rPr>
              <w:t>59.85</w:t>
            </w:r>
          </w:p>
        </w:tc>
      </w:tr>
      <w:tr>
        <w:trPr/>
        <w:tc>
          <w:tcPr>
            <w:tcW w:w="2708" w:type="dxa"/>
            <w:tcBorders/>
          </w:tcPr>
          <w:p>
            <w:pPr>
              <w:pStyle w:val="Normal"/>
              <w:widowControl w:val="false"/>
              <w:spacing w:before="0" w:after="160"/>
              <w:rPr>
                <w:rFonts w:cs="Times New Roman"/>
                <w:sz w:val="20"/>
                <w:szCs w:val="20"/>
                <w:lang w:val="en-US"/>
              </w:rPr>
            </w:pPr>
            <w:r>
              <w:rPr>
                <w:rFonts w:cs="Times New Roman"/>
                <w:sz w:val="20"/>
                <w:szCs w:val="20"/>
                <w:lang w:val="en-US"/>
              </w:rPr>
              <w:t>Senegal</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1031</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3.50</w:t>
            </w:r>
          </w:p>
        </w:tc>
        <w:tc>
          <w:tcPr>
            <w:tcW w:w="1501" w:type="dxa"/>
            <w:tcBorders/>
          </w:tcPr>
          <w:p>
            <w:pPr>
              <w:pStyle w:val="Normal"/>
              <w:widowControl w:val="false"/>
              <w:spacing w:before="0" w:after="160"/>
              <w:rPr>
                <w:rFonts w:cs="Times New Roman"/>
                <w:sz w:val="20"/>
                <w:szCs w:val="20"/>
                <w:lang w:val="en-US"/>
              </w:rPr>
            </w:pPr>
            <w:r>
              <w:rPr>
                <w:rFonts w:cs="Times New Roman"/>
                <w:sz w:val="20"/>
                <w:szCs w:val="20"/>
                <w:lang w:val="en-US"/>
              </w:rPr>
              <w:t>63.35</w:t>
            </w:r>
          </w:p>
        </w:tc>
      </w:tr>
      <w:tr>
        <w:trPr/>
        <w:tc>
          <w:tcPr>
            <w:tcW w:w="2708" w:type="dxa"/>
            <w:tcBorders/>
          </w:tcPr>
          <w:p>
            <w:pPr>
              <w:pStyle w:val="Normal"/>
              <w:widowControl w:val="false"/>
              <w:spacing w:before="0" w:after="160"/>
              <w:rPr>
                <w:rFonts w:cs="Times New Roman"/>
                <w:sz w:val="20"/>
                <w:szCs w:val="20"/>
                <w:lang w:val="en-US"/>
              </w:rPr>
            </w:pPr>
            <w:r>
              <w:rPr>
                <w:rFonts w:cs="Times New Roman"/>
                <w:sz w:val="20"/>
                <w:szCs w:val="20"/>
                <w:lang w:val="en-US"/>
              </w:rPr>
              <w:t>Sierra Leone*</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1022</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3.47</w:t>
            </w:r>
          </w:p>
        </w:tc>
        <w:tc>
          <w:tcPr>
            <w:tcW w:w="1501" w:type="dxa"/>
            <w:tcBorders/>
          </w:tcPr>
          <w:p>
            <w:pPr>
              <w:pStyle w:val="Normal"/>
              <w:widowControl w:val="false"/>
              <w:spacing w:before="0" w:after="160"/>
              <w:rPr>
                <w:rFonts w:cs="Times New Roman"/>
                <w:sz w:val="20"/>
                <w:szCs w:val="20"/>
                <w:lang w:val="en-US"/>
              </w:rPr>
            </w:pPr>
            <w:r>
              <w:rPr>
                <w:rFonts w:cs="Times New Roman"/>
                <w:sz w:val="20"/>
                <w:szCs w:val="20"/>
                <w:lang w:val="en-US"/>
              </w:rPr>
              <w:t>66.82</w:t>
            </w:r>
          </w:p>
        </w:tc>
      </w:tr>
      <w:tr>
        <w:trPr/>
        <w:tc>
          <w:tcPr>
            <w:tcW w:w="2708" w:type="dxa"/>
            <w:tcBorders/>
          </w:tcPr>
          <w:p>
            <w:pPr>
              <w:pStyle w:val="Normal"/>
              <w:widowControl w:val="false"/>
              <w:spacing w:before="0" w:after="160"/>
              <w:rPr>
                <w:rFonts w:cs="Times New Roman"/>
                <w:sz w:val="20"/>
                <w:szCs w:val="20"/>
                <w:lang w:val="en-US"/>
              </w:rPr>
            </w:pPr>
            <w:r>
              <w:rPr>
                <w:rFonts w:cs="Times New Roman"/>
                <w:sz w:val="20"/>
                <w:szCs w:val="20"/>
                <w:lang w:val="en-US"/>
              </w:rPr>
              <w:t>Sør-Afrika**</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2279</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7.73</w:t>
            </w:r>
          </w:p>
        </w:tc>
        <w:tc>
          <w:tcPr>
            <w:tcW w:w="1501" w:type="dxa"/>
            <w:tcBorders/>
          </w:tcPr>
          <w:p>
            <w:pPr>
              <w:pStyle w:val="Normal"/>
              <w:widowControl w:val="false"/>
              <w:spacing w:before="0" w:after="160"/>
              <w:rPr>
                <w:rFonts w:cs="Times New Roman"/>
                <w:sz w:val="20"/>
                <w:szCs w:val="20"/>
                <w:lang w:val="en-US"/>
              </w:rPr>
            </w:pPr>
            <w:r>
              <w:rPr>
                <w:rFonts w:cs="Times New Roman"/>
                <w:sz w:val="20"/>
                <w:szCs w:val="20"/>
                <w:lang w:val="en-US"/>
              </w:rPr>
              <w:t>74.55</w:t>
            </w:r>
          </w:p>
        </w:tc>
      </w:tr>
      <w:tr>
        <w:trPr/>
        <w:tc>
          <w:tcPr>
            <w:tcW w:w="2708" w:type="dxa"/>
            <w:tcBorders/>
          </w:tcPr>
          <w:p>
            <w:pPr>
              <w:pStyle w:val="Normal"/>
              <w:widowControl w:val="false"/>
              <w:spacing w:before="0" w:after="160"/>
              <w:rPr>
                <w:rFonts w:cs="Times New Roman"/>
                <w:sz w:val="20"/>
                <w:szCs w:val="20"/>
                <w:lang w:val="en-US"/>
              </w:rPr>
            </w:pPr>
            <w:r>
              <w:rPr>
                <w:rFonts w:cs="Times New Roman"/>
                <w:sz w:val="20"/>
                <w:szCs w:val="20"/>
                <w:lang w:val="en-US"/>
              </w:rPr>
              <w:t>Sudan**</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1042</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3.53</w:t>
            </w:r>
          </w:p>
        </w:tc>
        <w:tc>
          <w:tcPr>
            <w:tcW w:w="1501" w:type="dxa"/>
            <w:tcBorders/>
          </w:tcPr>
          <w:p>
            <w:pPr>
              <w:pStyle w:val="Normal"/>
              <w:widowControl w:val="false"/>
              <w:spacing w:before="0" w:after="160"/>
              <w:rPr>
                <w:rFonts w:cs="Times New Roman"/>
                <w:sz w:val="20"/>
                <w:szCs w:val="20"/>
                <w:lang w:val="en-US"/>
              </w:rPr>
            </w:pPr>
            <w:r>
              <w:rPr>
                <w:rFonts w:cs="Times New Roman"/>
                <w:sz w:val="20"/>
                <w:szCs w:val="20"/>
                <w:lang w:val="en-US"/>
              </w:rPr>
              <w:t>78.08</w:t>
            </w:r>
          </w:p>
        </w:tc>
      </w:tr>
      <w:tr>
        <w:trPr/>
        <w:tc>
          <w:tcPr>
            <w:tcW w:w="2708" w:type="dxa"/>
            <w:tcBorders/>
          </w:tcPr>
          <w:p>
            <w:pPr>
              <w:pStyle w:val="Normal"/>
              <w:widowControl w:val="false"/>
              <w:spacing w:before="0" w:after="160"/>
              <w:rPr>
                <w:rFonts w:cs="Times New Roman"/>
                <w:sz w:val="20"/>
                <w:szCs w:val="20"/>
                <w:lang w:val="en-US"/>
              </w:rPr>
            </w:pPr>
            <w:r>
              <w:rPr>
                <w:rFonts w:cs="Times New Roman"/>
                <w:sz w:val="20"/>
                <w:szCs w:val="20"/>
                <w:lang w:val="en-US"/>
              </w:rPr>
              <w:t>Togo</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1098</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3.72</w:t>
            </w:r>
          </w:p>
        </w:tc>
        <w:tc>
          <w:tcPr>
            <w:tcW w:w="1501" w:type="dxa"/>
            <w:tcBorders/>
          </w:tcPr>
          <w:p>
            <w:pPr>
              <w:pStyle w:val="Normal"/>
              <w:widowControl w:val="false"/>
              <w:spacing w:before="0" w:after="160"/>
              <w:rPr>
                <w:rFonts w:cs="Times New Roman"/>
                <w:sz w:val="20"/>
                <w:szCs w:val="20"/>
                <w:lang w:val="en-US"/>
              </w:rPr>
            </w:pPr>
            <w:r>
              <w:rPr>
                <w:rFonts w:cs="Times New Roman"/>
                <w:sz w:val="20"/>
                <w:szCs w:val="20"/>
                <w:lang w:val="en-US"/>
              </w:rPr>
              <w:t>81.80</w:t>
            </w:r>
          </w:p>
        </w:tc>
      </w:tr>
      <w:tr>
        <w:trPr/>
        <w:tc>
          <w:tcPr>
            <w:tcW w:w="2708" w:type="dxa"/>
            <w:tcBorders/>
          </w:tcPr>
          <w:p>
            <w:pPr>
              <w:pStyle w:val="Normal"/>
              <w:widowControl w:val="false"/>
              <w:spacing w:before="0" w:after="160"/>
              <w:rPr>
                <w:rFonts w:cs="Times New Roman"/>
                <w:sz w:val="20"/>
                <w:szCs w:val="20"/>
                <w:lang w:val="en-US"/>
              </w:rPr>
            </w:pPr>
            <w:r>
              <w:rPr>
                <w:rFonts w:cs="Times New Roman"/>
                <w:sz w:val="20"/>
                <w:szCs w:val="20"/>
                <w:lang w:val="en-US"/>
              </w:rPr>
              <w:t>Tunisia</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1060</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3.60</w:t>
            </w:r>
          </w:p>
        </w:tc>
        <w:tc>
          <w:tcPr>
            <w:tcW w:w="1501" w:type="dxa"/>
            <w:tcBorders/>
          </w:tcPr>
          <w:p>
            <w:pPr>
              <w:pStyle w:val="Normal"/>
              <w:widowControl w:val="false"/>
              <w:spacing w:before="0" w:after="160"/>
              <w:rPr>
                <w:rFonts w:cs="Times New Roman"/>
                <w:sz w:val="20"/>
                <w:szCs w:val="20"/>
                <w:lang w:val="en-US"/>
              </w:rPr>
            </w:pPr>
            <w:r>
              <w:rPr>
                <w:rFonts w:cs="Times New Roman"/>
                <w:sz w:val="20"/>
                <w:szCs w:val="20"/>
                <w:lang w:val="en-US"/>
              </w:rPr>
              <w:t>85.40</w:t>
            </w:r>
          </w:p>
        </w:tc>
      </w:tr>
      <w:tr>
        <w:trPr/>
        <w:tc>
          <w:tcPr>
            <w:tcW w:w="2708" w:type="dxa"/>
            <w:tcBorders/>
          </w:tcPr>
          <w:p>
            <w:pPr>
              <w:pStyle w:val="Normal"/>
              <w:widowControl w:val="false"/>
              <w:spacing w:before="0" w:after="160"/>
              <w:rPr>
                <w:rFonts w:cs="Times New Roman"/>
                <w:sz w:val="20"/>
                <w:szCs w:val="20"/>
                <w:lang w:val="en-US"/>
              </w:rPr>
            </w:pPr>
            <w:r>
              <w:rPr>
                <w:rFonts w:cs="Times New Roman"/>
                <w:sz w:val="20"/>
                <w:szCs w:val="20"/>
                <w:lang w:val="en-US"/>
              </w:rPr>
              <w:t>Uganda</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2174</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7.37</w:t>
            </w:r>
          </w:p>
        </w:tc>
        <w:tc>
          <w:tcPr>
            <w:tcW w:w="1501" w:type="dxa"/>
            <w:tcBorders/>
          </w:tcPr>
          <w:p>
            <w:pPr>
              <w:pStyle w:val="Normal"/>
              <w:widowControl w:val="false"/>
              <w:spacing w:before="0" w:after="160"/>
              <w:rPr>
                <w:rFonts w:cs="Times New Roman"/>
                <w:sz w:val="20"/>
                <w:szCs w:val="20"/>
                <w:lang w:val="en-US"/>
              </w:rPr>
            </w:pPr>
            <w:r>
              <w:rPr>
                <w:rFonts w:cs="Times New Roman"/>
                <w:sz w:val="20"/>
                <w:szCs w:val="20"/>
                <w:lang w:val="en-US"/>
              </w:rPr>
              <w:t>92.77</w:t>
            </w:r>
          </w:p>
        </w:tc>
      </w:tr>
      <w:tr>
        <w:trPr/>
        <w:tc>
          <w:tcPr>
            <w:tcW w:w="2708" w:type="dxa"/>
            <w:tcBorders/>
          </w:tcPr>
          <w:p>
            <w:pPr>
              <w:pStyle w:val="Normal"/>
              <w:widowControl w:val="false"/>
              <w:spacing w:before="0" w:after="160"/>
              <w:rPr>
                <w:rFonts w:cs="Times New Roman"/>
                <w:sz w:val="20"/>
                <w:szCs w:val="20"/>
                <w:lang w:val="en-US"/>
              </w:rPr>
            </w:pPr>
            <w:r>
              <w:rPr>
                <w:rFonts w:cs="Times New Roman"/>
                <w:sz w:val="20"/>
                <w:szCs w:val="20"/>
                <w:lang w:val="en-US"/>
              </w:rPr>
              <w:t>Zimbabwe**</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2131</w:t>
            </w:r>
          </w:p>
        </w:tc>
        <w:tc>
          <w:tcPr>
            <w:tcW w:w="1500" w:type="dxa"/>
            <w:tcBorders/>
          </w:tcPr>
          <w:p>
            <w:pPr>
              <w:pStyle w:val="Normal"/>
              <w:widowControl w:val="false"/>
              <w:spacing w:before="0" w:after="160"/>
              <w:rPr>
                <w:rFonts w:cs="Times New Roman"/>
                <w:sz w:val="20"/>
                <w:szCs w:val="20"/>
                <w:lang w:val="en-US"/>
              </w:rPr>
            </w:pPr>
            <w:r>
              <w:rPr>
                <w:rFonts w:cs="Times New Roman"/>
                <w:sz w:val="20"/>
                <w:szCs w:val="20"/>
                <w:lang w:val="en-US"/>
              </w:rPr>
              <w:t>7.23</w:t>
            </w:r>
          </w:p>
        </w:tc>
        <w:tc>
          <w:tcPr>
            <w:tcW w:w="1501" w:type="dxa"/>
            <w:tcBorders/>
          </w:tcPr>
          <w:p>
            <w:pPr>
              <w:pStyle w:val="Normal"/>
              <w:widowControl w:val="false"/>
              <w:spacing w:before="0" w:after="160"/>
              <w:rPr>
                <w:rFonts w:cs="Times New Roman"/>
                <w:sz w:val="20"/>
                <w:szCs w:val="20"/>
                <w:lang w:val="en-US"/>
              </w:rPr>
            </w:pPr>
            <w:r>
              <w:rPr>
                <w:rFonts w:cs="Times New Roman"/>
                <w:sz w:val="20"/>
                <w:szCs w:val="20"/>
                <w:lang w:val="en-US"/>
              </w:rPr>
              <w:t>100.00</w:t>
            </w:r>
          </w:p>
        </w:tc>
      </w:tr>
      <w:tr>
        <w:trPr/>
        <w:tc>
          <w:tcPr>
            <w:tcW w:w="2708" w:type="dxa"/>
            <w:tcBorders>
              <w:top w:val="single" w:sz="4" w:space="0" w:color="000000"/>
            </w:tcBorders>
          </w:tcPr>
          <w:p>
            <w:pPr>
              <w:pStyle w:val="Normal"/>
              <w:widowControl w:val="false"/>
              <w:spacing w:before="0" w:after="160"/>
              <w:rPr>
                <w:rFonts w:cs="Times New Roman"/>
                <w:sz w:val="20"/>
                <w:szCs w:val="20"/>
                <w:lang w:val="en-US"/>
              </w:rPr>
            </w:pPr>
            <w:r>
              <w:rPr>
                <w:rFonts w:cs="Times New Roman"/>
                <w:sz w:val="20"/>
                <w:szCs w:val="20"/>
                <w:lang w:val="en-US"/>
              </w:rPr>
              <w:t>Total</w:t>
            </w:r>
          </w:p>
        </w:tc>
        <w:tc>
          <w:tcPr>
            <w:tcW w:w="1500" w:type="dxa"/>
            <w:tcBorders>
              <w:top w:val="single" w:sz="4" w:space="0" w:color="000000"/>
            </w:tcBorders>
          </w:tcPr>
          <w:p>
            <w:pPr>
              <w:pStyle w:val="Normal"/>
              <w:widowControl w:val="false"/>
              <w:spacing w:before="0" w:after="160"/>
              <w:rPr>
                <w:rFonts w:cs="Times New Roman"/>
                <w:sz w:val="20"/>
                <w:szCs w:val="20"/>
                <w:lang w:val="en-US"/>
              </w:rPr>
            </w:pPr>
            <w:r>
              <w:rPr>
                <w:rFonts w:cs="Times New Roman"/>
                <w:sz w:val="20"/>
                <w:szCs w:val="20"/>
                <w:lang w:val="en-US"/>
              </w:rPr>
              <w:t>29485</w:t>
            </w:r>
          </w:p>
        </w:tc>
        <w:tc>
          <w:tcPr>
            <w:tcW w:w="1500" w:type="dxa"/>
            <w:tcBorders>
              <w:top w:val="single" w:sz="4" w:space="0" w:color="000000"/>
            </w:tcBorders>
          </w:tcPr>
          <w:p>
            <w:pPr>
              <w:pStyle w:val="Normal"/>
              <w:widowControl w:val="false"/>
              <w:spacing w:before="0" w:after="160"/>
              <w:rPr>
                <w:rFonts w:cs="Times New Roman"/>
                <w:sz w:val="20"/>
                <w:szCs w:val="20"/>
                <w:lang w:val="en-US"/>
              </w:rPr>
            </w:pPr>
            <w:r>
              <w:rPr>
                <w:rFonts w:cs="Times New Roman"/>
                <w:sz w:val="20"/>
                <w:szCs w:val="20"/>
                <w:lang w:val="en-US"/>
              </w:rPr>
              <w:t>100.00</w:t>
            </w:r>
          </w:p>
        </w:tc>
        <w:tc>
          <w:tcPr>
            <w:tcW w:w="1501" w:type="dxa"/>
            <w:tcBorders>
              <w:top w:val="single" w:sz="4" w:space="0" w:color="000000"/>
            </w:tcBorders>
          </w:tcPr>
          <w:p>
            <w:pPr>
              <w:pStyle w:val="Normal"/>
              <w:widowControl w:val="false"/>
              <w:spacing w:before="0" w:after="160"/>
              <w:rPr>
                <w:rFonts w:cs="Times New Roman"/>
                <w:sz w:val="20"/>
                <w:szCs w:val="20"/>
                <w:lang w:val="en-US"/>
              </w:rPr>
            </w:pPr>
            <w:r>
              <w:rPr>
                <w:rFonts w:cs="Times New Roman"/>
                <w:sz w:val="20"/>
                <w:szCs w:val="20"/>
                <w:lang w:val="en-US"/>
              </w:rPr>
            </w:r>
          </w:p>
        </w:tc>
      </w:tr>
      <w:tr>
        <w:trPr/>
        <w:tc>
          <w:tcPr>
            <w:tcW w:w="7209" w:type="dxa"/>
            <w:gridSpan w:val="4"/>
            <w:tcBorders>
              <w:top w:val="single" w:sz="6" w:space="0" w:color="000000"/>
            </w:tcBorders>
          </w:tcPr>
          <w:p>
            <w:pPr>
              <w:pStyle w:val="Normal"/>
              <w:widowControl w:val="false"/>
              <w:spacing w:before="0" w:after="160"/>
              <w:rPr>
                <w:rFonts w:cs="Times New Roman"/>
                <w:sz w:val="20"/>
                <w:szCs w:val="20"/>
                <w:lang w:val="nn-NO"/>
              </w:rPr>
            </w:pPr>
            <w:r>
              <w:rPr>
                <w:rFonts w:cs="Times New Roman"/>
                <w:sz w:val="20"/>
                <w:szCs w:val="20"/>
                <w:lang w:val="nn-NO"/>
              </w:rPr>
              <w:t>*Land med politisk maktdeling **Land med politisk maktdeling og closed-list PR</w:t>
            </w:r>
          </w:p>
        </w:tc>
      </w:tr>
    </w:tbl>
    <w:p>
      <w:pPr>
        <w:pStyle w:val="Normal"/>
        <w:rPr>
          <w:i/>
          <w:i/>
          <w:iCs/>
          <w:lang w:val="en-US"/>
        </w:rPr>
      </w:pPr>
      <w:r>
        <w:rPr>
          <w:i/>
          <w:iCs/>
          <w:lang w:val="en-US"/>
        </w:rPr>
      </w:r>
    </w:p>
    <w:p>
      <w:pPr>
        <w:pStyle w:val="Normal"/>
        <w:rPr>
          <w:i/>
          <w:i/>
          <w:iCs/>
          <w:lang w:val="en-US"/>
        </w:rPr>
      </w:pPr>
      <w:r>
        <w:rPr>
          <w:i/>
          <w:iCs/>
          <w:lang w:val="en-US"/>
        </w:rPr>
      </w:r>
    </w:p>
    <w:p>
      <w:pPr>
        <w:pStyle w:val="Normal"/>
        <w:rPr>
          <w:i/>
          <w:i/>
          <w:iCs/>
          <w:lang w:val="en-US"/>
        </w:rPr>
      </w:pPr>
      <w:r>
        <w:rPr>
          <w:i/>
          <w:iCs/>
          <w:lang w:val="en-US"/>
        </w:rPr>
      </w:r>
    </w:p>
    <w:p>
      <w:pPr>
        <w:pStyle w:val="Normal"/>
        <w:rPr>
          <w:i/>
          <w:i/>
          <w:iCs/>
          <w:lang w:val="en-US"/>
        </w:rPr>
      </w:pPr>
      <w:r>
        <w:rPr>
          <w:i/>
          <w:iCs/>
          <w:lang w:val="en-US"/>
        </w:rPr>
      </w:r>
    </w:p>
    <w:p>
      <w:pPr>
        <w:pStyle w:val="Normal"/>
        <w:rPr>
          <w:i/>
          <w:i/>
          <w:iCs/>
          <w:lang w:val="en-US"/>
        </w:rPr>
      </w:pPr>
      <w:r>
        <w:rPr>
          <w:i/>
          <w:iCs/>
          <w:lang w:val="en-US"/>
        </w:rPr>
      </w:r>
    </w:p>
    <w:p>
      <w:pPr>
        <w:pStyle w:val="Normal"/>
        <w:rPr>
          <w:i/>
          <w:i/>
          <w:iCs/>
          <w:lang w:val="en-US"/>
        </w:rPr>
      </w:pPr>
      <w:r>
        <w:rPr>
          <w:i/>
          <w:iCs/>
          <w:lang w:val="en-US"/>
        </w:rPr>
      </w:r>
    </w:p>
    <w:p>
      <w:pPr>
        <w:pStyle w:val="Normal"/>
        <w:rPr>
          <w:i/>
          <w:i/>
          <w:iCs/>
          <w:lang w:val="en-US"/>
        </w:rPr>
      </w:pPr>
      <w:r>
        <w:rPr>
          <w:i/>
          <w:iCs/>
          <w:lang w:val="en-US"/>
        </w:rPr>
      </w:r>
    </w:p>
    <w:p>
      <w:pPr>
        <w:pStyle w:val="Normal"/>
        <w:rPr>
          <w:i/>
          <w:i/>
          <w:iCs/>
          <w:lang w:val="en-US"/>
        </w:rPr>
      </w:pPr>
      <w:r>
        <w:rPr>
          <w:i/>
          <w:iCs/>
          <w:lang w:val="en-US"/>
        </w:rPr>
      </w:r>
    </w:p>
    <w:p>
      <w:pPr>
        <w:pStyle w:val="Normal"/>
        <w:rPr>
          <w:i/>
          <w:i/>
          <w:iCs/>
          <w:lang w:val="en-US"/>
        </w:rPr>
      </w:pPr>
      <w:r>
        <w:rPr>
          <w:i/>
          <w:iCs/>
          <w:lang w:val="en-US"/>
        </w:rPr>
      </w:r>
    </w:p>
    <w:p>
      <w:pPr>
        <w:pStyle w:val="Normal"/>
        <w:rPr/>
      </w:pPr>
      <w:r>
        <w:rPr>
          <w:i/>
          <w:iCs/>
          <w:lang w:val="en-US"/>
        </w:rPr>
        <w:t xml:space="preserve">Tabell 9: </w:t>
      </w:r>
      <w:r>
        <w:rPr>
          <w:i/>
          <w:iCs/>
        </w:rPr>
        <w:t>Oversikt over land som inkluderes sammen med undertrykte grupper</w:t>
      </w:r>
      <w:r>
        <w:rPr>
          <w:b/>
          <w:bCs/>
          <w:i/>
          <w:iCs/>
          <w:lang w:val="en-US"/>
        </w:rPr>
        <w:t xml:space="preserve">  </w:t>
      </w:r>
    </w:p>
    <w:tbl>
      <w:tblPr>
        <w:tblW w:w="7209" w:type="dxa"/>
        <w:jc w:val="left"/>
        <w:tblInd w:w="0" w:type="dxa"/>
        <w:tblLayout w:type="fixed"/>
        <w:tblCellMar>
          <w:top w:w="0" w:type="dxa"/>
          <w:left w:w="108" w:type="dxa"/>
          <w:bottom w:w="0" w:type="dxa"/>
          <w:right w:w="108" w:type="dxa"/>
        </w:tblCellMar>
      </w:tblPr>
      <w:tblGrid>
        <w:gridCol w:w="2708"/>
        <w:gridCol w:w="1500"/>
        <w:gridCol w:w="1500"/>
        <w:gridCol w:w="1501"/>
      </w:tblGrid>
      <w:tr>
        <w:trPr/>
        <w:tc>
          <w:tcPr>
            <w:tcW w:w="2708" w:type="dxa"/>
            <w:tcBorders>
              <w:top w:val="single" w:sz="4" w:space="0" w:color="000000"/>
              <w:bottom w:val="single" w:sz="10" w:space="0" w:color="000000"/>
            </w:tcBorders>
          </w:tcPr>
          <w:p>
            <w:pPr>
              <w:pStyle w:val="Normal"/>
              <w:widowControl w:val="false"/>
              <w:spacing w:before="0" w:after="160"/>
              <w:rPr>
                <w:sz w:val="20"/>
                <w:szCs w:val="18"/>
                <w:lang w:val="en-US"/>
              </w:rPr>
            </w:pPr>
            <w:r>
              <w:rPr>
                <w:sz w:val="20"/>
                <w:szCs w:val="18"/>
                <w:lang w:val="en-US"/>
              </w:rPr>
              <w:t>Land</w:t>
            </w:r>
          </w:p>
        </w:tc>
        <w:tc>
          <w:tcPr>
            <w:tcW w:w="1500" w:type="dxa"/>
            <w:tcBorders>
              <w:top w:val="single" w:sz="4" w:space="0" w:color="000000"/>
              <w:bottom w:val="single" w:sz="10" w:space="0" w:color="000000"/>
            </w:tcBorders>
          </w:tcPr>
          <w:p>
            <w:pPr>
              <w:pStyle w:val="Normal"/>
              <w:widowControl w:val="false"/>
              <w:spacing w:before="0" w:after="160"/>
              <w:rPr>
                <w:sz w:val="20"/>
                <w:szCs w:val="18"/>
                <w:lang w:val="en-US"/>
              </w:rPr>
            </w:pPr>
            <w:r>
              <w:rPr>
                <w:sz w:val="20"/>
                <w:szCs w:val="18"/>
                <w:lang w:val="en-US"/>
              </w:rPr>
              <w:t>Freq.</w:t>
            </w:r>
          </w:p>
        </w:tc>
        <w:tc>
          <w:tcPr>
            <w:tcW w:w="1500" w:type="dxa"/>
            <w:tcBorders>
              <w:top w:val="single" w:sz="4" w:space="0" w:color="000000"/>
              <w:bottom w:val="single" w:sz="10" w:space="0" w:color="000000"/>
            </w:tcBorders>
          </w:tcPr>
          <w:p>
            <w:pPr>
              <w:pStyle w:val="Normal"/>
              <w:widowControl w:val="false"/>
              <w:spacing w:before="0" w:after="160"/>
              <w:rPr>
                <w:sz w:val="20"/>
                <w:szCs w:val="18"/>
                <w:lang w:val="en-US"/>
              </w:rPr>
            </w:pPr>
            <w:r>
              <w:rPr>
                <w:sz w:val="20"/>
                <w:szCs w:val="18"/>
                <w:lang w:val="en-US"/>
              </w:rPr>
              <w:t>Percent</w:t>
            </w:r>
          </w:p>
        </w:tc>
        <w:tc>
          <w:tcPr>
            <w:tcW w:w="1501" w:type="dxa"/>
            <w:tcBorders>
              <w:top w:val="single" w:sz="4" w:space="0" w:color="000000"/>
              <w:bottom w:val="single" w:sz="10" w:space="0" w:color="000000"/>
            </w:tcBorders>
          </w:tcPr>
          <w:p>
            <w:pPr>
              <w:pStyle w:val="Normal"/>
              <w:widowControl w:val="false"/>
              <w:spacing w:before="0" w:after="160"/>
              <w:rPr>
                <w:sz w:val="20"/>
                <w:szCs w:val="18"/>
                <w:lang w:val="en-US"/>
              </w:rPr>
            </w:pPr>
            <w:r>
              <w:rPr>
                <w:sz w:val="20"/>
                <w:szCs w:val="18"/>
                <w:lang w:val="en-US"/>
              </w:rPr>
              <w:t>Cum.</w:t>
            </w:r>
          </w:p>
        </w:tc>
      </w:tr>
      <w:tr>
        <w:trPr/>
        <w:tc>
          <w:tcPr>
            <w:tcW w:w="2708" w:type="dxa"/>
            <w:tcBorders/>
          </w:tcPr>
          <w:p>
            <w:pPr>
              <w:pStyle w:val="Normal"/>
              <w:widowControl w:val="false"/>
              <w:spacing w:before="0" w:after="160"/>
              <w:rPr>
                <w:sz w:val="20"/>
                <w:szCs w:val="18"/>
              </w:rPr>
            </w:pPr>
            <w:r>
              <w:rPr>
                <w:sz w:val="20"/>
                <w:szCs w:val="18"/>
              </w:rPr>
              <w:t>Algerie</w:t>
            </w:r>
          </w:p>
        </w:tc>
        <w:tc>
          <w:tcPr>
            <w:tcW w:w="1500" w:type="dxa"/>
            <w:tcBorders/>
          </w:tcPr>
          <w:p>
            <w:pPr>
              <w:pStyle w:val="Normal"/>
              <w:widowControl w:val="false"/>
              <w:spacing w:before="0" w:after="160"/>
              <w:rPr>
                <w:sz w:val="20"/>
                <w:szCs w:val="18"/>
                <w:lang w:val="en-US"/>
              </w:rPr>
            </w:pPr>
            <w:r>
              <w:rPr>
                <w:sz w:val="20"/>
                <w:szCs w:val="18"/>
                <w:lang w:val="en-US"/>
              </w:rPr>
              <w:t>622</w:t>
            </w:r>
          </w:p>
        </w:tc>
        <w:tc>
          <w:tcPr>
            <w:tcW w:w="1500" w:type="dxa"/>
            <w:tcBorders/>
          </w:tcPr>
          <w:p>
            <w:pPr>
              <w:pStyle w:val="Normal"/>
              <w:widowControl w:val="false"/>
              <w:spacing w:before="0" w:after="160"/>
              <w:rPr>
                <w:sz w:val="20"/>
                <w:szCs w:val="18"/>
                <w:lang w:val="en-US"/>
              </w:rPr>
            </w:pPr>
            <w:r>
              <w:rPr>
                <w:sz w:val="20"/>
                <w:szCs w:val="18"/>
                <w:lang w:val="en-US"/>
              </w:rPr>
              <w:t>4.87</w:t>
            </w:r>
          </w:p>
        </w:tc>
        <w:tc>
          <w:tcPr>
            <w:tcW w:w="1501" w:type="dxa"/>
            <w:tcBorders/>
          </w:tcPr>
          <w:p>
            <w:pPr>
              <w:pStyle w:val="Normal"/>
              <w:widowControl w:val="false"/>
              <w:spacing w:before="0" w:after="160"/>
              <w:rPr>
                <w:sz w:val="20"/>
                <w:szCs w:val="18"/>
                <w:lang w:val="en-US"/>
              </w:rPr>
            </w:pPr>
            <w:r>
              <w:rPr>
                <w:sz w:val="20"/>
                <w:szCs w:val="18"/>
                <w:lang w:val="en-US"/>
              </w:rPr>
              <w:t>4.87</w:t>
            </w:r>
          </w:p>
        </w:tc>
      </w:tr>
      <w:tr>
        <w:trPr/>
        <w:tc>
          <w:tcPr>
            <w:tcW w:w="2708" w:type="dxa"/>
            <w:tcBorders/>
          </w:tcPr>
          <w:p>
            <w:pPr>
              <w:pStyle w:val="Normal"/>
              <w:widowControl w:val="false"/>
              <w:spacing w:before="0" w:after="160"/>
              <w:rPr>
                <w:sz w:val="20"/>
                <w:szCs w:val="18"/>
                <w:lang w:val="en-US"/>
              </w:rPr>
            </w:pPr>
            <w:r>
              <w:rPr>
                <w:sz w:val="20"/>
                <w:szCs w:val="18"/>
                <w:lang w:val="en-US"/>
              </w:rPr>
              <w:t>Burkina Faso</w:t>
            </w:r>
          </w:p>
        </w:tc>
        <w:tc>
          <w:tcPr>
            <w:tcW w:w="1500" w:type="dxa"/>
            <w:tcBorders/>
          </w:tcPr>
          <w:p>
            <w:pPr>
              <w:pStyle w:val="Normal"/>
              <w:widowControl w:val="false"/>
              <w:spacing w:before="0" w:after="160"/>
              <w:rPr>
                <w:sz w:val="20"/>
                <w:szCs w:val="18"/>
                <w:lang w:val="en-US"/>
              </w:rPr>
            </w:pPr>
            <w:r>
              <w:rPr>
                <w:sz w:val="20"/>
                <w:szCs w:val="18"/>
                <w:lang w:val="en-US"/>
              </w:rPr>
              <w:t>622</w:t>
            </w:r>
          </w:p>
        </w:tc>
        <w:tc>
          <w:tcPr>
            <w:tcW w:w="1500" w:type="dxa"/>
            <w:tcBorders/>
          </w:tcPr>
          <w:p>
            <w:pPr>
              <w:pStyle w:val="Normal"/>
              <w:widowControl w:val="false"/>
              <w:spacing w:before="0" w:after="160"/>
              <w:rPr>
                <w:sz w:val="20"/>
                <w:szCs w:val="18"/>
                <w:lang w:val="en-US"/>
              </w:rPr>
            </w:pPr>
            <w:r>
              <w:rPr>
                <w:sz w:val="20"/>
                <w:szCs w:val="18"/>
                <w:lang w:val="en-US"/>
              </w:rPr>
              <w:t>4.87</w:t>
            </w:r>
          </w:p>
        </w:tc>
        <w:tc>
          <w:tcPr>
            <w:tcW w:w="1501" w:type="dxa"/>
            <w:tcBorders/>
          </w:tcPr>
          <w:p>
            <w:pPr>
              <w:pStyle w:val="Normal"/>
              <w:widowControl w:val="false"/>
              <w:spacing w:before="0" w:after="160"/>
              <w:rPr>
                <w:sz w:val="20"/>
                <w:szCs w:val="18"/>
                <w:lang w:val="en-US"/>
              </w:rPr>
            </w:pPr>
            <w:r>
              <w:rPr>
                <w:sz w:val="20"/>
                <w:szCs w:val="18"/>
                <w:lang w:val="en-US"/>
              </w:rPr>
              <w:t>9.73</w:t>
            </w:r>
          </w:p>
        </w:tc>
      </w:tr>
      <w:tr>
        <w:trPr/>
        <w:tc>
          <w:tcPr>
            <w:tcW w:w="2708" w:type="dxa"/>
            <w:tcBorders/>
          </w:tcPr>
          <w:p>
            <w:pPr>
              <w:pStyle w:val="Normal"/>
              <w:widowControl w:val="false"/>
              <w:spacing w:before="0" w:after="160"/>
              <w:rPr>
                <w:sz w:val="20"/>
                <w:szCs w:val="18"/>
              </w:rPr>
            </w:pPr>
            <w:r>
              <w:rPr>
                <w:sz w:val="20"/>
                <w:szCs w:val="18"/>
              </w:rPr>
              <w:t>Elfenbenskysten*</w:t>
            </w:r>
          </w:p>
        </w:tc>
        <w:tc>
          <w:tcPr>
            <w:tcW w:w="1500" w:type="dxa"/>
            <w:tcBorders/>
          </w:tcPr>
          <w:p>
            <w:pPr>
              <w:pStyle w:val="Normal"/>
              <w:widowControl w:val="false"/>
              <w:spacing w:before="0" w:after="160"/>
              <w:rPr>
                <w:sz w:val="20"/>
                <w:szCs w:val="18"/>
                <w:lang w:val="en-US"/>
              </w:rPr>
            </w:pPr>
            <w:r>
              <w:rPr>
                <w:sz w:val="20"/>
                <w:szCs w:val="18"/>
                <w:lang w:val="en-US"/>
              </w:rPr>
              <w:t>1166</w:t>
            </w:r>
          </w:p>
        </w:tc>
        <w:tc>
          <w:tcPr>
            <w:tcW w:w="1500" w:type="dxa"/>
            <w:tcBorders/>
          </w:tcPr>
          <w:p>
            <w:pPr>
              <w:pStyle w:val="Normal"/>
              <w:widowControl w:val="false"/>
              <w:spacing w:before="0" w:after="160"/>
              <w:rPr>
                <w:sz w:val="20"/>
                <w:szCs w:val="18"/>
                <w:lang w:val="en-US"/>
              </w:rPr>
            </w:pPr>
            <w:r>
              <w:rPr>
                <w:sz w:val="20"/>
                <w:szCs w:val="18"/>
                <w:lang w:val="en-US"/>
              </w:rPr>
              <w:t>9.12</w:t>
            </w:r>
          </w:p>
        </w:tc>
        <w:tc>
          <w:tcPr>
            <w:tcW w:w="1501" w:type="dxa"/>
            <w:tcBorders/>
          </w:tcPr>
          <w:p>
            <w:pPr>
              <w:pStyle w:val="Normal"/>
              <w:widowControl w:val="false"/>
              <w:spacing w:before="0" w:after="160"/>
              <w:rPr>
                <w:sz w:val="20"/>
                <w:szCs w:val="18"/>
                <w:lang w:val="en-US"/>
              </w:rPr>
            </w:pPr>
            <w:r>
              <w:rPr>
                <w:sz w:val="20"/>
                <w:szCs w:val="18"/>
                <w:lang w:val="en-US"/>
              </w:rPr>
              <w:t>18.86</w:t>
            </w:r>
          </w:p>
        </w:tc>
      </w:tr>
      <w:tr>
        <w:trPr/>
        <w:tc>
          <w:tcPr>
            <w:tcW w:w="2708" w:type="dxa"/>
            <w:tcBorders/>
          </w:tcPr>
          <w:p>
            <w:pPr>
              <w:pStyle w:val="Normal"/>
              <w:widowControl w:val="false"/>
              <w:spacing w:before="0" w:after="160"/>
              <w:rPr>
                <w:sz w:val="20"/>
                <w:szCs w:val="18"/>
                <w:lang w:val="en-US"/>
              </w:rPr>
            </w:pPr>
            <w:r>
              <w:rPr>
                <w:sz w:val="20"/>
                <w:szCs w:val="18"/>
                <w:lang w:val="en-US"/>
              </w:rPr>
              <w:t>Ghana</w:t>
            </w:r>
          </w:p>
        </w:tc>
        <w:tc>
          <w:tcPr>
            <w:tcW w:w="1500" w:type="dxa"/>
            <w:tcBorders/>
          </w:tcPr>
          <w:p>
            <w:pPr>
              <w:pStyle w:val="Normal"/>
              <w:widowControl w:val="false"/>
              <w:spacing w:before="0" w:after="160"/>
              <w:rPr>
                <w:sz w:val="20"/>
                <w:szCs w:val="18"/>
                <w:lang w:val="en-US"/>
              </w:rPr>
            </w:pPr>
            <w:r>
              <w:rPr>
                <w:sz w:val="20"/>
                <w:szCs w:val="18"/>
                <w:lang w:val="en-US"/>
              </w:rPr>
              <w:t>1153</w:t>
            </w:r>
          </w:p>
        </w:tc>
        <w:tc>
          <w:tcPr>
            <w:tcW w:w="1500" w:type="dxa"/>
            <w:tcBorders/>
          </w:tcPr>
          <w:p>
            <w:pPr>
              <w:pStyle w:val="Normal"/>
              <w:widowControl w:val="false"/>
              <w:spacing w:before="0" w:after="160"/>
              <w:rPr>
                <w:sz w:val="20"/>
                <w:szCs w:val="18"/>
                <w:lang w:val="en-US"/>
              </w:rPr>
            </w:pPr>
            <w:r>
              <w:rPr>
                <w:sz w:val="20"/>
                <w:szCs w:val="18"/>
                <w:lang w:val="en-US"/>
              </w:rPr>
              <w:t>9.02</w:t>
            </w:r>
          </w:p>
        </w:tc>
        <w:tc>
          <w:tcPr>
            <w:tcW w:w="1501" w:type="dxa"/>
            <w:tcBorders/>
          </w:tcPr>
          <w:p>
            <w:pPr>
              <w:pStyle w:val="Normal"/>
              <w:widowControl w:val="false"/>
              <w:spacing w:before="0" w:after="160"/>
              <w:rPr>
                <w:sz w:val="20"/>
                <w:szCs w:val="18"/>
                <w:lang w:val="en-US"/>
              </w:rPr>
            </w:pPr>
            <w:r>
              <w:rPr>
                <w:sz w:val="20"/>
                <w:szCs w:val="18"/>
                <w:lang w:val="en-US"/>
              </w:rPr>
              <w:t>27.88</w:t>
            </w:r>
          </w:p>
        </w:tc>
      </w:tr>
      <w:tr>
        <w:trPr/>
        <w:tc>
          <w:tcPr>
            <w:tcW w:w="2708" w:type="dxa"/>
            <w:tcBorders/>
          </w:tcPr>
          <w:p>
            <w:pPr>
              <w:pStyle w:val="Normal"/>
              <w:widowControl w:val="false"/>
              <w:spacing w:before="0" w:after="160"/>
              <w:rPr>
                <w:sz w:val="20"/>
                <w:szCs w:val="18"/>
                <w:lang w:val="en-US"/>
              </w:rPr>
            </w:pPr>
            <w:r>
              <w:rPr>
                <w:sz w:val="20"/>
                <w:szCs w:val="18"/>
                <w:lang w:val="en-US"/>
              </w:rPr>
              <w:t>Guinea</w:t>
            </w:r>
          </w:p>
        </w:tc>
        <w:tc>
          <w:tcPr>
            <w:tcW w:w="1500" w:type="dxa"/>
            <w:tcBorders/>
          </w:tcPr>
          <w:p>
            <w:pPr>
              <w:pStyle w:val="Normal"/>
              <w:widowControl w:val="false"/>
              <w:spacing w:before="0" w:after="160"/>
              <w:rPr>
                <w:sz w:val="20"/>
                <w:szCs w:val="18"/>
                <w:lang w:val="en-US"/>
              </w:rPr>
            </w:pPr>
            <w:r>
              <w:rPr>
                <w:sz w:val="20"/>
                <w:szCs w:val="18"/>
                <w:lang w:val="en-US"/>
              </w:rPr>
              <w:t>730</w:t>
            </w:r>
          </w:p>
        </w:tc>
        <w:tc>
          <w:tcPr>
            <w:tcW w:w="1500" w:type="dxa"/>
            <w:tcBorders/>
          </w:tcPr>
          <w:p>
            <w:pPr>
              <w:pStyle w:val="Normal"/>
              <w:widowControl w:val="false"/>
              <w:spacing w:before="0" w:after="160"/>
              <w:rPr>
                <w:sz w:val="20"/>
                <w:szCs w:val="18"/>
                <w:lang w:val="en-US"/>
              </w:rPr>
            </w:pPr>
            <w:r>
              <w:rPr>
                <w:sz w:val="20"/>
                <w:szCs w:val="18"/>
                <w:lang w:val="en-US"/>
              </w:rPr>
              <w:t>5.71</w:t>
            </w:r>
          </w:p>
        </w:tc>
        <w:tc>
          <w:tcPr>
            <w:tcW w:w="1501" w:type="dxa"/>
            <w:tcBorders/>
          </w:tcPr>
          <w:p>
            <w:pPr>
              <w:pStyle w:val="Normal"/>
              <w:widowControl w:val="false"/>
              <w:spacing w:before="0" w:after="160"/>
              <w:rPr>
                <w:sz w:val="20"/>
                <w:szCs w:val="18"/>
                <w:lang w:val="en-US"/>
              </w:rPr>
            </w:pPr>
            <w:r>
              <w:rPr>
                <w:sz w:val="20"/>
                <w:szCs w:val="18"/>
                <w:lang w:val="en-US"/>
              </w:rPr>
              <w:t>33.59</w:t>
            </w:r>
          </w:p>
        </w:tc>
      </w:tr>
      <w:tr>
        <w:trPr/>
        <w:tc>
          <w:tcPr>
            <w:tcW w:w="2708" w:type="dxa"/>
            <w:tcBorders/>
          </w:tcPr>
          <w:p>
            <w:pPr>
              <w:pStyle w:val="Normal"/>
              <w:widowControl w:val="false"/>
              <w:spacing w:before="0" w:after="160"/>
              <w:rPr>
                <w:sz w:val="20"/>
                <w:szCs w:val="18"/>
                <w:lang w:val="en-US"/>
              </w:rPr>
            </w:pPr>
            <w:r>
              <w:rPr>
                <w:sz w:val="20"/>
                <w:szCs w:val="18"/>
                <w:lang w:val="en-US"/>
              </w:rPr>
              <w:t>Kenya*</w:t>
            </w:r>
          </w:p>
        </w:tc>
        <w:tc>
          <w:tcPr>
            <w:tcW w:w="1500" w:type="dxa"/>
            <w:tcBorders/>
          </w:tcPr>
          <w:p>
            <w:pPr>
              <w:pStyle w:val="Normal"/>
              <w:widowControl w:val="false"/>
              <w:spacing w:before="0" w:after="160"/>
              <w:rPr>
                <w:sz w:val="20"/>
                <w:szCs w:val="18"/>
                <w:lang w:val="en-US"/>
              </w:rPr>
            </w:pPr>
            <w:r>
              <w:rPr>
                <w:sz w:val="20"/>
                <w:szCs w:val="18"/>
                <w:lang w:val="en-US"/>
              </w:rPr>
              <w:t>979</w:t>
            </w:r>
          </w:p>
        </w:tc>
        <w:tc>
          <w:tcPr>
            <w:tcW w:w="1500" w:type="dxa"/>
            <w:tcBorders/>
          </w:tcPr>
          <w:p>
            <w:pPr>
              <w:pStyle w:val="Normal"/>
              <w:widowControl w:val="false"/>
              <w:spacing w:before="0" w:after="160"/>
              <w:rPr>
                <w:sz w:val="20"/>
                <w:szCs w:val="18"/>
                <w:lang w:val="en-US"/>
              </w:rPr>
            </w:pPr>
            <w:r>
              <w:rPr>
                <w:sz w:val="20"/>
                <w:szCs w:val="18"/>
                <w:lang w:val="en-US"/>
              </w:rPr>
              <w:t>7.66</w:t>
            </w:r>
          </w:p>
        </w:tc>
        <w:tc>
          <w:tcPr>
            <w:tcW w:w="1501" w:type="dxa"/>
            <w:tcBorders/>
          </w:tcPr>
          <w:p>
            <w:pPr>
              <w:pStyle w:val="Normal"/>
              <w:widowControl w:val="false"/>
              <w:spacing w:before="0" w:after="160"/>
              <w:rPr>
                <w:sz w:val="20"/>
                <w:szCs w:val="18"/>
                <w:lang w:val="en-US"/>
              </w:rPr>
            </w:pPr>
            <w:r>
              <w:rPr>
                <w:sz w:val="20"/>
                <w:szCs w:val="18"/>
                <w:lang w:val="en-US"/>
              </w:rPr>
              <w:t>41.25</w:t>
            </w:r>
          </w:p>
        </w:tc>
      </w:tr>
      <w:tr>
        <w:trPr/>
        <w:tc>
          <w:tcPr>
            <w:tcW w:w="2708" w:type="dxa"/>
            <w:tcBorders/>
          </w:tcPr>
          <w:p>
            <w:pPr>
              <w:pStyle w:val="Normal"/>
              <w:widowControl w:val="false"/>
              <w:spacing w:before="0" w:after="160"/>
              <w:rPr>
                <w:sz w:val="20"/>
                <w:szCs w:val="18"/>
                <w:lang w:val="en-US"/>
              </w:rPr>
            </w:pPr>
            <w:r>
              <w:rPr>
                <w:sz w:val="20"/>
                <w:szCs w:val="18"/>
                <w:lang w:val="en-US"/>
              </w:rPr>
              <w:t>Liberia*</w:t>
            </w:r>
          </w:p>
        </w:tc>
        <w:tc>
          <w:tcPr>
            <w:tcW w:w="1500" w:type="dxa"/>
            <w:tcBorders/>
          </w:tcPr>
          <w:p>
            <w:pPr>
              <w:pStyle w:val="Normal"/>
              <w:widowControl w:val="false"/>
              <w:spacing w:before="0" w:after="160"/>
              <w:rPr>
                <w:sz w:val="20"/>
                <w:szCs w:val="18"/>
                <w:lang w:val="en-US"/>
              </w:rPr>
            </w:pPr>
            <w:r>
              <w:rPr>
                <w:sz w:val="20"/>
                <w:szCs w:val="18"/>
                <w:lang w:val="en-US"/>
              </w:rPr>
              <w:t>192</w:t>
            </w:r>
          </w:p>
        </w:tc>
        <w:tc>
          <w:tcPr>
            <w:tcW w:w="1500" w:type="dxa"/>
            <w:tcBorders/>
          </w:tcPr>
          <w:p>
            <w:pPr>
              <w:pStyle w:val="Normal"/>
              <w:widowControl w:val="false"/>
              <w:spacing w:before="0" w:after="160"/>
              <w:rPr>
                <w:sz w:val="20"/>
                <w:szCs w:val="18"/>
                <w:lang w:val="en-US"/>
              </w:rPr>
            </w:pPr>
            <w:r>
              <w:rPr>
                <w:sz w:val="20"/>
                <w:szCs w:val="18"/>
                <w:lang w:val="en-US"/>
              </w:rPr>
              <w:t>1.50</w:t>
            </w:r>
          </w:p>
        </w:tc>
        <w:tc>
          <w:tcPr>
            <w:tcW w:w="1501" w:type="dxa"/>
            <w:tcBorders/>
          </w:tcPr>
          <w:p>
            <w:pPr>
              <w:pStyle w:val="Normal"/>
              <w:widowControl w:val="false"/>
              <w:spacing w:before="0" w:after="160"/>
              <w:rPr>
                <w:sz w:val="20"/>
                <w:szCs w:val="18"/>
                <w:lang w:val="en-US"/>
              </w:rPr>
            </w:pPr>
            <w:r>
              <w:rPr>
                <w:sz w:val="20"/>
                <w:szCs w:val="18"/>
                <w:lang w:val="en-US"/>
              </w:rPr>
              <w:t>42.75</w:t>
            </w:r>
          </w:p>
        </w:tc>
      </w:tr>
      <w:tr>
        <w:trPr/>
        <w:tc>
          <w:tcPr>
            <w:tcW w:w="2708" w:type="dxa"/>
            <w:tcBorders/>
          </w:tcPr>
          <w:p>
            <w:pPr>
              <w:pStyle w:val="Normal"/>
              <w:widowControl w:val="false"/>
              <w:spacing w:before="0" w:after="160"/>
              <w:rPr>
                <w:sz w:val="20"/>
                <w:szCs w:val="18"/>
                <w:lang w:val="en-US"/>
              </w:rPr>
            </w:pPr>
            <w:r>
              <w:rPr>
                <w:sz w:val="20"/>
                <w:szCs w:val="18"/>
                <w:lang w:val="en-US"/>
              </w:rPr>
              <w:t>Mali</w:t>
            </w:r>
          </w:p>
        </w:tc>
        <w:tc>
          <w:tcPr>
            <w:tcW w:w="1500" w:type="dxa"/>
            <w:tcBorders/>
          </w:tcPr>
          <w:p>
            <w:pPr>
              <w:pStyle w:val="Normal"/>
              <w:widowControl w:val="false"/>
              <w:spacing w:before="0" w:after="160"/>
              <w:rPr>
                <w:sz w:val="20"/>
                <w:szCs w:val="18"/>
                <w:lang w:val="en-US"/>
              </w:rPr>
            </w:pPr>
            <w:r>
              <w:rPr>
                <w:sz w:val="20"/>
                <w:szCs w:val="18"/>
                <w:lang w:val="en-US"/>
              </w:rPr>
              <w:t>133</w:t>
            </w:r>
          </w:p>
        </w:tc>
        <w:tc>
          <w:tcPr>
            <w:tcW w:w="1500" w:type="dxa"/>
            <w:tcBorders/>
          </w:tcPr>
          <w:p>
            <w:pPr>
              <w:pStyle w:val="Normal"/>
              <w:widowControl w:val="false"/>
              <w:spacing w:before="0" w:after="160"/>
              <w:rPr>
                <w:sz w:val="20"/>
                <w:szCs w:val="18"/>
                <w:lang w:val="en-US"/>
              </w:rPr>
            </w:pPr>
            <w:r>
              <w:rPr>
                <w:sz w:val="20"/>
                <w:szCs w:val="18"/>
                <w:lang w:val="en-US"/>
              </w:rPr>
              <w:t>1.04</w:t>
            </w:r>
          </w:p>
        </w:tc>
        <w:tc>
          <w:tcPr>
            <w:tcW w:w="1501" w:type="dxa"/>
            <w:tcBorders/>
          </w:tcPr>
          <w:p>
            <w:pPr>
              <w:pStyle w:val="Normal"/>
              <w:widowControl w:val="false"/>
              <w:spacing w:before="0" w:after="160"/>
              <w:rPr>
                <w:sz w:val="20"/>
                <w:szCs w:val="18"/>
                <w:lang w:val="en-US"/>
              </w:rPr>
            </w:pPr>
            <w:r>
              <w:rPr>
                <w:sz w:val="20"/>
                <w:szCs w:val="18"/>
                <w:lang w:val="en-US"/>
              </w:rPr>
              <w:t>43.79</w:t>
            </w:r>
          </w:p>
        </w:tc>
      </w:tr>
      <w:tr>
        <w:trPr/>
        <w:tc>
          <w:tcPr>
            <w:tcW w:w="2708" w:type="dxa"/>
            <w:tcBorders/>
          </w:tcPr>
          <w:p>
            <w:pPr>
              <w:pStyle w:val="Normal"/>
              <w:widowControl w:val="false"/>
              <w:spacing w:before="0" w:after="160"/>
              <w:rPr>
                <w:sz w:val="20"/>
                <w:szCs w:val="18"/>
              </w:rPr>
            </w:pPr>
            <w:r>
              <w:rPr>
                <w:sz w:val="20"/>
                <w:szCs w:val="18"/>
              </w:rPr>
              <w:t>Mosambik*</w:t>
            </w:r>
          </w:p>
        </w:tc>
        <w:tc>
          <w:tcPr>
            <w:tcW w:w="1500" w:type="dxa"/>
            <w:tcBorders/>
          </w:tcPr>
          <w:p>
            <w:pPr>
              <w:pStyle w:val="Normal"/>
              <w:widowControl w:val="false"/>
              <w:spacing w:before="0" w:after="160"/>
              <w:rPr>
                <w:sz w:val="20"/>
                <w:szCs w:val="18"/>
                <w:lang w:val="en-US"/>
              </w:rPr>
            </w:pPr>
            <w:r>
              <w:rPr>
                <w:sz w:val="20"/>
                <w:szCs w:val="18"/>
                <w:lang w:val="en-US"/>
              </w:rPr>
              <w:t>259</w:t>
            </w:r>
          </w:p>
        </w:tc>
        <w:tc>
          <w:tcPr>
            <w:tcW w:w="1500" w:type="dxa"/>
            <w:tcBorders/>
          </w:tcPr>
          <w:p>
            <w:pPr>
              <w:pStyle w:val="Normal"/>
              <w:widowControl w:val="false"/>
              <w:spacing w:before="0" w:after="160"/>
              <w:rPr>
                <w:sz w:val="20"/>
                <w:szCs w:val="18"/>
                <w:lang w:val="en-US"/>
              </w:rPr>
            </w:pPr>
            <w:r>
              <w:rPr>
                <w:sz w:val="20"/>
                <w:szCs w:val="18"/>
                <w:lang w:val="en-US"/>
              </w:rPr>
              <w:t>2.03</w:t>
            </w:r>
          </w:p>
        </w:tc>
        <w:tc>
          <w:tcPr>
            <w:tcW w:w="1501" w:type="dxa"/>
            <w:tcBorders/>
          </w:tcPr>
          <w:p>
            <w:pPr>
              <w:pStyle w:val="Normal"/>
              <w:widowControl w:val="false"/>
              <w:spacing w:before="0" w:after="160"/>
              <w:rPr>
                <w:sz w:val="20"/>
                <w:szCs w:val="18"/>
                <w:lang w:val="en-US"/>
              </w:rPr>
            </w:pPr>
            <w:r>
              <w:rPr>
                <w:sz w:val="20"/>
                <w:szCs w:val="18"/>
                <w:lang w:val="en-US"/>
              </w:rPr>
              <w:t>45.82</w:t>
            </w:r>
          </w:p>
        </w:tc>
      </w:tr>
      <w:tr>
        <w:trPr/>
        <w:tc>
          <w:tcPr>
            <w:tcW w:w="2708" w:type="dxa"/>
            <w:tcBorders/>
          </w:tcPr>
          <w:p>
            <w:pPr>
              <w:pStyle w:val="Normal"/>
              <w:widowControl w:val="false"/>
              <w:spacing w:before="0" w:after="160"/>
              <w:rPr>
                <w:sz w:val="20"/>
                <w:szCs w:val="18"/>
                <w:lang w:val="en-US"/>
              </w:rPr>
            </w:pPr>
            <w:r>
              <w:rPr>
                <w:sz w:val="20"/>
                <w:szCs w:val="18"/>
                <w:lang w:val="en-US"/>
              </w:rPr>
              <w:t>Niger</w:t>
            </w:r>
          </w:p>
        </w:tc>
        <w:tc>
          <w:tcPr>
            <w:tcW w:w="1500" w:type="dxa"/>
            <w:tcBorders/>
          </w:tcPr>
          <w:p>
            <w:pPr>
              <w:pStyle w:val="Normal"/>
              <w:widowControl w:val="false"/>
              <w:spacing w:before="0" w:after="160"/>
              <w:rPr>
                <w:sz w:val="20"/>
                <w:szCs w:val="18"/>
                <w:lang w:val="en-US"/>
              </w:rPr>
            </w:pPr>
            <w:r>
              <w:rPr>
                <w:sz w:val="20"/>
                <w:szCs w:val="18"/>
                <w:lang w:val="en-US"/>
              </w:rPr>
              <w:t>954</w:t>
            </w:r>
          </w:p>
        </w:tc>
        <w:tc>
          <w:tcPr>
            <w:tcW w:w="1500" w:type="dxa"/>
            <w:tcBorders/>
          </w:tcPr>
          <w:p>
            <w:pPr>
              <w:pStyle w:val="Normal"/>
              <w:widowControl w:val="false"/>
              <w:spacing w:before="0" w:after="160"/>
              <w:rPr>
                <w:sz w:val="20"/>
                <w:szCs w:val="18"/>
                <w:lang w:val="en-US"/>
              </w:rPr>
            </w:pPr>
            <w:r>
              <w:rPr>
                <w:sz w:val="20"/>
                <w:szCs w:val="18"/>
                <w:lang w:val="en-US"/>
              </w:rPr>
              <w:t>7.46</w:t>
            </w:r>
          </w:p>
        </w:tc>
        <w:tc>
          <w:tcPr>
            <w:tcW w:w="1501" w:type="dxa"/>
            <w:tcBorders/>
          </w:tcPr>
          <w:p>
            <w:pPr>
              <w:pStyle w:val="Normal"/>
              <w:widowControl w:val="false"/>
              <w:spacing w:before="0" w:after="160"/>
              <w:rPr>
                <w:sz w:val="20"/>
                <w:szCs w:val="18"/>
                <w:lang w:val="en-US"/>
              </w:rPr>
            </w:pPr>
            <w:r>
              <w:rPr>
                <w:sz w:val="20"/>
                <w:szCs w:val="18"/>
                <w:lang w:val="en-US"/>
              </w:rPr>
              <w:t>53.28</w:t>
            </w:r>
          </w:p>
        </w:tc>
      </w:tr>
      <w:tr>
        <w:trPr/>
        <w:tc>
          <w:tcPr>
            <w:tcW w:w="2708" w:type="dxa"/>
            <w:tcBorders/>
          </w:tcPr>
          <w:p>
            <w:pPr>
              <w:pStyle w:val="Normal"/>
              <w:widowControl w:val="false"/>
              <w:spacing w:before="0" w:after="160"/>
              <w:rPr>
                <w:sz w:val="20"/>
                <w:szCs w:val="18"/>
                <w:lang w:val="en-US"/>
              </w:rPr>
            </w:pPr>
            <w:r>
              <w:rPr>
                <w:sz w:val="20"/>
                <w:szCs w:val="18"/>
                <w:lang w:val="en-US"/>
              </w:rPr>
              <w:t>Nigeria</w:t>
            </w:r>
          </w:p>
        </w:tc>
        <w:tc>
          <w:tcPr>
            <w:tcW w:w="1500" w:type="dxa"/>
            <w:tcBorders/>
          </w:tcPr>
          <w:p>
            <w:pPr>
              <w:pStyle w:val="Normal"/>
              <w:widowControl w:val="false"/>
              <w:spacing w:before="0" w:after="160"/>
              <w:rPr>
                <w:sz w:val="20"/>
                <w:szCs w:val="18"/>
                <w:lang w:val="en-US"/>
              </w:rPr>
            </w:pPr>
            <w:r>
              <w:rPr>
                <w:sz w:val="20"/>
                <w:szCs w:val="18"/>
                <w:lang w:val="en-US"/>
              </w:rPr>
              <w:t>1655</w:t>
            </w:r>
          </w:p>
        </w:tc>
        <w:tc>
          <w:tcPr>
            <w:tcW w:w="1500" w:type="dxa"/>
            <w:tcBorders/>
          </w:tcPr>
          <w:p>
            <w:pPr>
              <w:pStyle w:val="Normal"/>
              <w:widowControl w:val="false"/>
              <w:spacing w:before="0" w:after="160"/>
              <w:rPr>
                <w:sz w:val="20"/>
                <w:szCs w:val="18"/>
                <w:lang w:val="en-US"/>
              </w:rPr>
            </w:pPr>
            <w:r>
              <w:rPr>
                <w:sz w:val="20"/>
                <w:szCs w:val="18"/>
                <w:lang w:val="en-US"/>
              </w:rPr>
              <w:t>12.95</w:t>
            </w:r>
          </w:p>
        </w:tc>
        <w:tc>
          <w:tcPr>
            <w:tcW w:w="1501" w:type="dxa"/>
            <w:tcBorders/>
          </w:tcPr>
          <w:p>
            <w:pPr>
              <w:pStyle w:val="Normal"/>
              <w:widowControl w:val="false"/>
              <w:spacing w:before="0" w:after="160"/>
              <w:rPr>
                <w:sz w:val="20"/>
                <w:szCs w:val="18"/>
                <w:lang w:val="en-US"/>
              </w:rPr>
            </w:pPr>
            <w:r>
              <w:rPr>
                <w:sz w:val="20"/>
                <w:szCs w:val="18"/>
                <w:lang w:val="en-US"/>
              </w:rPr>
              <w:t>66.23</w:t>
            </w:r>
          </w:p>
        </w:tc>
      </w:tr>
      <w:tr>
        <w:trPr/>
        <w:tc>
          <w:tcPr>
            <w:tcW w:w="2708" w:type="dxa"/>
            <w:tcBorders/>
          </w:tcPr>
          <w:p>
            <w:pPr>
              <w:pStyle w:val="Normal"/>
              <w:widowControl w:val="false"/>
              <w:spacing w:before="0" w:after="160"/>
              <w:rPr>
                <w:sz w:val="20"/>
                <w:szCs w:val="18"/>
                <w:lang w:val="en-US"/>
              </w:rPr>
            </w:pPr>
            <w:r>
              <w:rPr>
                <w:sz w:val="20"/>
                <w:szCs w:val="18"/>
                <w:lang w:val="en-US"/>
              </w:rPr>
              <w:t>Senegal</w:t>
            </w:r>
          </w:p>
        </w:tc>
        <w:tc>
          <w:tcPr>
            <w:tcW w:w="1500" w:type="dxa"/>
            <w:tcBorders/>
          </w:tcPr>
          <w:p>
            <w:pPr>
              <w:pStyle w:val="Normal"/>
              <w:widowControl w:val="false"/>
              <w:spacing w:before="0" w:after="160"/>
              <w:rPr>
                <w:sz w:val="20"/>
                <w:szCs w:val="18"/>
                <w:lang w:val="en-US"/>
              </w:rPr>
            </w:pPr>
            <w:r>
              <w:rPr>
                <w:sz w:val="20"/>
                <w:szCs w:val="18"/>
                <w:lang w:val="en-US"/>
              </w:rPr>
              <w:t>293</w:t>
            </w:r>
          </w:p>
        </w:tc>
        <w:tc>
          <w:tcPr>
            <w:tcW w:w="1500" w:type="dxa"/>
            <w:tcBorders/>
          </w:tcPr>
          <w:p>
            <w:pPr>
              <w:pStyle w:val="Normal"/>
              <w:widowControl w:val="false"/>
              <w:spacing w:before="0" w:after="160"/>
              <w:rPr>
                <w:sz w:val="20"/>
                <w:szCs w:val="18"/>
                <w:lang w:val="en-US"/>
              </w:rPr>
            </w:pPr>
            <w:r>
              <w:rPr>
                <w:sz w:val="20"/>
                <w:szCs w:val="18"/>
                <w:lang w:val="en-US"/>
              </w:rPr>
              <w:t>2.29</w:t>
            </w:r>
          </w:p>
        </w:tc>
        <w:tc>
          <w:tcPr>
            <w:tcW w:w="1501" w:type="dxa"/>
            <w:tcBorders/>
          </w:tcPr>
          <w:p>
            <w:pPr>
              <w:pStyle w:val="Normal"/>
              <w:widowControl w:val="false"/>
              <w:spacing w:before="0" w:after="160"/>
              <w:rPr>
                <w:sz w:val="20"/>
                <w:szCs w:val="18"/>
                <w:lang w:val="en-US"/>
              </w:rPr>
            </w:pPr>
            <w:r>
              <w:rPr>
                <w:sz w:val="20"/>
                <w:szCs w:val="18"/>
                <w:lang w:val="en-US"/>
              </w:rPr>
              <w:t>68.52</w:t>
            </w:r>
          </w:p>
        </w:tc>
      </w:tr>
      <w:tr>
        <w:trPr/>
        <w:tc>
          <w:tcPr>
            <w:tcW w:w="2708" w:type="dxa"/>
            <w:tcBorders/>
          </w:tcPr>
          <w:p>
            <w:pPr>
              <w:pStyle w:val="Normal"/>
              <w:widowControl w:val="false"/>
              <w:spacing w:before="0" w:after="160"/>
              <w:rPr>
                <w:sz w:val="20"/>
                <w:szCs w:val="18"/>
                <w:lang w:val="en-US"/>
              </w:rPr>
            </w:pPr>
            <w:r>
              <w:rPr>
                <w:sz w:val="20"/>
                <w:szCs w:val="18"/>
                <w:lang w:val="en-US"/>
              </w:rPr>
              <w:t>Sierra Leone</w:t>
            </w:r>
          </w:p>
        </w:tc>
        <w:tc>
          <w:tcPr>
            <w:tcW w:w="1500" w:type="dxa"/>
            <w:tcBorders/>
          </w:tcPr>
          <w:p>
            <w:pPr>
              <w:pStyle w:val="Normal"/>
              <w:widowControl w:val="false"/>
              <w:spacing w:before="0" w:after="160"/>
              <w:rPr>
                <w:sz w:val="20"/>
                <w:szCs w:val="18"/>
                <w:lang w:val="en-US"/>
              </w:rPr>
            </w:pPr>
            <w:r>
              <w:rPr>
                <w:sz w:val="20"/>
                <w:szCs w:val="18"/>
                <w:lang w:val="en-US"/>
              </w:rPr>
              <w:t>807</w:t>
            </w:r>
          </w:p>
        </w:tc>
        <w:tc>
          <w:tcPr>
            <w:tcW w:w="1500" w:type="dxa"/>
            <w:tcBorders/>
          </w:tcPr>
          <w:p>
            <w:pPr>
              <w:pStyle w:val="Normal"/>
              <w:widowControl w:val="false"/>
              <w:spacing w:before="0" w:after="160"/>
              <w:rPr>
                <w:sz w:val="20"/>
                <w:szCs w:val="18"/>
                <w:lang w:val="en-US"/>
              </w:rPr>
            </w:pPr>
            <w:r>
              <w:rPr>
                <w:sz w:val="20"/>
                <w:szCs w:val="18"/>
                <w:lang w:val="en-US"/>
              </w:rPr>
              <w:t>6.31</w:t>
            </w:r>
          </w:p>
        </w:tc>
        <w:tc>
          <w:tcPr>
            <w:tcW w:w="1501" w:type="dxa"/>
            <w:tcBorders/>
          </w:tcPr>
          <w:p>
            <w:pPr>
              <w:pStyle w:val="Normal"/>
              <w:widowControl w:val="false"/>
              <w:spacing w:before="0" w:after="160"/>
              <w:rPr>
                <w:sz w:val="20"/>
                <w:szCs w:val="18"/>
                <w:lang w:val="en-US"/>
              </w:rPr>
            </w:pPr>
            <w:r>
              <w:rPr>
                <w:sz w:val="20"/>
                <w:szCs w:val="18"/>
                <w:lang w:val="en-US"/>
              </w:rPr>
              <w:t>74.84</w:t>
            </w:r>
          </w:p>
        </w:tc>
      </w:tr>
      <w:tr>
        <w:trPr/>
        <w:tc>
          <w:tcPr>
            <w:tcW w:w="2708" w:type="dxa"/>
            <w:tcBorders/>
          </w:tcPr>
          <w:p>
            <w:pPr>
              <w:pStyle w:val="Normal"/>
              <w:widowControl w:val="false"/>
              <w:spacing w:before="0" w:after="160"/>
              <w:rPr>
                <w:sz w:val="20"/>
                <w:szCs w:val="18"/>
              </w:rPr>
            </w:pPr>
            <w:r>
              <w:rPr>
                <w:sz w:val="20"/>
                <w:szCs w:val="18"/>
              </w:rPr>
              <w:t>Sør-Afrika</w:t>
            </w:r>
            <w:r>
              <w:rPr>
                <w:sz w:val="20"/>
                <w:szCs w:val="18"/>
                <w:lang w:val="en-US"/>
              </w:rPr>
              <w:t>*</w:t>
            </w:r>
          </w:p>
        </w:tc>
        <w:tc>
          <w:tcPr>
            <w:tcW w:w="1500" w:type="dxa"/>
            <w:tcBorders/>
          </w:tcPr>
          <w:p>
            <w:pPr>
              <w:pStyle w:val="Normal"/>
              <w:widowControl w:val="false"/>
              <w:spacing w:before="0" w:after="160"/>
              <w:rPr>
                <w:sz w:val="20"/>
                <w:szCs w:val="18"/>
                <w:lang w:val="en-US"/>
              </w:rPr>
            </w:pPr>
            <w:r>
              <w:rPr>
                <w:sz w:val="20"/>
                <w:szCs w:val="18"/>
                <w:lang w:val="en-US"/>
              </w:rPr>
              <w:t>830</w:t>
            </w:r>
          </w:p>
        </w:tc>
        <w:tc>
          <w:tcPr>
            <w:tcW w:w="1500" w:type="dxa"/>
            <w:tcBorders/>
          </w:tcPr>
          <w:p>
            <w:pPr>
              <w:pStyle w:val="Normal"/>
              <w:widowControl w:val="false"/>
              <w:spacing w:before="0" w:after="160"/>
              <w:rPr>
                <w:sz w:val="20"/>
                <w:szCs w:val="18"/>
                <w:lang w:val="en-US"/>
              </w:rPr>
            </w:pPr>
            <w:r>
              <w:rPr>
                <w:sz w:val="20"/>
                <w:szCs w:val="18"/>
                <w:lang w:val="en-US"/>
              </w:rPr>
              <w:t>6.49</w:t>
            </w:r>
          </w:p>
        </w:tc>
        <w:tc>
          <w:tcPr>
            <w:tcW w:w="1501" w:type="dxa"/>
            <w:tcBorders/>
          </w:tcPr>
          <w:p>
            <w:pPr>
              <w:pStyle w:val="Normal"/>
              <w:widowControl w:val="false"/>
              <w:spacing w:before="0" w:after="160"/>
              <w:rPr>
                <w:sz w:val="20"/>
                <w:szCs w:val="18"/>
                <w:lang w:val="en-US"/>
              </w:rPr>
            </w:pPr>
            <w:r>
              <w:rPr>
                <w:sz w:val="20"/>
                <w:szCs w:val="18"/>
                <w:lang w:val="en-US"/>
              </w:rPr>
              <w:t>81.33</w:t>
            </w:r>
          </w:p>
        </w:tc>
      </w:tr>
      <w:tr>
        <w:trPr/>
        <w:tc>
          <w:tcPr>
            <w:tcW w:w="2708" w:type="dxa"/>
            <w:tcBorders/>
          </w:tcPr>
          <w:p>
            <w:pPr>
              <w:pStyle w:val="Normal"/>
              <w:widowControl w:val="false"/>
              <w:spacing w:before="0" w:after="160"/>
              <w:rPr>
                <w:sz w:val="20"/>
                <w:szCs w:val="18"/>
                <w:lang w:val="en-US"/>
              </w:rPr>
            </w:pPr>
            <w:r>
              <w:rPr>
                <w:sz w:val="20"/>
                <w:szCs w:val="18"/>
                <w:lang w:val="en-US"/>
              </w:rPr>
              <w:t>Uganda</w:t>
            </w:r>
          </w:p>
        </w:tc>
        <w:tc>
          <w:tcPr>
            <w:tcW w:w="1500" w:type="dxa"/>
            <w:tcBorders/>
          </w:tcPr>
          <w:p>
            <w:pPr>
              <w:pStyle w:val="Normal"/>
              <w:widowControl w:val="false"/>
              <w:spacing w:before="0" w:after="160"/>
              <w:rPr>
                <w:sz w:val="20"/>
                <w:szCs w:val="18"/>
                <w:lang w:val="en-US"/>
              </w:rPr>
            </w:pPr>
            <w:r>
              <w:rPr>
                <w:sz w:val="20"/>
                <w:szCs w:val="18"/>
                <w:lang w:val="en-US"/>
              </w:rPr>
              <w:t>1113</w:t>
            </w:r>
          </w:p>
        </w:tc>
        <w:tc>
          <w:tcPr>
            <w:tcW w:w="1500" w:type="dxa"/>
            <w:tcBorders/>
          </w:tcPr>
          <w:p>
            <w:pPr>
              <w:pStyle w:val="Normal"/>
              <w:widowControl w:val="false"/>
              <w:spacing w:before="0" w:after="160"/>
              <w:rPr>
                <w:sz w:val="20"/>
                <w:szCs w:val="18"/>
                <w:lang w:val="en-US"/>
              </w:rPr>
            </w:pPr>
            <w:r>
              <w:rPr>
                <w:sz w:val="20"/>
                <w:szCs w:val="18"/>
                <w:lang w:val="en-US"/>
              </w:rPr>
              <w:t>8.71</w:t>
            </w:r>
          </w:p>
        </w:tc>
        <w:tc>
          <w:tcPr>
            <w:tcW w:w="1501" w:type="dxa"/>
            <w:tcBorders/>
          </w:tcPr>
          <w:p>
            <w:pPr>
              <w:pStyle w:val="Normal"/>
              <w:widowControl w:val="false"/>
              <w:spacing w:before="0" w:after="160"/>
              <w:rPr>
                <w:sz w:val="20"/>
                <w:szCs w:val="18"/>
                <w:lang w:val="en-US"/>
              </w:rPr>
            </w:pPr>
            <w:r>
              <w:rPr>
                <w:sz w:val="20"/>
                <w:szCs w:val="18"/>
                <w:lang w:val="en-US"/>
              </w:rPr>
              <w:t>90.04</w:t>
            </w:r>
          </w:p>
        </w:tc>
      </w:tr>
      <w:tr>
        <w:trPr/>
        <w:tc>
          <w:tcPr>
            <w:tcW w:w="2708" w:type="dxa"/>
            <w:tcBorders/>
          </w:tcPr>
          <w:p>
            <w:pPr>
              <w:pStyle w:val="Normal"/>
              <w:widowControl w:val="false"/>
              <w:spacing w:before="0" w:after="160"/>
              <w:rPr>
                <w:sz w:val="20"/>
                <w:szCs w:val="18"/>
                <w:lang w:val="en-US"/>
              </w:rPr>
            </w:pPr>
            <w:r>
              <w:rPr>
                <w:sz w:val="20"/>
                <w:szCs w:val="18"/>
                <w:lang w:val="en-US"/>
              </w:rPr>
              <w:t>Zimbabwe*</w:t>
            </w:r>
          </w:p>
        </w:tc>
        <w:tc>
          <w:tcPr>
            <w:tcW w:w="1500" w:type="dxa"/>
            <w:tcBorders/>
          </w:tcPr>
          <w:p>
            <w:pPr>
              <w:pStyle w:val="Normal"/>
              <w:widowControl w:val="false"/>
              <w:spacing w:before="0" w:after="160"/>
              <w:rPr>
                <w:sz w:val="20"/>
                <w:szCs w:val="18"/>
                <w:lang w:val="en-US"/>
              </w:rPr>
            </w:pPr>
            <w:r>
              <w:rPr>
                <w:sz w:val="20"/>
                <w:szCs w:val="18"/>
                <w:lang w:val="en-US"/>
              </w:rPr>
              <w:t>1273</w:t>
            </w:r>
          </w:p>
        </w:tc>
        <w:tc>
          <w:tcPr>
            <w:tcW w:w="1500" w:type="dxa"/>
            <w:tcBorders/>
          </w:tcPr>
          <w:p>
            <w:pPr>
              <w:pStyle w:val="Normal"/>
              <w:widowControl w:val="false"/>
              <w:spacing w:before="0" w:after="160"/>
              <w:rPr>
                <w:sz w:val="20"/>
                <w:szCs w:val="18"/>
                <w:lang w:val="en-US"/>
              </w:rPr>
            </w:pPr>
            <w:r>
              <w:rPr>
                <w:sz w:val="20"/>
                <w:szCs w:val="18"/>
                <w:lang w:val="en-US"/>
              </w:rPr>
              <w:t>9.96</w:t>
            </w:r>
          </w:p>
        </w:tc>
        <w:tc>
          <w:tcPr>
            <w:tcW w:w="1501" w:type="dxa"/>
            <w:tcBorders/>
          </w:tcPr>
          <w:p>
            <w:pPr>
              <w:pStyle w:val="Normal"/>
              <w:widowControl w:val="false"/>
              <w:spacing w:before="0" w:after="160"/>
              <w:rPr>
                <w:sz w:val="20"/>
                <w:szCs w:val="18"/>
                <w:lang w:val="en-US"/>
              </w:rPr>
            </w:pPr>
            <w:r>
              <w:rPr>
                <w:sz w:val="20"/>
                <w:szCs w:val="18"/>
                <w:lang w:val="en-US"/>
              </w:rPr>
              <w:t>100.00</w:t>
            </w:r>
          </w:p>
        </w:tc>
      </w:tr>
      <w:tr>
        <w:trPr/>
        <w:tc>
          <w:tcPr>
            <w:tcW w:w="2708" w:type="dxa"/>
            <w:tcBorders>
              <w:top w:val="single" w:sz="4" w:space="0" w:color="000000"/>
            </w:tcBorders>
          </w:tcPr>
          <w:p>
            <w:pPr>
              <w:pStyle w:val="Normal"/>
              <w:widowControl w:val="false"/>
              <w:spacing w:before="0" w:after="160"/>
              <w:rPr>
                <w:sz w:val="20"/>
                <w:szCs w:val="18"/>
                <w:lang w:val="en-US"/>
              </w:rPr>
            </w:pPr>
            <w:r>
              <w:rPr>
                <w:sz w:val="20"/>
                <w:szCs w:val="18"/>
                <w:lang w:val="en-US"/>
              </w:rPr>
              <w:t>Total</w:t>
            </w:r>
          </w:p>
        </w:tc>
        <w:tc>
          <w:tcPr>
            <w:tcW w:w="1500" w:type="dxa"/>
            <w:tcBorders>
              <w:top w:val="single" w:sz="4" w:space="0" w:color="000000"/>
            </w:tcBorders>
          </w:tcPr>
          <w:p>
            <w:pPr>
              <w:pStyle w:val="Normal"/>
              <w:widowControl w:val="false"/>
              <w:spacing w:before="0" w:after="160"/>
              <w:rPr>
                <w:sz w:val="20"/>
                <w:szCs w:val="18"/>
                <w:lang w:val="en-US"/>
              </w:rPr>
            </w:pPr>
            <w:r>
              <w:rPr>
                <w:sz w:val="20"/>
                <w:szCs w:val="18"/>
                <w:lang w:val="en-US"/>
              </w:rPr>
              <w:t>12781</w:t>
            </w:r>
          </w:p>
        </w:tc>
        <w:tc>
          <w:tcPr>
            <w:tcW w:w="1500" w:type="dxa"/>
            <w:tcBorders>
              <w:top w:val="single" w:sz="4" w:space="0" w:color="000000"/>
            </w:tcBorders>
          </w:tcPr>
          <w:p>
            <w:pPr>
              <w:pStyle w:val="Normal"/>
              <w:widowControl w:val="false"/>
              <w:spacing w:before="0" w:after="160"/>
              <w:rPr>
                <w:sz w:val="20"/>
                <w:szCs w:val="18"/>
                <w:lang w:val="en-US"/>
              </w:rPr>
            </w:pPr>
            <w:r>
              <w:rPr>
                <w:sz w:val="20"/>
                <w:szCs w:val="18"/>
                <w:lang w:val="en-US"/>
              </w:rPr>
              <w:t>100.00</w:t>
            </w:r>
          </w:p>
        </w:tc>
        <w:tc>
          <w:tcPr>
            <w:tcW w:w="1501" w:type="dxa"/>
            <w:tcBorders>
              <w:top w:val="single" w:sz="4" w:space="0" w:color="000000"/>
            </w:tcBorders>
          </w:tcPr>
          <w:p>
            <w:pPr>
              <w:pStyle w:val="Normal"/>
              <w:widowControl w:val="false"/>
              <w:spacing w:before="0" w:after="160"/>
              <w:rPr>
                <w:sz w:val="20"/>
                <w:szCs w:val="18"/>
                <w:lang w:val="en-US"/>
              </w:rPr>
            </w:pPr>
            <w:r>
              <w:rPr>
                <w:sz w:val="20"/>
                <w:szCs w:val="18"/>
                <w:lang w:val="en-US"/>
              </w:rPr>
            </w:r>
          </w:p>
        </w:tc>
      </w:tr>
      <w:tr>
        <w:trPr/>
        <w:tc>
          <w:tcPr>
            <w:tcW w:w="7209" w:type="dxa"/>
            <w:gridSpan w:val="4"/>
            <w:tcBorders>
              <w:top w:val="single" w:sz="6" w:space="0" w:color="000000"/>
            </w:tcBorders>
          </w:tcPr>
          <w:p>
            <w:pPr>
              <w:pStyle w:val="Normal"/>
              <w:widowControl w:val="false"/>
              <w:spacing w:before="0" w:after="160"/>
              <w:rPr>
                <w:szCs w:val="20"/>
              </w:rPr>
            </w:pPr>
            <w:r>
              <w:rPr>
                <w:sz w:val="22"/>
                <w:szCs w:val="20"/>
                <w:lang w:val="en-US"/>
              </w:rPr>
              <w:t xml:space="preserve">*Land </w:t>
            </w:r>
            <w:r>
              <w:rPr>
                <w:sz w:val="22"/>
                <w:szCs w:val="20"/>
              </w:rPr>
              <w:t>med politisk maktdeling</w:t>
            </w:r>
          </w:p>
        </w:tc>
      </w:tr>
    </w:tbl>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Heading4"/>
        <w:spacing w:lineRule="auto" w:line="360"/>
        <w:rPr>
          <w:i w:val="false"/>
          <w:i w:val="false"/>
          <w:iCs w:val="false"/>
        </w:rPr>
      </w:pPr>
      <w:r>
        <w:rPr>
          <w:i w:val="false"/>
          <w:iCs w:val="false"/>
        </w:rPr>
        <w:t>Closed-list PR</w:t>
      </w:r>
    </w:p>
    <w:p>
      <w:pPr>
        <w:pStyle w:val="Normal"/>
        <w:spacing w:lineRule="auto" w:line="360"/>
        <w:rPr>
          <w:rFonts w:cs="Times New Roman"/>
        </w:rPr>
      </w:pPr>
      <w:r>
        <w:rPr>
          <w:rFonts w:cs="Times New Roman"/>
        </w:rPr>
        <w:t xml:space="preserve">For å kunne måle sammenhengen mellom closed-list PR og politisk tillit, må variabelen for undertrykte grupper ekskluderes fra regresjonen. Når dette er gjort står vi igjen med et totalt antall observasjoner på 29485. Av disse tilhører 32,51% et land med closed-list PR som institusjonsform. </w:t>
      </w:r>
    </w:p>
    <w:p>
      <w:pPr>
        <w:pStyle w:val="Normal"/>
        <w:rPr/>
      </w:pPr>
      <w:r>
        <w:rPr>
          <w:rFonts w:cs="Times New Roman"/>
          <w:i/>
          <w:iCs/>
          <w:szCs w:val="24"/>
          <w:lang w:val="en-US"/>
        </w:rPr>
        <w:t xml:space="preserve">Tabell </w:t>
      </w:r>
      <w:r>
        <w:rPr>
          <w:rFonts w:cs="Times New Roman"/>
          <w:i/>
          <w:iCs/>
          <w:color w:val="000000"/>
          <w:szCs w:val="24"/>
          <w:lang w:val="en-US"/>
        </w:rPr>
        <w:t>10:</w:t>
      </w:r>
      <w:r>
        <w:rPr>
          <w:rFonts w:cs="Times New Roman"/>
          <w:i/>
          <w:iCs/>
          <w:szCs w:val="24"/>
          <w:lang w:val="en-US"/>
        </w:rPr>
        <w:t xml:space="preserve"> Closed-list PR</w:t>
      </w:r>
    </w:p>
    <w:tbl>
      <w:tblPr>
        <w:tblW w:w="4253" w:type="dxa"/>
        <w:jc w:val="left"/>
        <w:tblInd w:w="0" w:type="dxa"/>
        <w:tblLayout w:type="fixed"/>
        <w:tblCellMar>
          <w:top w:w="0" w:type="dxa"/>
          <w:left w:w="108" w:type="dxa"/>
          <w:bottom w:w="0" w:type="dxa"/>
          <w:right w:w="108" w:type="dxa"/>
        </w:tblCellMar>
      </w:tblPr>
      <w:tblGrid>
        <w:gridCol w:w="1560"/>
        <w:gridCol w:w="850"/>
        <w:gridCol w:w="991"/>
        <w:gridCol w:w="852"/>
      </w:tblGrid>
      <w:tr>
        <w:trPr/>
        <w:tc>
          <w:tcPr>
            <w:tcW w:w="1560" w:type="dxa"/>
            <w:tcBorders>
              <w:top w:val="single" w:sz="4" w:space="0" w:color="000000"/>
              <w:bottom w:val="single" w:sz="10" w:space="0" w:color="000000"/>
            </w:tcBorders>
          </w:tcPr>
          <w:p>
            <w:pPr>
              <w:pStyle w:val="Normal"/>
              <w:widowControl w:val="false"/>
              <w:spacing w:before="0" w:after="160"/>
              <w:rPr>
                <w:rFonts w:cs="Times New Roman"/>
                <w:sz w:val="22"/>
                <w:lang w:val="en-US"/>
              </w:rPr>
            </w:pPr>
            <w:r>
              <w:rPr>
                <w:rFonts w:cs="Times New Roman"/>
                <w:sz w:val="22"/>
                <w:lang w:val="en-US"/>
              </w:rPr>
            </w:r>
          </w:p>
        </w:tc>
        <w:tc>
          <w:tcPr>
            <w:tcW w:w="850" w:type="dxa"/>
            <w:tcBorders>
              <w:top w:val="single" w:sz="4" w:space="0" w:color="000000"/>
              <w:bottom w:val="single" w:sz="10" w:space="0" w:color="000000"/>
            </w:tcBorders>
          </w:tcPr>
          <w:p>
            <w:pPr>
              <w:pStyle w:val="Normal"/>
              <w:widowControl w:val="false"/>
              <w:spacing w:before="0" w:after="160"/>
              <w:rPr>
                <w:rFonts w:cs="Times New Roman"/>
                <w:sz w:val="22"/>
                <w:lang w:val="en-US"/>
              </w:rPr>
            </w:pPr>
            <w:r>
              <w:rPr>
                <w:rFonts w:cs="Times New Roman"/>
                <w:sz w:val="22"/>
                <w:lang w:val="en-US"/>
              </w:rPr>
              <w:t>Freq.</w:t>
            </w:r>
          </w:p>
        </w:tc>
        <w:tc>
          <w:tcPr>
            <w:tcW w:w="991" w:type="dxa"/>
            <w:tcBorders>
              <w:top w:val="single" w:sz="4" w:space="0" w:color="000000"/>
              <w:bottom w:val="single" w:sz="10" w:space="0" w:color="000000"/>
            </w:tcBorders>
          </w:tcPr>
          <w:p>
            <w:pPr>
              <w:pStyle w:val="Normal"/>
              <w:widowControl w:val="false"/>
              <w:spacing w:before="0" w:after="160"/>
              <w:rPr>
                <w:rFonts w:cs="Times New Roman"/>
                <w:sz w:val="22"/>
                <w:lang w:val="en-US"/>
              </w:rPr>
            </w:pPr>
            <w:r>
              <w:rPr>
                <w:rFonts w:cs="Times New Roman"/>
                <w:sz w:val="22"/>
                <w:lang w:val="en-US"/>
              </w:rPr>
              <w:t>Percent</w:t>
            </w:r>
          </w:p>
        </w:tc>
        <w:tc>
          <w:tcPr>
            <w:tcW w:w="852" w:type="dxa"/>
            <w:tcBorders>
              <w:top w:val="single" w:sz="4" w:space="0" w:color="000000"/>
              <w:bottom w:val="single" w:sz="10" w:space="0" w:color="000000"/>
            </w:tcBorders>
          </w:tcPr>
          <w:p>
            <w:pPr>
              <w:pStyle w:val="Normal"/>
              <w:widowControl w:val="false"/>
              <w:spacing w:before="0" w:after="160"/>
              <w:rPr>
                <w:rFonts w:cs="Times New Roman"/>
                <w:sz w:val="22"/>
                <w:lang w:val="en-US"/>
              </w:rPr>
            </w:pPr>
            <w:r>
              <w:rPr>
                <w:rFonts w:cs="Times New Roman"/>
                <w:sz w:val="22"/>
                <w:lang w:val="en-US"/>
              </w:rPr>
              <w:t>Cum.</w:t>
            </w:r>
          </w:p>
        </w:tc>
      </w:tr>
      <w:tr>
        <w:trPr/>
        <w:tc>
          <w:tcPr>
            <w:tcW w:w="1560" w:type="dxa"/>
            <w:tcBorders/>
          </w:tcPr>
          <w:p>
            <w:pPr>
              <w:pStyle w:val="Normal"/>
              <w:widowControl w:val="false"/>
              <w:spacing w:before="0" w:after="160"/>
              <w:rPr>
                <w:rFonts w:cs="Times New Roman"/>
                <w:sz w:val="22"/>
                <w:lang w:val="en-US"/>
              </w:rPr>
            </w:pPr>
            <w:r>
              <w:rPr>
                <w:rFonts w:cs="Times New Roman"/>
                <w:sz w:val="22"/>
                <w:lang w:val="en-US"/>
              </w:rPr>
              <w:t>Land uten closed-list PR</w:t>
            </w:r>
          </w:p>
        </w:tc>
        <w:tc>
          <w:tcPr>
            <w:tcW w:w="850" w:type="dxa"/>
            <w:tcBorders/>
          </w:tcPr>
          <w:p>
            <w:pPr>
              <w:pStyle w:val="Normal"/>
              <w:widowControl w:val="false"/>
              <w:spacing w:before="0" w:after="160"/>
              <w:rPr>
                <w:rFonts w:cs="Times New Roman"/>
                <w:sz w:val="22"/>
                <w:lang w:val="en-US"/>
              </w:rPr>
            </w:pPr>
            <w:r>
              <w:rPr>
                <w:rFonts w:cs="Times New Roman"/>
                <w:sz w:val="22"/>
                <w:lang w:val="en-US"/>
              </w:rPr>
              <w:t>19899</w:t>
            </w:r>
          </w:p>
        </w:tc>
        <w:tc>
          <w:tcPr>
            <w:tcW w:w="991" w:type="dxa"/>
            <w:tcBorders/>
          </w:tcPr>
          <w:p>
            <w:pPr>
              <w:pStyle w:val="Normal"/>
              <w:widowControl w:val="false"/>
              <w:spacing w:before="0" w:after="160"/>
              <w:rPr>
                <w:rFonts w:cs="Times New Roman"/>
                <w:sz w:val="22"/>
                <w:lang w:val="en-US"/>
              </w:rPr>
            </w:pPr>
            <w:r>
              <w:rPr>
                <w:rFonts w:cs="Times New Roman"/>
                <w:sz w:val="22"/>
                <w:lang w:val="en-US"/>
              </w:rPr>
              <w:t>67.49</w:t>
            </w:r>
          </w:p>
        </w:tc>
        <w:tc>
          <w:tcPr>
            <w:tcW w:w="852" w:type="dxa"/>
            <w:tcBorders/>
          </w:tcPr>
          <w:p>
            <w:pPr>
              <w:pStyle w:val="Normal"/>
              <w:widowControl w:val="false"/>
              <w:spacing w:before="0" w:after="160"/>
              <w:rPr>
                <w:rFonts w:cs="Times New Roman"/>
                <w:sz w:val="22"/>
                <w:lang w:val="en-US"/>
              </w:rPr>
            </w:pPr>
            <w:r>
              <w:rPr>
                <w:rFonts w:cs="Times New Roman"/>
                <w:sz w:val="22"/>
                <w:lang w:val="en-US"/>
              </w:rPr>
              <w:t>67.49</w:t>
            </w:r>
          </w:p>
        </w:tc>
      </w:tr>
      <w:tr>
        <w:trPr/>
        <w:tc>
          <w:tcPr>
            <w:tcW w:w="1560" w:type="dxa"/>
            <w:tcBorders/>
          </w:tcPr>
          <w:p>
            <w:pPr>
              <w:pStyle w:val="Normal"/>
              <w:widowControl w:val="false"/>
              <w:spacing w:before="0" w:after="160"/>
              <w:rPr>
                <w:rFonts w:cs="Times New Roman"/>
                <w:sz w:val="22"/>
                <w:lang w:val="en-US"/>
              </w:rPr>
            </w:pPr>
            <w:r>
              <w:rPr>
                <w:rFonts w:cs="Times New Roman"/>
                <w:sz w:val="22"/>
                <w:lang w:val="en-US"/>
              </w:rPr>
              <w:t>Land med closed-list PR</w:t>
            </w:r>
          </w:p>
        </w:tc>
        <w:tc>
          <w:tcPr>
            <w:tcW w:w="850" w:type="dxa"/>
            <w:tcBorders/>
          </w:tcPr>
          <w:p>
            <w:pPr>
              <w:pStyle w:val="Normal"/>
              <w:widowControl w:val="false"/>
              <w:spacing w:before="0" w:after="160"/>
              <w:rPr>
                <w:rFonts w:cs="Times New Roman"/>
                <w:sz w:val="22"/>
                <w:lang w:val="en-US"/>
              </w:rPr>
            </w:pPr>
            <w:r>
              <w:rPr>
                <w:rFonts w:cs="Times New Roman"/>
                <w:sz w:val="22"/>
                <w:lang w:val="en-US"/>
              </w:rPr>
              <w:t>9586</w:t>
            </w:r>
          </w:p>
        </w:tc>
        <w:tc>
          <w:tcPr>
            <w:tcW w:w="991" w:type="dxa"/>
            <w:tcBorders/>
          </w:tcPr>
          <w:p>
            <w:pPr>
              <w:pStyle w:val="Normal"/>
              <w:widowControl w:val="false"/>
              <w:spacing w:before="0" w:after="160"/>
              <w:rPr>
                <w:rFonts w:cs="Times New Roman"/>
                <w:sz w:val="22"/>
                <w:lang w:val="en-US"/>
              </w:rPr>
            </w:pPr>
            <w:r>
              <w:rPr>
                <w:rFonts w:cs="Times New Roman"/>
                <w:sz w:val="22"/>
                <w:lang w:val="en-US"/>
              </w:rPr>
              <w:t>32.51</w:t>
            </w:r>
          </w:p>
        </w:tc>
        <w:tc>
          <w:tcPr>
            <w:tcW w:w="852" w:type="dxa"/>
            <w:tcBorders/>
          </w:tcPr>
          <w:p>
            <w:pPr>
              <w:pStyle w:val="Normal"/>
              <w:widowControl w:val="false"/>
              <w:spacing w:before="0" w:after="160"/>
              <w:rPr>
                <w:rFonts w:cs="Times New Roman"/>
                <w:sz w:val="22"/>
                <w:lang w:val="en-US"/>
              </w:rPr>
            </w:pPr>
            <w:r>
              <w:rPr>
                <w:rFonts w:cs="Times New Roman"/>
                <w:sz w:val="22"/>
                <w:lang w:val="en-US"/>
              </w:rPr>
              <w:t>100.00</w:t>
            </w:r>
          </w:p>
        </w:tc>
      </w:tr>
      <w:tr>
        <w:trPr/>
        <w:tc>
          <w:tcPr>
            <w:tcW w:w="1560" w:type="dxa"/>
            <w:tcBorders>
              <w:top w:val="single" w:sz="4" w:space="0" w:color="000000"/>
            </w:tcBorders>
          </w:tcPr>
          <w:p>
            <w:pPr>
              <w:pStyle w:val="Normal"/>
              <w:widowControl w:val="false"/>
              <w:spacing w:before="0" w:after="160"/>
              <w:rPr>
                <w:rFonts w:cs="Times New Roman"/>
                <w:sz w:val="22"/>
                <w:lang w:val="en-US"/>
              </w:rPr>
            </w:pPr>
            <w:r>
              <w:rPr>
                <w:rFonts w:cs="Times New Roman"/>
                <w:sz w:val="22"/>
                <w:lang w:val="en-US"/>
              </w:rPr>
              <w:t>Total</w:t>
            </w:r>
          </w:p>
        </w:tc>
        <w:tc>
          <w:tcPr>
            <w:tcW w:w="850" w:type="dxa"/>
            <w:tcBorders>
              <w:top w:val="single" w:sz="4" w:space="0" w:color="000000"/>
            </w:tcBorders>
          </w:tcPr>
          <w:p>
            <w:pPr>
              <w:pStyle w:val="Normal"/>
              <w:widowControl w:val="false"/>
              <w:spacing w:before="0" w:after="160"/>
              <w:rPr>
                <w:rFonts w:cs="Times New Roman"/>
                <w:sz w:val="22"/>
                <w:lang w:val="en-US"/>
              </w:rPr>
            </w:pPr>
            <w:r>
              <w:rPr>
                <w:rFonts w:cs="Times New Roman"/>
                <w:sz w:val="22"/>
                <w:lang w:val="en-US"/>
              </w:rPr>
              <w:t>29485</w:t>
            </w:r>
          </w:p>
        </w:tc>
        <w:tc>
          <w:tcPr>
            <w:tcW w:w="991" w:type="dxa"/>
            <w:tcBorders>
              <w:top w:val="single" w:sz="4" w:space="0" w:color="000000"/>
            </w:tcBorders>
          </w:tcPr>
          <w:p>
            <w:pPr>
              <w:pStyle w:val="Normal"/>
              <w:widowControl w:val="false"/>
              <w:spacing w:before="0" w:after="160"/>
              <w:rPr>
                <w:rFonts w:cs="Times New Roman"/>
                <w:sz w:val="22"/>
                <w:lang w:val="en-US"/>
              </w:rPr>
            </w:pPr>
            <w:r>
              <w:rPr>
                <w:rFonts w:cs="Times New Roman"/>
                <w:sz w:val="22"/>
                <w:lang w:val="en-US"/>
              </w:rPr>
              <w:t>100.00</w:t>
            </w:r>
          </w:p>
        </w:tc>
        <w:tc>
          <w:tcPr>
            <w:tcW w:w="852" w:type="dxa"/>
            <w:tcBorders>
              <w:top w:val="single" w:sz="4" w:space="0" w:color="000000"/>
            </w:tcBorders>
          </w:tcPr>
          <w:p>
            <w:pPr>
              <w:pStyle w:val="Normal"/>
              <w:widowControl w:val="false"/>
              <w:spacing w:before="0" w:after="160"/>
              <w:rPr>
                <w:rFonts w:cs="Times New Roman"/>
                <w:sz w:val="22"/>
                <w:lang w:val="en-US"/>
              </w:rPr>
            </w:pPr>
            <w:r>
              <w:rPr>
                <w:rFonts w:cs="Times New Roman"/>
                <w:sz w:val="22"/>
                <w:lang w:val="en-US"/>
              </w:rPr>
            </w:r>
          </w:p>
        </w:tc>
      </w:tr>
      <w:tr>
        <w:trPr/>
        <w:tc>
          <w:tcPr>
            <w:tcW w:w="4253" w:type="dxa"/>
            <w:gridSpan w:val="4"/>
            <w:tcBorders>
              <w:top w:val="single" w:sz="6" w:space="0" w:color="000000"/>
            </w:tcBorders>
          </w:tcPr>
          <w:p>
            <w:pPr>
              <w:pStyle w:val="Normal"/>
              <w:widowControl w:val="false"/>
              <w:spacing w:before="0" w:after="160"/>
              <w:rPr>
                <w:rFonts w:cs="Times New Roman"/>
                <w:sz w:val="22"/>
                <w:lang w:val="en-US"/>
              </w:rPr>
            </w:pPr>
            <w:r>
              <w:rPr>
                <w:rFonts w:cs="Times New Roman"/>
                <w:sz w:val="22"/>
                <w:lang w:val="en-US"/>
              </w:rPr>
            </w:r>
          </w:p>
        </w:tc>
      </w:tr>
    </w:tbl>
    <w:p>
      <w:pPr>
        <w:pStyle w:val="Normal"/>
        <w:rPr/>
      </w:pPr>
      <w:r>
        <w:rPr/>
      </w:r>
    </w:p>
    <w:p>
      <w:pPr>
        <w:pStyle w:val="Heading3"/>
        <w:spacing w:lineRule="auto" w:line="360"/>
        <w:rPr/>
      </w:pPr>
      <w:bookmarkStart w:id="80" w:name="_Toc71923035"/>
      <w:bookmarkStart w:id="81" w:name="_Toc72502751"/>
      <w:r>
        <w:rPr/>
        <w:t>7.4.4.</w:t>
        <w:tab/>
        <w:t>Kontrollvariabler</w:t>
      </w:r>
      <w:bookmarkEnd w:id="80"/>
      <w:bookmarkEnd w:id="81"/>
    </w:p>
    <w:p>
      <w:pPr>
        <w:pStyle w:val="Normal"/>
        <w:spacing w:lineRule="auto" w:line="360"/>
        <w:rPr/>
      </w:pPr>
      <w:r>
        <w:rPr/>
        <w:t>I tråd med etablerte determinanter for politisk tillit, vil oppgavens regresjoner kontrolleres for alder. Samtidig som alder er vist til å påvirke politisk tillit</w:t>
      </w:r>
      <w:r>
        <w:rPr>
          <w:rStyle w:val="FootnoteAnchor"/>
        </w:rPr>
        <w:footnoteReference w:id="23"/>
      </w:r>
      <w:r>
        <w:rPr/>
        <w:t>, vil det være spesielt relevant da oppgavens teoretiske rammeverk omfatter utvikling av politisk tillit over tid. Enkeltindivider har opplevd ulike regimer til ulik tid i ulike land, og det må derfor kontrolleres for alder for å undersøke om det er samfunnsgruppene i seg selv som er avgjørende for å forklare variasjon i politisk tillit.</w:t>
      </w:r>
    </w:p>
    <w:p>
      <w:pPr>
        <w:pStyle w:val="Normal"/>
        <w:spacing w:lineRule="auto" w:line="360"/>
        <w:rPr>
          <w:color w:val="000000"/>
        </w:rPr>
      </w:pPr>
      <w:r>
        <w:rPr>
          <w:color w:val="000000"/>
        </w:rPr>
        <w:t>Regimeustabilitet, gjentatte konflikter, utenlandske intervensjoner og ekstrem fattigdom har preget livene til generasjoner av afrikanere</w:t>
      </w:r>
    </w:p>
    <w:p>
      <w:pPr>
        <w:pStyle w:val="Normal"/>
        <w:spacing w:lineRule="auto" w:line="360"/>
        <w:rPr/>
      </w:pPr>
      <w:r>
        <w:rPr/>
        <w:t xml:space="preserve">Oppgavens utvalg av respondenter varierer fra 18 til 103, med en gjennomsnittsalder på 37,45. </w:t>
      </w:r>
    </w:p>
    <w:p>
      <w:pPr>
        <w:pStyle w:val="Normal"/>
        <w:spacing w:lineRule="auto" w:line="360"/>
        <w:rPr/>
      </w:pPr>
      <w:r>
        <w:rPr/>
        <w:t>Et annet aspekt som må kontrolleres for er utdanning. Respondentene som anses som politisk undertrykte har levd under ulike regimer og opplevd ulik grad av undertrykkelse. Et viktig aspekt i denne forbindelse er tilgangen på utdanning. Litteraturen viser at både etnisitet og kjønn har vært en faktor som påvirker dette</w:t>
      </w:r>
      <w:r>
        <w:rPr>
          <w:rStyle w:val="FootnoteAnchor"/>
        </w:rPr>
        <w:footnoteReference w:id="24"/>
      </w:r>
      <w:r>
        <w:rPr/>
        <w:t xml:space="preserve"> </w:t>
      </w:r>
      <w:r>
        <w:rPr>
          <w:rStyle w:val="FootnoteAnchor"/>
        </w:rPr>
        <w:footnoteReference w:id="25"/>
      </w:r>
      <w:r>
        <w:rPr/>
        <w:t xml:space="preserve">. </w:t>
      </w:r>
      <w:r>
        <w:rPr>
          <w:color w:val="000000"/>
        </w:rPr>
        <w:t>I tillegg er utdanning vist til å være en prediktor for politisk tillit i Afrika</w:t>
      </w:r>
      <w:r>
        <w:rPr>
          <w:rStyle w:val="FootnoteAnchor"/>
          <w:color w:val="000000"/>
        </w:rPr>
        <w:footnoteReference w:id="26"/>
      </w:r>
      <w:r>
        <w:rPr>
          <w:color w:val="000000"/>
        </w:rPr>
        <w:t xml:space="preserve">. </w:t>
      </w:r>
      <w:r>
        <w:rPr/>
        <w:t xml:space="preserve">Variabelen for utdanning skiller mellom fire ulike kategorier: (i) Ingen formell utdanning, (ii) primær utdanning, (iii) sekundær utdanning og (iv) post-sekundær utdanning. </w:t>
      </w:r>
    </w:p>
    <w:p>
      <w:pPr>
        <w:pStyle w:val="Normal"/>
        <w:spacing w:lineRule="auto" w:line="360"/>
        <w:rPr/>
      </w:pPr>
      <w:r>
        <w:rPr/>
        <w:t>Til slutt vil regresjonene kontrolleres for økonomisk belastning. Da fattigdomsnivået i store deler av det afrikanske kontinentet varierer mellom etniske grupper</w:t>
      </w:r>
      <w:r>
        <w:rPr>
          <w:rStyle w:val="FootnoteAnchor"/>
        </w:rPr>
        <w:footnoteReference w:id="27"/>
      </w:r>
      <w:r>
        <w:rPr/>
        <w:t>, så vel som inntektsnivået ofte er kjønnsbestemt</w:t>
      </w:r>
      <w:r>
        <w:rPr>
          <w:rStyle w:val="FootnoteAnchor"/>
        </w:rPr>
        <w:footnoteReference w:id="28"/>
      </w:r>
      <w:r>
        <w:rPr/>
        <w:t>, er det mulig at dette kan være en mellomliggende faktor som kan forklare variasjon i politisk tillit</w:t>
      </w:r>
      <w:r>
        <w:rPr>
          <w:rStyle w:val="FootnoteAnchor"/>
        </w:rPr>
        <w:footnoteReference w:id="29"/>
      </w:r>
      <w:r>
        <w:rPr/>
        <w:t xml:space="preserve">. Variabelen for inntekt måler økonomisk belastning, ved at respondenten har svart på hvor ofte han eller hun går uten inntekt. Den opprinnelige variabelen inneholdt kategoriene (i) aldri, (ii) få ganger, (iii) noen ganger, (iv) flere ganger og (v) hele tiden. Ut ifra denne ble det opprettet en ny variabel, </w:t>
      </w:r>
      <w:r>
        <w:rPr>
          <w:i/>
          <w:iCs/>
        </w:rPr>
        <w:t>uteninntekt</w:t>
      </w:r>
      <w:r>
        <w:rPr/>
        <w:t xml:space="preserve">, hvor personer som aldri/få ganger går uten inntekt ble kodet 0, og respondenter som går uten inntekt noen ganger, flere ganger eller hele tiden ble kodet 1. </w:t>
      </w:r>
    </w:p>
    <w:p>
      <w:pPr>
        <w:pStyle w:val="Normal"/>
        <w:spacing w:lineRule="auto" w:line="360"/>
        <w:rPr>
          <w:color w:val="FF0000"/>
        </w:rPr>
      </w:pPr>
      <w:r>
        <w:rPr>
          <w:color w:val="FF0000"/>
        </w:rPr>
      </w:r>
    </w:p>
    <w:p>
      <w:pPr>
        <w:pStyle w:val="Normal"/>
        <w:rPr/>
      </w:pPr>
      <w:r>
        <w:rPr>
          <w:rFonts w:cs="Times New Roman"/>
          <w:i/>
          <w:iCs/>
          <w:sz w:val="22"/>
          <w:lang w:val="en-US"/>
        </w:rPr>
        <w:t xml:space="preserve">Tabell 11: </w:t>
      </w:r>
      <w:r>
        <w:rPr>
          <w:rFonts w:cs="Times New Roman"/>
          <w:i/>
          <w:iCs/>
          <w:sz w:val="22"/>
        </w:rPr>
        <w:t>Utdanning</w:t>
      </w:r>
    </w:p>
    <w:tbl>
      <w:tblPr>
        <w:tblW w:w="9208" w:type="dxa"/>
        <w:jc w:val="left"/>
        <w:tblInd w:w="0" w:type="dxa"/>
        <w:tblLayout w:type="fixed"/>
        <w:tblCellMar>
          <w:top w:w="0" w:type="dxa"/>
          <w:left w:w="108" w:type="dxa"/>
          <w:bottom w:w="0" w:type="dxa"/>
          <w:right w:w="108" w:type="dxa"/>
        </w:tblCellMar>
      </w:tblPr>
      <w:tblGrid>
        <w:gridCol w:w="4708"/>
        <w:gridCol w:w="1500"/>
        <w:gridCol w:w="1500"/>
        <w:gridCol w:w="1500"/>
      </w:tblGrid>
      <w:tr>
        <w:trPr/>
        <w:tc>
          <w:tcPr>
            <w:tcW w:w="4708" w:type="dxa"/>
            <w:tcBorders>
              <w:top w:val="single" w:sz="4" w:space="0" w:color="000000"/>
              <w:bottom w:val="single" w:sz="10" w:space="0" w:color="000000"/>
            </w:tcBorders>
          </w:tcPr>
          <w:p>
            <w:pPr>
              <w:pStyle w:val="Normal"/>
              <w:widowControl w:val="false"/>
              <w:spacing w:before="0" w:after="160"/>
              <w:rPr>
                <w:rFonts w:cs="Times New Roman"/>
                <w:sz w:val="22"/>
                <w:lang w:val="en-US"/>
              </w:rPr>
            </w:pPr>
            <w:r>
              <w:rPr>
                <w:rFonts w:cs="Times New Roman"/>
                <w:sz w:val="22"/>
                <w:lang w:val="en-US"/>
              </w:rPr>
            </w:r>
          </w:p>
        </w:tc>
        <w:tc>
          <w:tcPr>
            <w:tcW w:w="1500" w:type="dxa"/>
            <w:tcBorders>
              <w:top w:val="single" w:sz="4" w:space="0" w:color="000000"/>
              <w:bottom w:val="single" w:sz="10" w:space="0" w:color="000000"/>
            </w:tcBorders>
          </w:tcPr>
          <w:p>
            <w:pPr>
              <w:pStyle w:val="Normal"/>
              <w:widowControl w:val="false"/>
              <w:spacing w:before="0" w:after="160"/>
              <w:rPr>
                <w:rFonts w:cs="Times New Roman"/>
                <w:sz w:val="22"/>
              </w:rPr>
            </w:pPr>
            <w:r>
              <w:rPr>
                <w:rFonts w:cs="Times New Roman"/>
                <w:sz w:val="22"/>
              </w:rPr>
              <w:t>Antall</w:t>
            </w:r>
          </w:p>
        </w:tc>
        <w:tc>
          <w:tcPr>
            <w:tcW w:w="1500" w:type="dxa"/>
            <w:tcBorders>
              <w:top w:val="single" w:sz="4" w:space="0" w:color="000000"/>
              <w:bottom w:val="single" w:sz="10" w:space="0" w:color="000000"/>
            </w:tcBorders>
          </w:tcPr>
          <w:p>
            <w:pPr>
              <w:pStyle w:val="Normal"/>
              <w:widowControl w:val="false"/>
              <w:spacing w:before="0" w:after="160"/>
              <w:rPr>
                <w:rFonts w:cs="Times New Roman"/>
                <w:sz w:val="22"/>
              </w:rPr>
            </w:pPr>
            <w:r>
              <w:rPr>
                <w:rFonts w:cs="Times New Roman"/>
                <w:sz w:val="22"/>
              </w:rPr>
              <w:t>Prosent</w:t>
            </w:r>
          </w:p>
        </w:tc>
        <w:tc>
          <w:tcPr>
            <w:tcW w:w="1500" w:type="dxa"/>
            <w:tcBorders>
              <w:top w:val="single" w:sz="4" w:space="0" w:color="000000"/>
              <w:bottom w:val="single" w:sz="10" w:space="0" w:color="000000"/>
            </w:tcBorders>
          </w:tcPr>
          <w:p>
            <w:pPr>
              <w:pStyle w:val="Normal"/>
              <w:widowControl w:val="false"/>
              <w:spacing w:before="0" w:after="160"/>
              <w:rPr>
                <w:rFonts w:cs="Times New Roman"/>
                <w:sz w:val="22"/>
                <w:lang w:val="en-US"/>
              </w:rPr>
            </w:pPr>
            <w:r>
              <w:rPr>
                <w:rFonts w:cs="Times New Roman"/>
                <w:sz w:val="22"/>
                <w:lang w:val="en-US"/>
              </w:rPr>
              <w:t>Cum.</w:t>
            </w:r>
          </w:p>
        </w:tc>
      </w:tr>
      <w:tr>
        <w:trPr/>
        <w:tc>
          <w:tcPr>
            <w:tcW w:w="4708" w:type="dxa"/>
            <w:tcBorders/>
          </w:tcPr>
          <w:p>
            <w:pPr>
              <w:pStyle w:val="Normal"/>
              <w:widowControl w:val="false"/>
              <w:spacing w:before="0" w:after="160"/>
              <w:rPr>
                <w:rFonts w:cs="Times New Roman"/>
                <w:sz w:val="22"/>
              </w:rPr>
            </w:pPr>
            <w:r>
              <w:rPr>
                <w:rFonts w:cs="Times New Roman"/>
                <w:sz w:val="22"/>
              </w:rPr>
              <w:t>Ingen formell utdanning</w:t>
            </w:r>
          </w:p>
        </w:tc>
        <w:tc>
          <w:tcPr>
            <w:tcW w:w="1500" w:type="dxa"/>
            <w:tcBorders/>
          </w:tcPr>
          <w:p>
            <w:pPr>
              <w:pStyle w:val="Normal"/>
              <w:widowControl w:val="false"/>
              <w:spacing w:before="0" w:after="160"/>
              <w:rPr>
                <w:rFonts w:cs="Times New Roman"/>
                <w:sz w:val="22"/>
                <w:lang w:val="en-US"/>
              </w:rPr>
            </w:pPr>
            <w:r>
              <w:rPr>
                <w:rFonts w:cs="Times New Roman"/>
                <w:sz w:val="22"/>
                <w:lang w:val="en-US"/>
              </w:rPr>
              <w:t>3021</w:t>
            </w:r>
          </w:p>
        </w:tc>
        <w:tc>
          <w:tcPr>
            <w:tcW w:w="1500" w:type="dxa"/>
            <w:tcBorders/>
          </w:tcPr>
          <w:p>
            <w:pPr>
              <w:pStyle w:val="Normal"/>
              <w:widowControl w:val="false"/>
              <w:spacing w:before="0" w:after="160"/>
              <w:rPr>
                <w:rFonts w:cs="Times New Roman"/>
                <w:sz w:val="22"/>
                <w:lang w:val="en-US"/>
              </w:rPr>
            </w:pPr>
            <w:r>
              <w:rPr>
                <w:rFonts w:cs="Times New Roman"/>
                <w:sz w:val="22"/>
                <w:lang w:val="en-US"/>
              </w:rPr>
              <w:t>23.64</w:t>
            </w:r>
          </w:p>
        </w:tc>
        <w:tc>
          <w:tcPr>
            <w:tcW w:w="1500" w:type="dxa"/>
            <w:tcBorders/>
          </w:tcPr>
          <w:p>
            <w:pPr>
              <w:pStyle w:val="Normal"/>
              <w:widowControl w:val="false"/>
              <w:spacing w:before="0" w:after="160"/>
              <w:rPr>
                <w:rFonts w:cs="Times New Roman"/>
                <w:sz w:val="22"/>
                <w:lang w:val="en-US"/>
              </w:rPr>
            </w:pPr>
            <w:r>
              <w:rPr>
                <w:rFonts w:cs="Times New Roman"/>
                <w:sz w:val="22"/>
                <w:lang w:val="en-US"/>
              </w:rPr>
              <w:t>23.64</w:t>
            </w:r>
          </w:p>
        </w:tc>
      </w:tr>
      <w:tr>
        <w:trPr/>
        <w:tc>
          <w:tcPr>
            <w:tcW w:w="4708" w:type="dxa"/>
            <w:tcBorders/>
          </w:tcPr>
          <w:p>
            <w:pPr>
              <w:pStyle w:val="Normal"/>
              <w:widowControl w:val="false"/>
              <w:spacing w:before="0" w:after="160"/>
              <w:rPr>
                <w:rFonts w:cs="Times New Roman"/>
                <w:sz w:val="22"/>
              </w:rPr>
            </w:pPr>
            <w:r>
              <w:rPr>
                <w:rFonts w:cs="Times New Roman"/>
                <w:sz w:val="22"/>
              </w:rPr>
              <w:t>Primær</w:t>
            </w:r>
          </w:p>
        </w:tc>
        <w:tc>
          <w:tcPr>
            <w:tcW w:w="1500" w:type="dxa"/>
            <w:tcBorders/>
          </w:tcPr>
          <w:p>
            <w:pPr>
              <w:pStyle w:val="Normal"/>
              <w:widowControl w:val="false"/>
              <w:spacing w:before="0" w:after="160"/>
              <w:rPr>
                <w:rFonts w:cs="Times New Roman"/>
                <w:sz w:val="22"/>
                <w:lang w:val="en-US"/>
              </w:rPr>
            </w:pPr>
            <w:r>
              <w:rPr>
                <w:rFonts w:cs="Times New Roman"/>
                <w:sz w:val="22"/>
                <w:lang w:val="en-US"/>
              </w:rPr>
              <w:t>2845</w:t>
            </w:r>
          </w:p>
        </w:tc>
        <w:tc>
          <w:tcPr>
            <w:tcW w:w="1500" w:type="dxa"/>
            <w:tcBorders/>
          </w:tcPr>
          <w:p>
            <w:pPr>
              <w:pStyle w:val="Normal"/>
              <w:widowControl w:val="false"/>
              <w:spacing w:before="0" w:after="160"/>
              <w:rPr>
                <w:rFonts w:cs="Times New Roman"/>
                <w:sz w:val="22"/>
                <w:lang w:val="en-US"/>
              </w:rPr>
            </w:pPr>
            <w:r>
              <w:rPr>
                <w:rFonts w:cs="Times New Roman"/>
                <w:sz w:val="22"/>
                <w:lang w:val="en-US"/>
              </w:rPr>
              <w:t>22.26</w:t>
            </w:r>
          </w:p>
        </w:tc>
        <w:tc>
          <w:tcPr>
            <w:tcW w:w="1500" w:type="dxa"/>
            <w:tcBorders/>
          </w:tcPr>
          <w:p>
            <w:pPr>
              <w:pStyle w:val="Normal"/>
              <w:widowControl w:val="false"/>
              <w:spacing w:before="0" w:after="160"/>
              <w:rPr>
                <w:rFonts w:cs="Times New Roman"/>
                <w:sz w:val="22"/>
                <w:lang w:val="en-US"/>
              </w:rPr>
            </w:pPr>
            <w:r>
              <w:rPr>
                <w:rFonts w:cs="Times New Roman"/>
                <w:sz w:val="22"/>
                <w:lang w:val="en-US"/>
              </w:rPr>
              <w:t>45.90</w:t>
            </w:r>
          </w:p>
        </w:tc>
      </w:tr>
      <w:tr>
        <w:trPr/>
        <w:tc>
          <w:tcPr>
            <w:tcW w:w="4708" w:type="dxa"/>
            <w:tcBorders/>
          </w:tcPr>
          <w:p>
            <w:pPr>
              <w:pStyle w:val="Normal"/>
              <w:widowControl w:val="false"/>
              <w:spacing w:before="0" w:after="160"/>
              <w:rPr>
                <w:rFonts w:cs="Times New Roman"/>
                <w:sz w:val="22"/>
              </w:rPr>
            </w:pPr>
            <w:r>
              <w:rPr>
                <w:rFonts w:cs="Times New Roman"/>
                <w:sz w:val="22"/>
              </w:rPr>
              <w:t>Sekundær</w:t>
            </w:r>
          </w:p>
        </w:tc>
        <w:tc>
          <w:tcPr>
            <w:tcW w:w="1500" w:type="dxa"/>
            <w:tcBorders/>
          </w:tcPr>
          <w:p>
            <w:pPr>
              <w:pStyle w:val="Normal"/>
              <w:widowControl w:val="false"/>
              <w:spacing w:before="0" w:after="160"/>
              <w:rPr>
                <w:rFonts w:cs="Times New Roman"/>
                <w:sz w:val="22"/>
                <w:lang w:val="en-US"/>
              </w:rPr>
            </w:pPr>
            <w:r>
              <w:rPr>
                <w:rFonts w:cs="Times New Roman"/>
                <w:sz w:val="22"/>
                <w:lang w:val="en-US"/>
              </w:rPr>
              <w:t>4925</w:t>
            </w:r>
          </w:p>
        </w:tc>
        <w:tc>
          <w:tcPr>
            <w:tcW w:w="1500" w:type="dxa"/>
            <w:tcBorders/>
          </w:tcPr>
          <w:p>
            <w:pPr>
              <w:pStyle w:val="Normal"/>
              <w:widowControl w:val="false"/>
              <w:spacing w:before="0" w:after="160"/>
              <w:rPr>
                <w:rFonts w:cs="Times New Roman"/>
                <w:sz w:val="22"/>
                <w:lang w:val="en-US"/>
              </w:rPr>
            </w:pPr>
            <w:r>
              <w:rPr>
                <w:rFonts w:cs="Times New Roman"/>
                <w:sz w:val="22"/>
                <w:lang w:val="en-US"/>
              </w:rPr>
              <w:t>38.53</w:t>
            </w:r>
          </w:p>
        </w:tc>
        <w:tc>
          <w:tcPr>
            <w:tcW w:w="1500" w:type="dxa"/>
            <w:tcBorders/>
          </w:tcPr>
          <w:p>
            <w:pPr>
              <w:pStyle w:val="Normal"/>
              <w:widowControl w:val="false"/>
              <w:spacing w:before="0" w:after="160"/>
              <w:rPr>
                <w:rFonts w:cs="Times New Roman"/>
                <w:sz w:val="22"/>
                <w:lang w:val="en-US"/>
              </w:rPr>
            </w:pPr>
            <w:r>
              <w:rPr>
                <w:rFonts w:cs="Times New Roman"/>
                <w:sz w:val="22"/>
                <w:lang w:val="en-US"/>
              </w:rPr>
              <w:t>84.43</w:t>
            </w:r>
          </w:p>
        </w:tc>
      </w:tr>
      <w:tr>
        <w:trPr/>
        <w:tc>
          <w:tcPr>
            <w:tcW w:w="4708" w:type="dxa"/>
            <w:tcBorders/>
          </w:tcPr>
          <w:p>
            <w:pPr>
              <w:pStyle w:val="Normal"/>
              <w:widowControl w:val="false"/>
              <w:spacing w:before="0" w:after="160"/>
              <w:rPr>
                <w:rFonts w:cs="Times New Roman"/>
                <w:sz w:val="22"/>
              </w:rPr>
            </w:pPr>
            <w:r>
              <w:rPr>
                <w:rFonts w:cs="Times New Roman"/>
                <w:sz w:val="22"/>
              </w:rPr>
              <w:t>Post-sekundær</w:t>
            </w:r>
          </w:p>
        </w:tc>
        <w:tc>
          <w:tcPr>
            <w:tcW w:w="1500" w:type="dxa"/>
            <w:tcBorders/>
          </w:tcPr>
          <w:p>
            <w:pPr>
              <w:pStyle w:val="Normal"/>
              <w:widowControl w:val="false"/>
              <w:spacing w:before="0" w:after="160"/>
              <w:rPr>
                <w:rFonts w:cs="Times New Roman"/>
                <w:sz w:val="22"/>
                <w:lang w:val="en-US"/>
              </w:rPr>
            </w:pPr>
            <w:r>
              <w:rPr>
                <w:rFonts w:cs="Times New Roman"/>
                <w:sz w:val="22"/>
                <w:lang w:val="en-US"/>
              </w:rPr>
              <w:t>1990</w:t>
            </w:r>
          </w:p>
        </w:tc>
        <w:tc>
          <w:tcPr>
            <w:tcW w:w="1500" w:type="dxa"/>
            <w:tcBorders/>
          </w:tcPr>
          <w:p>
            <w:pPr>
              <w:pStyle w:val="Normal"/>
              <w:widowControl w:val="false"/>
              <w:spacing w:before="0" w:after="160"/>
              <w:rPr>
                <w:rFonts w:cs="Times New Roman"/>
                <w:sz w:val="22"/>
                <w:lang w:val="en-US"/>
              </w:rPr>
            </w:pPr>
            <w:r>
              <w:rPr>
                <w:rFonts w:cs="Times New Roman"/>
                <w:sz w:val="22"/>
                <w:lang w:val="en-US"/>
              </w:rPr>
              <w:t>15.57</w:t>
            </w:r>
          </w:p>
        </w:tc>
        <w:tc>
          <w:tcPr>
            <w:tcW w:w="1500" w:type="dxa"/>
            <w:tcBorders/>
          </w:tcPr>
          <w:p>
            <w:pPr>
              <w:pStyle w:val="Normal"/>
              <w:widowControl w:val="false"/>
              <w:spacing w:before="0" w:after="160"/>
              <w:rPr>
                <w:rFonts w:cs="Times New Roman"/>
                <w:sz w:val="22"/>
                <w:lang w:val="en-US"/>
              </w:rPr>
            </w:pPr>
            <w:r>
              <w:rPr>
                <w:rFonts w:cs="Times New Roman"/>
                <w:sz w:val="22"/>
                <w:lang w:val="en-US"/>
              </w:rPr>
              <w:t>100.00</w:t>
            </w:r>
          </w:p>
        </w:tc>
      </w:tr>
      <w:tr>
        <w:trPr/>
        <w:tc>
          <w:tcPr>
            <w:tcW w:w="4708" w:type="dxa"/>
            <w:tcBorders>
              <w:top w:val="single" w:sz="4" w:space="0" w:color="000000"/>
            </w:tcBorders>
          </w:tcPr>
          <w:p>
            <w:pPr>
              <w:pStyle w:val="Normal"/>
              <w:widowControl w:val="false"/>
              <w:spacing w:before="0" w:after="160"/>
              <w:rPr>
                <w:rFonts w:cs="Times New Roman"/>
                <w:sz w:val="22"/>
                <w:lang w:val="en-US"/>
              </w:rPr>
            </w:pPr>
            <w:r>
              <w:rPr>
                <w:rFonts w:cs="Times New Roman"/>
                <w:sz w:val="22"/>
                <w:lang w:val="en-US"/>
              </w:rPr>
              <w:t>Total</w:t>
            </w:r>
          </w:p>
        </w:tc>
        <w:tc>
          <w:tcPr>
            <w:tcW w:w="1500" w:type="dxa"/>
            <w:tcBorders>
              <w:top w:val="single" w:sz="4" w:space="0" w:color="000000"/>
            </w:tcBorders>
          </w:tcPr>
          <w:p>
            <w:pPr>
              <w:pStyle w:val="Normal"/>
              <w:widowControl w:val="false"/>
              <w:spacing w:before="0" w:after="160"/>
              <w:rPr>
                <w:rFonts w:cs="Times New Roman"/>
                <w:sz w:val="22"/>
                <w:lang w:val="en-US"/>
              </w:rPr>
            </w:pPr>
            <w:r>
              <w:rPr>
                <w:rFonts w:cs="Times New Roman"/>
                <w:sz w:val="22"/>
                <w:lang w:val="en-US"/>
              </w:rPr>
              <w:t>12781</w:t>
            </w:r>
          </w:p>
        </w:tc>
        <w:tc>
          <w:tcPr>
            <w:tcW w:w="1500" w:type="dxa"/>
            <w:tcBorders>
              <w:top w:val="single" w:sz="4" w:space="0" w:color="000000"/>
            </w:tcBorders>
          </w:tcPr>
          <w:p>
            <w:pPr>
              <w:pStyle w:val="Normal"/>
              <w:widowControl w:val="false"/>
              <w:spacing w:before="0" w:after="160"/>
              <w:rPr>
                <w:rFonts w:cs="Times New Roman"/>
                <w:sz w:val="22"/>
                <w:lang w:val="en-US"/>
              </w:rPr>
            </w:pPr>
            <w:r>
              <w:rPr>
                <w:rFonts w:cs="Times New Roman"/>
                <w:sz w:val="22"/>
                <w:lang w:val="en-US"/>
              </w:rPr>
              <w:t>100.00</w:t>
            </w:r>
          </w:p>
        </w:tc>
        <w:tc>
          <w:tcPr>
            <w:tcW w:w="1500" w:type="dxa"/>
            <w:tcBorders>
              <w:top w:val="single" w:sz="4" w:space="0" w:color="000000"/>
            </w:tcBorders>
          </w:tcPr>
          <w:p>
            <w:pPr>
              <w:pStyle w:val="Normal"/>
              <w:widowControl w:val="false"/>
              <w:spacing w:before="0" w:after="160"/>
              <w:rPr>
                <w:rFonts w:cs="Times New Roman"/>
                <w:sz w:val="22"/>
                <w:lang w:val="en-US"/>
              </w:rPr>
            </w:pPr>
            <w:r>
              <w:rPr>
                <w:rFonts w:cs="Times New Roman"/>
                <w:sz w:val="22"/>
                <w:lang w:val="en-US"/>
              </w:rPr>
            </w:r>
          </w:p>
        </w:tc>
      </w:tr>
      <w:tr>
        <w:trPr/>
        <w:tc>
          <w:tcPr>
            <w:tcW w:w="9208" w:type="dxa"/>
            <w:gridSpan w:val="4"/>
            <w:tcBorders>
              <w:top w:val="single" w:sz="6" w:space="0" w:color="000000"/>
            </w:tcBorders>
          </w:tcPr>
          <w:p>
            <w:pPr>
              <w:pStyle w:val="Normal"/>
              <w:widowControl w:val="false"/>
              <w:rPr>
                <w:rFonts w:cs="Times New Roman"/>
                <w:i/>
                <w:i/>
                <w:iCs/>
                <w:sz w:val="22"/>
                <w:lang w:val="en-US"/>
              </w:rPr>
            </w:pPr>
            <w:r>
              <w:rPr>
                <w:rFonts w:cs="Times New Roman"/>
                <w:i/>
                <w:iCs/>
                <w:sz w:val="22"/>
                <w:lang w:val="en-US"/>
              </w:rPr>
            </w:r>
          </w:p>
          <w:p>
            <w:pPr>
              <w:pStyle w:val="Normal"/>
              <w:widowControl w:val="false"/>
              <w:rPr>
                <w:i/>
                <w:i/>
                <w:iCs/>
                <w:sz w:val="22"/>
                <w:szCs w:val="20"/>
              </w:rPr>
            </w:pPr>
            <w:r>
              <w:rPr>
                <w:i/>
                <w:iCs/>
                <w:sz w:val="22"/>
                <w:szCs w:val="20"/>
              </w:rPr>
              <w:t>Tabell 12: Uten inntekt</w:t>
            </w:r>
          </w:p>
          <w:tbl>
            <w:tblPr>
              <w:tblW w:w="7209" w:type="dxa"/>
              <w:jc w:val="left"/>
              <w:tblInd w:w="0" w:type="dxa"/>
              <w:tblLayout w:type="fixed"/>
              <w:tblCellMar>
                <w:top w:w="0" w:type="dxa"/>
                <w:left w:w="108" w:type="dxa"/>
                <w:bottom w:w="0" w:type="dxa"/>
                <w:right w:w="108" w:type="dxa"/>
              </w:tblCellMar>
            </w:tblPr>
            <w:tblGrid>
              <w:gridCol w:w="2708"/>
              <w:gridCol w:w="1500"/>
              <w:gridCol w:w="1500"/>
              <w:gridCol w:w="1501"/>
            </w:tblGrid>
            <w:tr>
              <w:trPr/>
              <w:tc>
                <w:tcPr>
                  <w:tcW w:w="2708" w:type="dxa"/>
                  <w:tcBorders>
                    <w:top w:val="single" w:sz="4" w:space="0" w:color="000000"/>
                    <w:bottom w:val="single" w:sz="10" w:space="0" w:color="000000"/>
                  </w:tcBorders>
                </w:tcPr>
                <w:p>
                  <w:pPr>
                    <w:pStyle w:val="Normal"/>
                    <w:widowControl w:val="false"/>
                    <w:spacing w:before="0" w:after="160"/>
                    <w:rPr>
                      <w:sz w:val="22"/>
                      <w:szCs w:val="20"/>
                    </w:rPr>
                  </w:pPr>
                  <w:r>
                    <w:rPr>
                      <w:sz w:val="22"/>
                      <w:szCs w:val="20"/>
                    </w:rPr>
                  </w:r>
                </w:p>
              </w:tc>
              <w:tc>
                <w:tcPr>
                  <w:tcW w:w="1500" w:type="dxa"/>
                  <w:tcBorders>
                    <w:top w:val="single" w:sz="4" w:space="0" w:color="000000"/>
                    <w:bottom w:val="single" w:sz="10" w:space="0" w:color="000000"/>
                  </w:tcBorders>
                </w:tcPr>
                <w:p>
                  <w:pPr>
                    <w:pStyle w:val="Normal"/>
                    <w:widowControl w:val="false"/>
                    <w:spacing w:before="0" w:after="160"/>
                    <w:rPr>
                      <w:sz w:val="22"/>
                      <w:szCs w:val="20"/>
                    </w:rPr>
                  </w:pPr>
                  <w:r>
                    <w:rPr>
                      <w:sz w:val="22"/>
                      <w:szCs w:val="20"/>
                    </w:rPr>
                    <w:t>Antall</w:t>
                  </w:r>
                </w:p>
              </w:tc>
              <w:tc>
                <w:tcPr>
                  <w:tcW w:w="1500" w:type="dxa"/>
                  <w:tcBorders>
                    <w:top w:val="single" w:sz="4" w:space="0" w:color="000000"/>
                    <w:bottom w:val="single" w:sz="10" w:space="0" w:color="000000"/>
                  </w:tcBorders>
                </w:tcPr>
                <w:p>
                  <w:pPr>
                    <w:pStyle w:val="Normal"/>
                    <w:widowControl w:val="false"/>
                    <w:spacing w:before="0" w:after="160"/>
                    <w:rPr>
                      <w:sz w:val="22"/>
                      <w:szCs w:val="20"/>
                    </w:rPr>
                  </w:pPr>
                  <w:r>
                    <w:rPr>
                      <w:sz w:val="22"/>
                      <w:szCs w:val="20"/>
                    </w:rPr>
                    <w:t>Prosent</w:t>
                  </w:r>
                </w:p>
              </w:tc>
              <w:tc>
                <w:tcPr>
                  <w:tcW w:w="1501" w:type="dxa"/>
                  <w:tcBorders>
                    <w:top w:val="single" w:sz="4" w:space="0" w:color="000000"/>
                    <w:bottom w:val="single" w:sz="10" w:space="0" w:color="000000"/>
                  </w:tcBorders>
                </w:tcPr>
                <w:p>
                  <w:pPr>
                    <w:pStyle w:val="Normal"/>
                    <w:widowControl w:val="false"/>
                    <w:spacing w:before="0" w:after="160"/>
                    <w:rPr>
                      <w:sz w:val="22"/>
                      <w:szCs w:val="20"/>
                    </w:rPr>
                  </w:pPr>
                  <w:r>
                    <w:rPr>
                      <w:sz w:val="22"/>
                      <w:szCs w:val="20"/>
                    </w:rPr>
                    <w:t>Cum.</w:t>
                  </w:r>
                </w:p>
              </w:tc>
            </w:tr>
            <w:tr>
              <w:trPr/>
              <w:tc>
                <w:tcPr>
                  <w:tcW w:w="2708" w:type="dxa"/>
                  <w:tcBorders/>
                </w:tcPr>
                <w:p>
                  <w:pPr>
                    <w:pStyle w:val="Normal"/>
                    <w:widowControl w:val="false"/>
                    <w:spacing w:before="0" w:after="160"/>
                    <w:rPr>
                      <w:sz w:val="22"/>
                      <w:szCs w:val="20"/>
                    </w:rPr>
                  </w:pPr>
                  <w:r>
                    <w:rPr>
                      <w:sz w:val="22"/>
                      <w:szCs w:val="20"/>
                    </w:rPr>
                    <w:t>Aldri/sjelden</w:t>
                  </w:r>
                </w:p>
              </w:tc>
              <w:tc>
                <w:tcPr>
                  <w:tcW w:w="1500" w:type="dxa"/>
                  <w:tcBorders/>
                </w:tcPr>
                <w:p>
                  <w:pPr>
                    <w:pStyle w:val="Normal"/>
                    <w:widowControl w:val="false"/>
                    <w:spacing w:before="0" w:after="160"/>
                    <w:rPr>
                      <w:sz w:val="22"/>
                      <w:szCs w:val="20"/>
                    </w:rPr>
                  </w:pPr>
                  <w:r>
                    <w:rPr>
                      <w:sz w:val="22"/>
                      <w:szCs w:val="20"/>
                    </w:rPr>
                    <w:t>4591</w:t>
                  </w:r>
                </w:p>
              </w:tc>
              <w:tc>
                <w:tcPr>
                  <w:tcW w:w="1500" w:type="dxa"/>
                  <w:tcBorders/>
                </w:tcPr>
                <w:p>
                  <w:pPr>
                    <w:pStyle w:val="Normal"/>
                    <w:widowControl w:val="false"/>
                    <w:spacing w:before="0" w:after="160"/>
                    <w:rPr>
                      <w:sz w:val="22"/>
                      <w:szCs w:val="20"/>
                    </w:rPr>
                  </w:pPr>
                  <w:r>
                    <w:rPr>
                      <w:sz w:val="22"/>
                      <w:szCs w:val="20"/>
                    </w:rPr>
                    <w:t>35.92</w:t>
                  </w:r>
                </w:p>
              </w:tc>
              <w:tc>
                <w:tcPr>
                  <w:tcW w:w="1501" w:type="dxa"/>
                  <w:tcBorders/>
                </w:tcPr>
                <w:p>
                  <w:pPr>
                    <w:pStyle w:val="Normal"/>
                    <w:widowControl w:val="false"/>
                    <w:spacing w:before="0" w:after="160"/>
                    <w:rPr>
                      <w:sz w:val="22"/>
                      <w:szCs w:val="20"/>
                    </w:rPr>
                  </w:pPr>
                  <w:r>
                    <w:rPr>
                      <w:sz w:val="22"/>
                      <w:szCs w:val="20"/>
                    </w:rPr>
                    <w:t>35.92</w:t>
                  </w:r>
                </w:p>
              </w:tc>
            </w:tr>
            <w:tr>
              <w:trPr/>
              <w:tc>
                <w:tcPr>
                  <w:tcW w:w="2708" w:type="dxa"/>
                  <w:tcBorders/>
                </w:tcPr>
                <w:p>
                  <w:pPr>
                    <w:pStyle w:val="Normal"/>
                    <w:widowControl w:val="false"/>
                    <w:spacing w:before="0" w:after="160"/>
                    <w:rPr>
                      <w:sz w:val="22"/>
                      <w:szCs w:val="20"/>
                    </w:rPr>
                  </w:pPr>
                  <w:r>
                    <w:rPr>
                      <w:sz w:val="22"/>
                      <w:szCs w:val="20"/>
                    </w:rPr>
                    <w:t>Ofte/alltid</w:t>
                  </w:r>
                </w:p>
              </w:tc>
              <w:tc>
                <w:tcPr>
                  <w:tcW w:w="1500" w:type="dxa"/>
                  <w:tcBorders/>
                </w:tcPr>
                <w:p>
                  <w:pPr>
                    <w:pStyle w:val="Normal"/>
                    <w:widowControl w:val="false"/>
                    <w:spacing w:before="0" w:after="160"/>
                    <w:rPr>
                      <w:sz w:val="22"/>
                      <w:szCs w:val="20"/>
                    </w:rPr>
                  </w:pPr>
                  <w:r>
                    <w:rPr>
                      <w:sz w:val="22"/>
                      <w:szCs w:val="20"/>
                    </w:rPr>
                    <w:t>8190</w:t>
                  </w:r>
                </w:p>
              </w:tc>
              <w:tc>
                <w:tcPr>
                  <w:tcW w:w="1500" w:type="dxa"/>
                  <w:tcBorders/>
                </w:tcPr>
                <w:p>
                  <w:pPr>
                    <w:pStyle w:val="Normal"/>
                    <w:widowControl w:val="false"/>
                    <w:spacing w:before="0" w:after="160"/>
                    <w:rPr>
                      <w:sz w:val="22"/>
                      <w:szCs w:val="20"/>
                    </w:rPr>
                  </w:pPr>
                  <w:r>
                    <w:rPr>
                      <w:sz w:val="22"/>
                      <w:szCs w:val="20"/>
                    </w:rPr>
                    <w:t>64.08</w:t>
                  </w:r>
                </w:p>
              </w:tc>
              <w:tc>
                <w:tcPr>
                  <w:tcW w:w="1501" w:type="dxa"/>
                  <w:tcBorders/>
                </w:tcPr>
                <w:p>
                  <w:pPr>
                    <w:pStyle w:val="Normal"/>
                    <w:widowControl w:val="false"/>
                    <w:spacing w:before="0" w:after="160"/>
                    <w:rPr>
                      <w:sz w:val="22"/>
                      <w:szCs w:val="20"/>
                    </w:rPr>
                  </w:pPr>
                  <w:r>
                    <w:rPr>
                      <w:sz w:val="22"/>
                      <w:szCs w:val="20"/>
                    </w:rPr>
                    <w:t>100.00</w:t>
                  </w:r>
                </w:p>
              </w:tc>
            </w:tr>
            <w:tr>
              <w:trPr/>
              <w:tc>
                <w:tcPr>
                  <w:tcW w:w="2708" w:type="dxa"/>
                  <w:tcBorders>
                    <w:top w:val="single" w:sz="4" w:space="0" w:color="000000"/>
                  </w:tcBorders>
                </w:tcPr>
                <w:p>
                  <w:pPr>
                    <w:pStyle w:val="Normal"/>
                    <w:widowControl w:val="false"/>
                    <w:spacing w:before="0" w:after="160"/>
                    <w:rPr>
                      <w:sz w:val="22"/>
                      <w:szCs w:val="20"/>
                    </w:rPr>
                  </w:pPr>
                  <w:r>
                    <w:rPr>
                      <w:sz w:val="22"/>
                      <w:szCs w:val="20"/>
                    </w:rPr>
                    <w:t>Total</w:t>
                  </w:r>
                </w:p>
              </w:tc>
              <w:tc>
                <w:tcPr>
                  <w:tcW w:w="1500" w:type="dxa"/>
                  <w:tcBorders>
                    <w:top w:val="single" w:sz="4" w:space="0" w:color="000000"/>
                  </w:tcBorders>
                </w:tcPr>
                <w:p>
                  <w:pPr>
                    <w:pStyle w:val="Normal"/>
                    <w:widowControl w:val="false"/>
                    <w:spacing w:before="0" w:after="160"/>
                    <w:rPr>
                      <w:sz w:val="22"/>
                      <w:szCs w:val="20"/>
                    </w:rPr>
                  </w:pPr>
                  <w:r>
                    <w:rPr>
                      <w:sz w:val="22"/>
                      <w:szCs w:val="20"/>
                    </w:rPr>
                    <w:t>12781</w:t>
                  </w:r>
                </w:p>
              </w:tc>
              <w:tc>
                <w:tcPr>
                  <w:tcW w:w="1500" w:type="dxa"/>
                  <w:tcBorders>
                    <w:top w:val="single" w:sz="4" w:space="0" w:color="000000"/>
                  </w:tcBorders>
                </w:tcPr>
                <w:p>
                  <w:pPr>
                    <w:pStyle w:val="Normal"/>
                    <w:widowControl w:val="false"/>
                    <w:spacing w:before="0" w:after="160"/>
                    <w:rPr>
                      <w:sz w:val="22"/>
                      <w:szCs w:val="20"/>
                    </w:rPr>
                  </w:pPr>
                  <w:r>
                    <w:rPr>
                      <w:sz w:val="22"/>
                      <w:szCs w:val="20"/>
                    </w:rPr>
                    <w:t>100.00</w:t>
                  </w:r>
                </w:p>
              </w:tc>
              <w:tc>
                <w:tcPr>
                  <w:tcW w:w="1501" w:type="dxa"/>
                  <w:tcBorders>
                    <w:top w:val="single" w:sz="4" w:space="0" w:color="000000"/>
                  </w:tcBorders>
                </w:tcPr>
                <w:p>
                  <w:pPr>
                    <w:pStyle w:val="Normal"/>
                    <w:widowControl w:val="false"/>
                    <w:spacing w:before="0" w:after="160"/>
                    <w:rPr>
                      <w:sz w:val="22"/>
                      <w:szCs w:val="20"/>
                    </w:rPr>
                  </w:pPr>
                  <w:r>
                    <w:rPr>
                      <w:sz w:val="22"/>
                      <w:szCs w:val="20"/>
                    </w:rPr>
                  </w:r>
                </w:p>
              </w:tc>
            </w:tr>
            <w:tr>
              <w:trPr/>
              <w:tc>
                <w:tcPr>
                  <w:tcW w:w="7209" w:type="dxa"/>
                  <w:gridSpan w:val="4"/>
                  <w:tcBorders>
                    <w:top w:val="single" w:sz="6" w:space="0" w:color="000000"/>
                  </w:tcBorders>
                </w:tcPr>
                <w:p>
                  <w:pPr>
                    <w:pStyle w:val="Normal"/>
                    <w:widowControl w:val="false"/>
                    <w:spacing w:before="0" w:after="160"/>
                    <w:rPr>
                      <w:sz w:val="22"/>
                      <w:szCs w:val="20"/>
                    </w:rPr>
                  </w:pPr>
                  <w:r>
                    <w:rPr>
                      <w:sz w:val="22"/>
                      <w:szCs w:val="20"/>
                    </w:rPr>
                  </w:r>
                </w:p>
              </w:tc>
            </w:tr>
          </w:tbl>
          <w:p>
            <w:pPr>
              <w:pStyle w:val="Normal"/>
              <w:widowControl w:val="false"/>
              <w:spacing w:before="0" w:after="160"/>
              <w:rPr>
                <w:rFonts w:cs="Times New Roman"/>
                <w:sz w:val="22"/>
              </w:rPr>
            </w:pPr>
            <w:r>
              <w:rPr>
                <w:rFonts w:cs="Times New Roman"/>
                <w:sz w:val="22"/>
              </w:rPr>
            </w:r>
          </w:p>
        </w:tc>
      </w:tr>
    </w:tbl>
    <w:p>
      <w:pPr>
        <w:pStyle w:val="Heading2"/>
        <w:spacing w:lineRule="auto" w:line="360"/>
        <w:rPr/>
      </w:pPr>
      <w:bookmarkStart w:id="82" w:name="_Toc72502752"/>
      <w:bookmarkStart w:id="83" w:name="_Toc71923036"/>
      <w:r>
        <w:rPr/>
        <w:t>7.5. Deskriptiv statistikk</w:t>
      </w:r>
      <w:bookmarkEnd w:id="82"/>
      <w:bookmarkEnd w:id="83"/>
    </w:p>
    <w:p>
      <w:pPr>
        <w:pStyle w:val="Normal"/>
        <w:rPr/>
      </w:pPr>
      <w:r>
        <w:rPr/>
      </w:r>
    </w:p>
    <w:p>
      <w:pPr>
        <w:pStyle w:val="Normal"/>
        <w:rPr/>
      </w:pPr>
      <w:r>
        <w:rPr>
          <w:i/>
          <w:iCs/>
          <w:sz w:val="22"/>
          <w:szCs w:val="20"/>
          <w:lang w:val="en-US"/>
        </w:rPr>
        <w:t xml:space="preserve">Tabell 13: </w:t>
      </w:r>
      <w:r>
        <w:rPr>
          <w:i/>
          <w:iCs/>
          <w:sz w:val="22"/>
          <w:szCs w:val="20"/>
        </w:rPr>
        <w:t>Variabeloversikt etter inkludering av undertrykte grupper</w:t>
      </w:r>
    </w:p>
    <w:tbl>
      <w:tblPr>
        <w:tblW w:w="8908" w:type="dxa"/>
        <w:jc w:val="left"/>
        <w:tblInd w:w="0" w:type="dxa"/>
        <w:tblLayout w:type="fixed"/>
        <w:tblCellMar>
          <w:top w:w="0" w:type="dxa"/>
          <w:left w:w="108" w:type="dxa"/>
          <w:bottom w:w="0" w:type="dxa"/>
          <w:right w:w="108" w:type="dxa"/>
        </w:tblCellMar>
      </w:tblPr>
      <w:tblGrid>
        <w:gridCol w:w="2507"/>
        <w:gridCol w:w="801"/>
        <w:gridCol w:w="1399"/>
        <w:gridCol w:w="1401"/>
        <w:gridCol w:w="1399"/>
        <w:gridCol w:w="1401"/>
      </w:tblGrid>
      <w:tr>
        <w:trPr/>
        <w:tc>
          <w:tcPr>
            <w:tcW w:w="2507" w:type="dxa"/>
            <w:tcBorders>
              <w:top w:val="single" w:sz="4" w:space="0" w:color="000000"/>
              <w:bottom w:val="single" w:sz="10" w:space="0" w:color="000000"/>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Variable</w:t>
            </w:r>
          </w:p>
        </w:tc>
        <w:tc>
          <w:tcPr>
            <w:tcW w:w="801" w:type="dxa"/>
            <w:tcBorders>
              <w:top w:val="single" w:sz="4" w:space="0" w:color="000000"/>
              <w:bottom w:val="single" w:sz="10" w:space="0" w:color="000000"/>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Obs</w:t>
            </w:r>
          </w:p>
        </w:tc>
        <w:tc>
          <w:tcPr>
            <w:tcW w:w="1399" w:type="dxa"/>
            <w:tcBorders>
              <w:top w:val="single" w:sz="4" w:space="0" w:color="000000"/>
              <w:bottom w:val="single" w:sz="10" w:space="0" w:color="000000"/>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Mean</w:t>
            </w:r>
          </w:p>
        </w:tc>
        <w:tc>
          <w:tcPr>
            <w:tcW w:w="1401" w:type="dxa"/>
            <w:tcBorders>
              <w:top w:val="single" w:sz="4" w:space="0" w:color="000000"/>
              <w:bottom w:val="single" w:sz="10" w:space="0" w:color="000000"/>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Std. Dev.</w:t>
            </w:r>
          </w:p>
        </w:tc>
        <w:tc>
          <w:tcPr>
            <w:tcW w:w="1399" w:type="dxa"/>
            <w:tcBorders>
              <w:top w:val="single" w:sz="4" w:space="0" w:color="000000"/>
              <w:bottom w:val="single" w:sz="10" w:space="0" w:color="000000"/>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Min</w:t>
            </w:r>
          </w:p>
        </w:tc>
        <w:tc>
          <w:tcPr>
            <w:tcW w:w="1401" w:type="dxa"/>
            <w:tcBorders>
              <w:top w:val="single" w:sz="4" w:space="0" w:color="000000"/>
              <w:bottom w:val="single" w:sz="10" w:space="0" w:color="000000"/>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Max</w:t>
            </w:r>
          </w:p>
        </w:tc>
      </w:tr>
      <w:tr>
        <w:trPr/>
        <w:tc>
          <w:tcPr>
            <w:tcW w:w="2507" w:type="dxa"/>
            <w:tcBorders/>
          </w:tcPr>
          <w:p>
            <w:pPr>
              <w:pStyle w:val="Normal"/>
              <w:widowControl w:val="false"/>
              <w:spacing w:before="0" w:after="160"/>
              <w:rPr>
                <w:sz w:val="20"/>
                <w:szCs w:val="18"/>
              </w:rPr>
            </w:pPr>
            <w:r>
              <w:rPr>
                <w:sz w:val="20"/>
                <w:szCs w:val="18"/>
              </w:rPr>
              <w:t xml:space="preserve"> </w:t>
            </w:r>
            <w:r>
              <w:rPr>
                <w:sz w:val="20"/>
                <w:szCs w:val="18"/>
              </w:rPr>
              <w:t>politisktillit</w:t>
            </w:r>
          </w:p>
        </w:tc>
        <w:tc>
          <w:tcPr>
            <w:tcW w:w="801" w:type="dxa"/>
            <w:tcBorders/>
          </w:tcPr>
          <w:p>
            <w:pPr>
              <w:pStyle w:val="Normal"/>
              <w:widowControl w:val="false"/>
              <w:spacing w:before="0" w:after="160"/>
              <w:rPr>
                <w:sz w:val="20"/>
                <w:szCs w:val="18"/>
                <w:lang w:val="en-US"/>
              </w:rPr>
            </w:pPr>
            <w:r>
              <w:rPr>
                <w:sz w:val="20"/>
                <w:szCs w:val="18"/>
                <w:lang w:val="en-US"/>
              </w:rPr>
              <w:t>12781</w:t>
            </w:r>
          </w:p>
        </w:tc>
        <w:tc>
          <w:tcPr>
            <w:tcW w:w="1399" w:type="dxa"/>
            <w:tcBorders/>
          </w:tcPr>
          <w:p>
            <w:pPr>
              <w:pStyle w:val="Normal"/>
              <w:widowControl w:val="false"/>
              <w:spacing w:before="0" w:after="160"/>
              <w:rPr>
                <w:sz w:val="20"/>
                <w:szCs w:val="18"/>
                <w:lang w:val="en-US"/>
              </w:rPr>
            </w:pPr>
            <w:r>
              <w:rPr>
                <w:sz w:val="20"/>
                <w:szCs w:val="18"/>
                <w:lang w:val="en-US"/>
              </w:rPr>
              <w:t>2.514</w:t>
            </w:r>
          </w:p>
        </w:tc>
        <w:tc>
          <w:tcPr>
            <w:tcW w:w="1401" w:type="dxa"/>
            <w:tcBorders/>
          </w:tcPr>
          <w:p>
            <w:pPr>
              <w:pStyle w:val="Normal"/>
              <w:widowControl w:val="false"/>
              <w:spacing w:before="0" w:after="160"/>
              <w:rPr>
                <w:sz w:val="20"/>
                <w:szCs w:val="18"/>
                <w:lang w:val="en-US"/>
              </w:rPr>
            </w:pPr>
            <w:r>
              <w:rPr>
                <w:sz w:val="20"/>
                <w:szCs w:val="18"/>
                <w:lang w:val="en-US"/>
              </w:rPr>
              <w:t>1.011</w:t>
            </w:r>
          </w:p>
        </w:tc>
        <w:tc>
          <w:tcPr>
            <w:tcW w:w="1399" w:type="dxa"/>
            <w:tcBorders/>
          </w:tcPr>
          <w:p>
            <w:pPr>
              <w:pStyle w:val="Normal"/>
              <w:widowControl w:val="false"/>
              <w:spacing w:before="0" w:after="160"/>
              <w:rPr>
                <w:sz w:val="20"/>
                <w:szCs w:val="18"/>
                <w:lang w:val="en-US"/>
              </w:rPr>
            </w:pPr>
            <w:r>
              <w:rPr>
                <w:sz w:val="20"/>
                <w:szCs w:val="18"/>
                <w:lang w:val="en-US"/>
              </w:rPr>
              <w:t>1</w:t>
            </w:r>
          </w:p>
        </w:tc>
        <w:tc>
          <w:tcPr>
            <w:tcW w:w="1401" w:type="dxa"/>
            <w:tcBorders/>
          </w:tcPr>
          <w:p>
            <w:pPr>
              <w:pStyle w:val="Normal"/>
              <w:widowControl w:val="false"/>
              <w:spacing w:before="0" w:after="160"/>
              <w:rPr>
                <w:sz w:val="20"/>
                <w:szCs w:val="18"/>
                <w:lang w:val="en-US"/>
              </w:rPr>
            </w:pPr>
            <w:r>
              <w:rPr>
                <w:sz w:val="20"/>
                <w:szCs w:val="18"/>
                <w:lang w:val="en-US"/>
              </w:rPr>
              <w:t>4</w:t>
            </w:r>
          </w:p>
        </w:tc>
      </w:tr>
      <w:tr>
        <w:trPr/>
        <w:tc>
          <w:tcPr>
            <w:tcW w:w="2507" w:type="dxa"/>
            <w:tcBorders/>
          </w:tcPr>
          <w:p>
            <w:pPr>
              <w:pStyle w:val="Normal"/>
              <w:widowControl w:val="false"/>
              <w:spacing w:before="0" w:after="160"/>
              <w:rPr>
                <w:sz w:val="20"/>
                <w:szCs w:val="18"/>
              </w:rPr>
            </w:pPr>
            <w:r>
              <w:rPr>
                <w:sz w:val="20"/>
                <w:szCs w:val="18"/>
              </w:rPr>
              <w:t xml:space="preserve"> </w:t>
            </w:r>
            <w:r>
              <w:rPr>
                <w:sz w:val="20"/>
                <w:szCs w:val="18"/>
              </w:rPr>
              <w:t>polps</w:t>
            </w:r>
          </w:p>
        </w:tc>
        <w:tc>
          <w:tcPr>
            <w:tcW w:w="801" w:type="dxa"/>
            <w:tcBorders/>
          </w:tcPr>
          <w:p>
            <w:pPr>
              <w:pStyle w:val="Normal"/>
              <w:widowControl w:val="false"/>
              <w:spacing w:before="0" w:after="160"/>
              <w:rPr>
                <w:sz w:val="20"/>
                <w:szCs w:val="18"/>
                <w:lang w:val="en-US"/>
              </w:rPr>
            </w:pPr>
            <w:r>
              <w:rPr>
                <w:sz w:val="20"/>
                <w:szCs w:val="18"/>
                <w:lang w:val="en-US"/>
              </w:rPr>
              <w:t>12781</w:t>
            </w:r>
          </w:p>
        </w:tc>
        <w:tc>
          <w:tcPr>
            <w:tcW w:w="1399" w:type="dxa"/>
            <w:tcBorders/>
          </w:tcPr>
          <w:p>
            <w:pPr>
              <w:pStyle w:val="Normal"/>
              <w:widowControl w:val="false"/>
              <w:spacing w:before="0" w:after="160"/>
              <w:rPr>
                <w:sz w:val="20"/>
                <w:szCs w:val="18"/>
                <w:lang w:val="en-US"/>
              </w:rPr>
            </w:pPr>
            <w:r>
              <w:rPr>
                <w:sz w:val="20"/>
                <w:szCs w:val="18"/>
                <w:lang w:val="en-US"/>
              </w:rPr>
              <w:t>.488</w:t>
            </w:r>
          </w:p>
        </w:tc>
        <w:tc>
          <w:tcPr>
            <w:tcW w:w="1401" w:type="dxa"/>
            <w:tcBorders/>
          </w:tcPr>
          <w:p>
            <w:pPr>
              <w:pStyle w:val="Normal"/>
              <w:widowControl w:val="false"/>
              <w:spacing w:before="0" w:after="160"/>
              <w:rPr>
                <w:sz w:val="20"/>
                <w:szCs w:val="18"/>
                <w:lang w:val="en-US"/>
              </w:rPr>
            </w:pPr>
            <w:r>
              <w:rPr>
                <w:sz w:val="20"/>
                <w:szCs w:val="18"/>
                <w:lang w:val="en-US"/>
              </w:rPr>
              <w:t>.5</w:t>
            </w:r>
          </w:p>
        </w:tc>
        <w:tc>
          <w:tcPr>
            <w:tcW w:w="1399" w:type="dxa"/>
            <w:tcBorders/>
          </w:tcPr>
          <w:p>
            <w:pPr>
              <w:pStyle w:val="Normal"/>
              <w:widowControl w:val="false"/>
              <w:spacing w:before="0" w:after="160"/>
              <w:rPr>
                <w:sz w:val="20"/>
                <w:szCs w:val="18"/>
                <w:lang w:val="en-US"/>
              </w:rPr>
            </w:pPr>
            <w:r>
              <w:rPr>
                <w:sz w:val="20"/>
                <w:szCs w:val="18"/>
                <w:lang w:val="en-US"/>
              </w:rPr>
              <w:t>0</w:t>
            </w:r>
          </w:p>
        </w:tc>
        <w:tc>
          <w:tcPr>
            <w:tcW w:w="1401" w:type="dxa"/>
            <w:tcBorders/>
          </w:tcPr>
          <w:p>
            <w:pPr>
              <w:pStyle w:val="Normal"/>
              <w:widowControl w:val="false"/>
              <w:spacing w:before="0" w:after="160"/>
              <w:rPr>
                <w:sz w:val="20"/>
                <w:szCs w:val="18"/>
                <w:lang w:val="en-US"/>
              </w:rPr>
            </w:pPr>
            <w:r>
              <w:rPr>
                <w:sz w:val="20"/>
                <w:szCs w:val="18"/>
                <w:lang w:val="en-US"/>
              </w:rPr>
              <w:t>1</w:t>
            </w:r>
          </w:p>
        </w:tc>
      </w:tr>
      <w:tr>
        <w:trPr/>
        <w:tc>
          <w:tcPr>
            <w:tcW w:w="2507" w:type="dxa"/>
            <w:tcBorders/>
          </w:tcPr>
          <w:p>
            <w:pPr>
              <w:pStyle w:val="Normal"/>
              <w:widowControl w:val="false"/>
              <w:spacing w:before="0" w:after="160"/>
              <w:rPr>
                <w:sz w:val="20"/>
                <w:szCs w:val="18"/>
              </w:rPr>
            </w:pPr>
            <w:r>
              <w:rPr>
                <w:sz w:val="20"/>
                <w:szCs w:val="18"/>
              </w:rPr>
              <w:t xml:space="preserve"> </w:t>
            </w:r>
            <w:r>
              <w:rPr>
                <w:sz w:val="20"/>
                <w:szCs w:val="18"/>
              </w:rPr>
              <w:t>undertrykt</w:t>
            </w:r>
          </w:p>
        </w:tc>
        <w:tc>
          <w:tcPr>
            <w:tcW w:w="801" w:type="dxa"/>
            <w:tcBorders/>
          </w:tcPr>
          <w:p>
            <w:pPr>
              <w:pStyle w:val="Normal"/>
              <w:widowControl w:val="false"/>
              <w:spacing w:before="0" w:after="160"/>
              <w:rPr>
                <w:sz w:val="20"/>
                <w:szCs w:val="18"/>
                <w:lang w:val="en-US"/>
              </w:rPr>
            </w:pPr>
            <w:r>
              <w:rPr>
                <w:sz w:val="20"/>
                <w:szCs w:val="18"/>
                <w:lang w:val="en-US"/>
              </w:rPr>
              <w:t>12781</w:t>
            </w:r>
          </w:p>
        </w:tc>
        <w:tc>
          <w:tcPr>
            <w:tcW w:w="1399" w:type="dxa"/>
            <w:tcBorders/>
          </w:tcPr>
          <w:p>
            <w:pPr>
              <w:pStyle w:val="Normal"/>
              <w:widowControl w:val="false"/>
              <w:spacing w:before="0" w:after="160"/>
              <w:rPr>
                <w:sz w:val="20"/>
                <w:szCs w:val="18"/>
                <w:lang w:val="en-US"/>
              </w:rPr>
            </w:pPr>
            <w:r>
              <w:rPr>
                <w:sz w:val="20"/>
                <w:szCs w:val="18"/>
                <w:lang w:val="en-US"/>
              </w:rPr>
              <w:t>.387</w:t>
            </w:r>
          </w:p>
        </w:tc>
        <w:tc>
          <w:tcPr>
            <w:tcW w:w="1401" w:type="dxa"/>
            <w:tcBorders/>
          </w:tcPr>
          <w:p>
            <w:pPr>
              <w:pStyle w:val="Normal"/>
              <w:widowControl w:val="false"/>
              <w:spacing w:before="0" w:after="160"/>
              <w:rPr>
                <w:sz w:val="20"/>
                <w:szCs w:val="18"/>
                <w:lang w:val="en-US"/>
              </w:rPr>
            </w:pPr>
            <w:r>
              <w:rPr>
                <w:sz w:val="20"/>
                <w:szCs w:val="18"/>
                <w:lang w:val="en-US"/>
              </w:rPr>
              <w:t>.487</w:t>
            </w:r>
          </w:p>
        </w:tc>
        <w:tc>
          <w:tcPr>
            <w:tcW w:w="1399" w:type="dxa"/>
            <w:tcBorders/>
          </w:tcPr>
          <w:p>
            <w:pPr>
              <w:pStyle w:val="Normal"/>
              <w:widowControl w:val="false"/>
              <w:spacing w:before="0" w:after="160"/>
              <w:rPr>
                <w:sz w:val="20"/>
                <w:szCs w:val="18"/>
                <w:lang w:val="en-US"/>
              </w:rPr>
            </w:pPr>
            <w:r>
              <w:rPr>
                <w:sz w:val="20"/>
                <w:szCs w:val="18"/>
                <w:lang w:val="en-US"/>
              </w:rPr>
              <w:t>0</w:t>
            </w:r>
          </w:p>
        </w:tc>
        <w:tc>
          <w:tcPr>
            <w:tcW w:w="1401" w:type="dxa"/>
            <w:tcBorders/>
          </w:tcPr>
          <w:p>
            <w:pPr>
              <w:pStyle w:val="Normal"/>
              <w:widowControl w:val="false"/>
              <w:spacing w:before="0" w:after="160"/>
              <w:rPr>
                <w:sz w:val="20"/>
                <w:szCs w:val="18"/>
                <w:lang w:val="en-US"/>
              </w:rPr>
            </w:pPr>
            <w:r>
              <w:rPr>
                <w:sz w:val="20"/>
                <w:szCs w:val="18"/>
                <w:lang w:val="en-US"/>
              </w:rPr>
              <w:t>1</w:t>
            </w:r>
          </w:p>
        </w:tc>
      </w:tr>
      <w:tr>
        <w:trPr/>
        <w:tc>
          <w:tcPr>
            <w:tcW w:w="2507" w:type="dxa"/>
            <w:tcBorders/>
          </w:tcPr>
          <w:p>
            <w:pPr>
              <w:pStyle w:val="Normal"/>
              <w:widowControl w:val="false"/>
              <w:spacing w:before="0" w:after="160"/>
              <w:rPr>
                <w:sz w:val="20"/>
                <w:szCs w:val="18"/>
              </w:rPr>
            </w:pPr>
            <w:r>
              <w:rPr>
                <w:sz w:val="20"/>
                <w:szCs w:val="18"/>
              </w:rPr>
              <w:t xml:space="preserve"> </w:t>
            </w:r>
            <w:r>
              <w:rPr>
                <w:sz w:val="20"/>
                <w:szCs w:val="18"/>
              </w:rPr>
              <w:t>kvinne</w:t>
            </w:r>
          </w:p>
        </w:tc>
        <w:tc>
          <w:tcPr>
            <w:tcW w:w="801" w:type="dxa"/>
            <w:tcBorders/>
          </w:tcPr>
          <w:p>
            <w:pPr>
              <w:pStyle w:val="Normal"/>
              <w:widowControl w:val="false"/>
              <w:spacing w:before="0" w:after="160"/>
              <w:rPr>
                <w:sz w:val="20"/>
                <w:szCs w:val="18"/>
                <w:lang w:val="en-US"/>
              </w:rPr>
            </w:pPr>
            <w:r>
              <w:rPr>
                <w:sz w:val="20"/>
                <w:szCs w:val="18"/>
                <w:lang w:val="en-US"/>
              </w:rPr>
              <w:t>12781</w:t>
            </w:r>
          </w:p>
        </w:tc>
        <w:tc>
          <w:tcPr>
            <w:tcW w:w="1399" w:type="dxa"/>
            <w:tcBorders/>
          </w:tcPr>
          <w:p>
            <w:pPr>
              <w:pStyle w:val="Normal"/>
              <w:widowControl w:val="false"/>
              <w:spacing w:before="0" w:after="160"/>
              <w:rPr>
                <w:sz w:val="20"/>
                <w:szCs w:val="18"/>
                <w:lang w:val="en-US"/>
              </w:rPr>
            </w:pPr>
            <w:r>
              <w:rPr>
                <w:sz w:val="20"/>
                <w:szCs w:val="18"/>
                <w:lang w:val="en-US"/>
              </w:rPr>
              <w:t>.49</w:t>
            </w:r>
          </w:p>
        </w:tc>
        <w:tc>
          <w:tcPr>
            <w:tcW w:w="1401" w:type="dxa"/>
            <w:tcBorders/>
          </w:tcPr>
          <w:p>
            <w:pPr>
              <w:pStyle w:val="Normal"/>
              <w:widowControl w:val="false"/>
              <w:spacing w:before="0" w:after="160"/>
              <w:rPr>
                <w:sz w:val="20"/>
                <w:szCs w:val="18"/>
                <w:lang w:val="en-US"/>
              </w:rPr>
            </w:pPr>
            <w:r>
              <w:rPr>
                <w:sz w:val="20"/>
                <w:szCs w:val="18"/>
                <w:lang w:val="en-US"/>
              </w:rPr>
              <w:t>.5</w:t>
            </w:r>
          </w:p>
        </w:tc>
        <w:tc>
          <w:tcPr>
            <w:tcW w:w="1399" w:type="dxa"/>
            <w:tcBorders/>
          </w:tcPr>
          <w:p>
            <w:pPr>
              <w:pStyle w:val="Normal"/>
              <w:widowControl w:val="false"/>
              <w:spacing w:before="0" w:after="160"/>
              <w:rPr>
                <w:sz w:val="20"/>
                <w:szCs w:val="18"/>
                <w:lang w:val="en-US"/>
              </w:rPr>
            </w:pPr>
            <w:r>
              <w:rPr>
                <w:sz w:val="20"/>
                <w:szCs w:val="18"/>
                <w:lang w:val="en-US"/>
              </w:rPr>
              <w:t>0</w:t>
            </w:r>
          </w:p>
        </w:tc>
        <w:tc>
          <w:tcPr>
            <w:tcW w:w="1401" w:type="dxa"/>
            <w:tcBorders/>
          </w:tcPr>
          <w:p>
            <w:pPr>
              <w:pStyle w:val="Normal"/>
              <w:widowControl w:val="false"/>
              <w:spacing w:before="0" w:after="160"/>
              <w:rPr>
                <w:sz w:val="20"/>
                <w:szCs w:val="18"/>
                <w:lang w:val="en-US"/>
              </w:rPr>
            </w:pPr>
            <w:r>
              <w:rPr>
                <w:sz w:val="20"/>
                <w:szCs w:val="18"/>
                <w:lang w:val="en-US"/>
              </w:rPr>
              <w:t>1</w:t>
            </w:r>
          </w:p>
        </w:tc>
      </w:tr>
      <w:tr>
        <w:trPr/>
        <w:tc>
          <w:tcPr>
            <w:tcW w:w="2507" w:type="dxa"/>
            <w:tcBorders/>
          </w:tcPr>
          <w:p>
            <w:pPr>
              <w:pStyle w:val="Normal"/>
              <w:widowControl w:val="false"/>
              <w:spacing w:before="0" w:after="160"/>
              <w:rPr>
                <w:sz w:val="20"/>
                <w:szCs w:val="18"/>
              </w:rPr>
            </w:pPr>
            <w:r>
              <w:rPr>
                <w:sz w:val="20"/>
                <w:szCs w:val="18"/>
              </w:rPr>
              <w:t xml:space="preserve"> </w:t>
            </w:r>
            <w:r>
              <w:rPr>
                <w:sz w:val="20"/>
                <w:szCs w:val="18"/>
              </w:rPr>
              <w:t>alder</w:t>
            </w:r>
          </w:p>
        </w:tc>
        <w:tc>
          <w:tcPr>
            <w:tcW w:w="801" w:type="dxa"/>
            <w:tcBorders/>
          </w:tcPr>
          <w:p>
            <w:pPr>
              <w:pStyle w:val="Normal"/>
              <w:widowControl w:val="false"/>
              <w:spacing w:before="0" w:after="160"/>
              <w:rPr>
                <w:sz w:val="20"/>
                <w:szCs w:val="18"/>
                <w:lang w:val="en-US"/>
              </w:rPr>
            </w:pPr>
            <w:r>
              <w:rPr>
                <w:sz w:val="20"/>
                <w:szCs w:val="18"/>
                <w:lang w:val="en-US"/>
              </w:rPr>
              <w:t>12781</w:t>
            </w:r>
          </w:p>
        </w:tc>
        <w:tc>
          <w:tcPr>
            <w:tcW w:w="1399" w:type="dxa"/>
            <w:tcBorders/>
          </w:tcPr>
          <w:p>
            <w:pPr>
              <w:pStyle w:val="Normal"/>
              <w:widowControl w:val="false"/>
              <w:spacing w:before="0" w:after="160"/>
              <w:rPr>
                <w:sz w:val="20"/>
                <w:szCs w:val="18"/>
                <w:lang w:val="en-US"/>
              </w:rPr>
            </w:pPr>
            <w:r>
              <w:rPr>
                <w:sz w:val="20"/>
                <w:szCs w:val="18"/>
                <w:lang w:val="en-US"/>
              </w:rPr>
              <w:t>37.451</w:t>
            </w:r>
          </w:p>
        </w:tc>
        <w:tc>
          <w:tcPr>
            <w:tcW w:w="1401" w:type="dxa"/>
            <w:tcBorders/>
          </w:tcPr>
          <w:p>
            <w:pPr>
              <w:pStyle w:val="Normal"/>
              <w:widowControl w:val="false"/>
              <w:spacing w:before="0" w:after="160"/>
              <w:rPr>
                <w:sz w:val="20"/>
                <w:szCs w:val="18"/>
                <w:lang w:val="en-US"/>
              </w:rPr>
            </w:pPr>
            <w:r>
              <w:rPr>
                <w:sz w:val="20"/>
                <w:szCs w:val="18"/>
                <w:lang w:val="en-US"/>
              </w:rPr>
              <w:t>14.302</w:t>
            </w:r>
          </w:p>
        </w:tc>
        <w:tc>
          <w:tcPr>
            <w:tcW w:w="1399" w:type="dxa"/>
            <w:tcBorders/>
          </w:tcPr>
          <w:p>
            <w:pPr>
              <w:pStyle w:val="Normal"/>
              <w:widowControl w:val="false"/>
              <w:spacing w:before="0" w:after="160"/>
              <w:rPr>
                <w:sz w:val="20"/>
                <w:szCs w:val="18"/>
                <w:lang w:val="en-US"/>
              </w:rPr>
            </w:pPr>
            <w:r>
              <w:rPr>
                <w:sz w:val="20"/>
                <w:szCs w:val="18"/>
                <w:lang w:val="en-US"/>
              </w:rPr>
              <w:t>18</w:t>
            </w:r>
          </w:p>
        </w:tc>
        <w:tc>
          <w:tcPr>
            <w:tcW w:w="1401" w:type="dxa"/>
            <w:tcBorders/>
          </w:tcPr>
          <w:p>
            <w:pPr>
              <w:pStyle w:val="Normal"/>
              <w:widowControl w:val="false"/>
              <w:spacing w:before="0" w:after="160"/>
              <w:rPr>
                <w:sz w:val="20"/>
                <w:szCs w:val="18"/>
                <w:lang w:val="en-US"/>
              </w:rPr>
            </w:pPr>
            <w:r>
              <w:rPr>
                <w:sz w:val="20"/>
                <w:szCs w:val="18"/>
                <w:lang w:val="en-US"/>
              </w:rPr>
              <w:t>103</w:t>
            </w:r>
          </w:p>
        </w:tc>
      </w:tr>
      <w:tr>
        <w:trPr/>
        <w:tc>
          <w:tcPr>
            <w:tcW w:w="2507" w:type="dxa"/>
            <w:tcBorders/>
          </w:tcPr>
          <w:p>
            <w:pPr>
              <w:pStyle w:val="Normal"/>
              <w:widowControl w:val="false"/>
              <w:spacing w:before="0" w:after="160"/>
              <w:rPr>
                <w:sz w:val="20"/>
                <w:szCs w:val="18"/>
              </w:rPr>
            </w:pPr>
            <w:r>
              <w:rPr>
                <w:sz w:val="20"/>
                <w:szCs w:val="18"/>
              </w:rPr>
              <w:t xml:space="preserve"> </w:t>
            </w:r>
            <w:r>
              <w:rPr>
                <w:sz w:val="20"/>
                <w:szCs w:val="18"/>
              </w:rPr>
              <w:t>utdanning</w:t>
            </w:r>
          </w:p>
        </w:tc>
        <w:tc>
          <w:tcPr>
            <w:tcW w:w="801" w:type="dxa"/>
            <w:tcBorders/>
          </w:tcPr>
          <w:p>
            <w:pPr>
              <w:pStyle w:val="Normal"/>
              <w:widowControl w:val="false"/>
              <w:spacing w:before="0" w:after="160"/>
              <w:rPr>
                <w:sz w:val="20"/>
                <w:szCs w:val="18"/>
                <w:lang w:val="en-US"/>
              </w:rPr>
            </w:pPr>
            <w:r>
              <w:rPr>
                <w:sz w:val="20"/>
                <w:szCs w:val="18"/>
                <w:lang w:val="en-US"/>
              </w:rPr>
              <w:t>12781</w:t>
            </w:r>
          </w:p>
        </w:tc>
        <w:tc>
          <w:tcPr>
            <w:tcW w:w="1399" w:type="dxa"/>
            <w:tcBorders/>
          </w:tcPr>
          <w:p>
            <w:pPr>
              <w:pStyle w:val="Normal"/>
              <w:widowControl w:val="false"/>
              <w:spacing w:before="0" w:after="160"/>
              <w:rPr>
                <w:sz w:val="20"/>
                <w:szCs w:val="18"/>
                <w:lang w:val="en-US"/>
              </w:rPr>
            </w:pPr>
            <w:r>
              <w:rPr>
                <w:sz w:val="20"/>
                <w:szCs w:val="18"/>
                <w:lang w:val="en-US"/>
              </w:rPr>
              <w:t>1.46</w:t>
            </w:r>
          </w:p>
        </w:tc>
        <w:tc>
          <w:tcPr>
            <w:tcW w:w="1401" w:type="dxa"/>
            <w:tcBorders/>
          </w:tcPr>
          <w:p>
            <w:pPr>
              <w:pStyle w:val="Normal"/>
              <w:widowControl w:val="false"/>
              <w:spacing w:before="0" w:after="160"/>
              <w:rPr>
                <w:sz w:val="20"/>
                <w:szCs w:val="18"/>
                <w:lang w:val="en-US"/>
              </w:rPr>
            </w:pPr>
            <w:r>
              <w:rPr>
                <w:sz w:val="20"/>
                <w:szCs w:val="18"/>
                <w:lang w:val="en-US"/>
              </w:rPr>
              <w:t>1.016</w:t>
            </w:r>
          </w:p>
        </w:tc>
        <w:tc>
          <w:tcPr>
            <w:tcW w:w="1399" w:type="dxa"/>
            <w:tcBorders/>
          </w:tcPr>
          <w:p>
            <w:pPr>
              <w:pStyle w:val="Normal"/>
              <w:widowControl w:val="false"/>
              <w:spacing w:before="0" w:after="160"/>
              <w:rPr>
                <w:sz w:val="20"/>
                <w:szCs w:val="18"/>
                <w:lang w:val="en-US"/>
              </w:rPr>
            </w:pPr>
            <w:r>
              <w:rPr>
                <w:sz w:val="20"/>
                <w:szCs w:val="18"/>
                <w:lang w:val="en-US"/>
              </w:rPr>
              <w:t>0</w:t>
            </w:r>
          </w:p>
        </w:tc>
        <w:tc>
          <w:tcPr>
            <w:tcW w:w="1401" w:type="dxa"/>
            <w:tcBorders/>
          </w:tcPr>
          <w:p>
            <w:pPr>
              <w:pStyle w:val="Normal"/>
              <w:widowControl w:val="false"/>
              <w:spacing w:before="0" w:after="160"/>
              <w:rPr>
                <w:sz w:val="20"/>
                <w:szCs w:val="18"/>
                <w:lang w:val="en-US"/>
              </w:rPr>
            </w:pPr>
            <w:r>
              <w:rPr>
                <w:sz w:val="20"/>
                <w:szCs w:val="18"/>
                <w:lang w:val="en-US"/>
              </w:rPr>
              <w:t>3</w:t>
            </w:r>
          </w:p>
        </w:tc>
      </w:tr>
      <w:tr>
        <w:trPr/>
        <w:tc>
          <w:tcPr>
            <w:tcW w:w="2507" w:type="dxa"/>
            <w:tcBorders/>
          </w:tcPr>
          <w:p>
            <w:pPr>
              <w:pStyle w:val="Normal"/>
              <w:widowControl w:val="false"/>
              <w:spacing w:before="0" w:after="160"/>
              <w:rPr>
                <w:sz w:val="20"/>
                <w:szCs w:val="18"/>
              </w:rPr>
            </w:pPr>
            <w:r>
              <w:rPr>
                <w:sz w:val="20"/>
                <w:szCs w:val="18"/>
              </w:rPr>
              <w:t xml:space="preserve"> </w:t>
            </w:r>
            <w:r>
              <w:rPr>
                <w:sz w:val="20"/>
                <w:szCs w:val="18"/>
              </w:rPr>
              <w:t>uteninntekt</w:t>
            </w:r>
          </w:p>
        </w:tc>
        <w:tc>
          <w:tcPr>
            <w:tcW w:w="801" w:type="dxa"/>
            <w:tcBorders/>
          </w:tcPr>
          <w:p>
            <w:pPr>
              <w:pStyle w:val="Normal"/>
              <w:widowControl w:val="false"/>
              <w:spacing w:before="0" w:after="160"/>
              <w:rPr>
                <w:sz w:val="20"/>
                <w:szCs w:val="18"/>
                <w:lang w:val="en-US"/>
              </w:rPr>
            </w:pPr>
            <w:r>
              <w:rPr>
                <w:sz w:val="20"/>
                <w:szCs w:val="18"/>
                <w:lang w:val="en-US"/>
              </w:rPr>
              <w:t>12781</w:t>
            </w:r>
          </w:p>
        </w:tc>
        <w:tc>
          <w:tcPr>
            <w:tcW w:w="1399" w:type="dxa"/>
            <w:tcBorders/>
          </w:tcPr>
          <w:p>
            <w:pPr>
              <w:pStyle w:val="Normal"/>
              <w:widowControl w:val="false"/>
              <w:spacing w:before="0" w:after="160"/>
              <w:rPr>
                <w:sz w:val="20"/>
                <w:szCs w:val="18"/>
                <w:lang w:val="en-US"/>
              </w:rPr>
            </w:pPr>
            <w:r>
              <w:rPr>
                <w:sz w:val="20"/>
                <w:szCs w:val="18"/>
                <w:lang w:val="en-US"/>
              </w:rPr>
              <w:t>.641</w:t>
            </w:r>
          </w:p>
        </w:tc>
        <w:tc>
          <w:tcPr>
            <w:tcW w:w="1401" w:type="dxa"/>
            <w:tcBorders/>
          </w:tcPr>
          <w:p>
            <w:pPr>
              <w:pStyle w:val="Normal"/>
              <w:widowControl w:val="false"/>
              <w:spacing w:before="0" w:after="160"/>
              <w:rPr>
                <w:sz w:val="20"/>
                <w:szCs w:val="18"/>
                <w:lang w:val="en-US"/>
              </w:rPr>
            </w:pPr>
            <w:r>
              <w:rPr>
                <w:sz w:val="20"/>
                <w:szCs w:val="18"/>
                <w:lang w:val="en-US"/>
              </w:rPr>
              <w:t>.48</w:t>
            </w:r>
          </w:p>
        </w:tc>
        <w:tc>
          <w:tcPr>
            <w:tcW w:w="1399" w:type="dxa"/>
            <w:tcBorders/>
          </w:tcPr>
          <w:p>
            <w:pPr>
              <w:pStyle w:val="Normal"/>
              <w:widowControl w:val="false"/>
              <w:spacing w:before="0" w:after="160"/>
              <w:rPr>
                <w:sz w:val="20"/>
                <w:szCs w:val="18"/>
                <w:lang w:val="en-US"/>
              </w:rPr>
            </w:pPr>
            <w:r>
              <w:rPr>
                <w:sz w:val="20"/>
                <w:szCs w:val="18"/>
                <w:lang w:val="en-US"/>
              </w:rPr>
              <w:t>0</w:t>
            </w:r>
          </w:p>
        </w:tc>
        <w:tc>
          <w:tcPr>
            <w:tcW w:w="1401" w:type="dxa"/>
            <w:tcBorders/>
          </w:tcPr>
          <w:p>
            <w:pPr>
              <w:pStyle w:val="Normal"/>
              <w:widowControl w:val="false"/>
              <w:spacing w:before="0" w:after="160"/>
              <w:rPr>
                <w:sz w:val="20"/>
                <w:szCs w:val="18"/>
                <w:lang w:val="en-US"/>
              </w:rPr>
            </w:pPr>
            <w:r>
              <w:rPr>
                <w:sz w:val="20"/>
                <w:szCs w:val="18"/>
                <w:lang w:val="en-US"/>
              </w:rPr>
              <w:t>1</w:t>
            </w:r>
          </w:p>
        </w:tc>
      </w:tr>
      <w:tr>
        <w:trPr/>
        <w:tc>
          <w:tcPr>
            <w:tcW w:w="8908" w:type="dxa"/>
            <w:gridSpan w:val="6"/>
            <w:tcBorders>
              <w:top w:val="single" w:sz="6" w:space="0" w:color="000000"/>
            </w:tcBorders>
          </w:tcPr>
          <w:p>
            <w:pPr>
              <w:pStyle w:val="Normal"/>
              <w:widowControl w:val="false"/>
              <w:rPr>
                <w:sz w:val="20"/>
                <w:szCs w:val="18"/>
                <w:lang w:val="en-US"/>
              </w:rPr>
            </w:pPr>
            <w:r>
              <w:rPr>
                <w:sz w:val="20"/>
                <w:szCs w:val="18"/>
                <w:lang w:val="en-US"/>
              </w:rPr>
            </w:r>
          </w:p>
          <w:p>
            <w:pPr>
              <w:pStyle w:val="Normal"/>
              <w:widowControl w:val="false"/>
              <w:spacing w:before="0" w:after="160"/>
              <w:rPr>
                <w:sz w:val="20"/>
                <w:szCs w:val="18"/>
                <w:lang w:val="en-US"/>
              </w:rPr>
            </w:pPr>
            <w:r>
              <w:rPr>
                <w:sz w:val="20"/>
                <w:szCs w:val="18"/>
                <w:lang w:val="en-US"/>
              </w:rPr>
            </w:r>
          </w:p>
        </w:tc>
      </w:tr>
    </w:tbl>
    <w:p>
      <w:pPr>
        <w:pStyle w:val="Normal"/>
        <w:rPr>
          <w:rFonts w:cs="Times New Roman"/>
          <w:i/>
          <w:i/>
          <w:iCs/>
          <w:sz w:val="22"/>
          <w:lang w:val="en-US"/>
        </w:rPr>
      </w:pPr>
      <w:r>
        <w:rPr>
          <w:rFonts w:cs="Times New Roman"/>
          <w:i/>
          <w:iCs/>
          <w:sz w:val="22"/>
          <w:lang w:val="en-US"/>
        </w:rPr>
        <w:t xml:space="preserve">Tabell 14: Variabeloversikt før inkludering av undertrykte grupper </w:t>
      </w:r>
    </w:p>
    <w:tbl>
      <w:tblPr>
        <w:tblW w:w="8908" w:type="dxa"/>
        <w:jc w:val="left"/>
        <w:tblInd w:w="0" w:type="dxa"/>
        <w:tblLayout w:type="fixed"/>
        <w:tblCellMar>
          <w:top w:w="0" w:type="dxa"/>
          <w:left w:w="108" w:type="dxa"/>
          <w:bottom w:w="0" w:type="dxa"/>
          <w:right w:w="108" w:type="dxa"/>
        </w:tblCellMar>
      </w:tblPr>
      <w:tblGrid>
        <w:gridCol w:w="2507"/>
        <w:gridCol w:w="801"/>
        <w:gridCol w:w="1399"/>
        <w:gridCol w:w="1401"/>
        <w:gridCol w:w="1399"/>
        <w:gridCol w:w="1401"/>
      </w:tblGrid>
      <w:tr>
        <w:trPr/>
        <w:tc>
          <w:tcPr>
            <w:tcW w:w="2507" w:type="dxa"/>
            <w:tcBorders>
              <w:top w:val="single" w:sz="4" w:space="0" w:color="000000"/>
              <w:bottom w:val="single" w:sz="10" w:space="0" w:color="000000"/>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Variable</w:t>
            </w:r>
          </w:p>
        </w:tc>
        <w:tc>
          <w:tcPr>
            <w:tcW w:w="801" w:type="dxa"/>
            <w:tcBorders>
              <w:top w:val="single" w:sz="4" w:space="0" w:color="000000"/>
              <w:bottom w:val="single" w:sz="10" w:space="0" w:color="000000"/>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Obs</w:t>
            </w:r>
          </w:p>
        </w:tc>
        <w:tc>
          <w:tcPr>
            <w:tcW w:w="1399" w:type="dxa"/>
            <w:tcBorders>
              <w:top w:val="single" w:sz="4" w:space="0" w:color="000000"/>
              <w:bottom w:val="single" w:sz="10" w:space="0" w:color="000000"/>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Mean</w:t>
            </w:r>
          </w:p>
        </w:tc>
        <w:tc>
          <w:tcPr>
            <w:tcW w:w="1401" w:type="dxa"/>
            <w:tcBorders>
              <w:top w:val="single" w:sz="4" w:space="0" w:color="000000"/>
              <w:bottom w:val="single" w:sz="10" w:space="0" w:color="000000"/>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Std. Dev.</w:t>
            </w:r>
          </w:p>
        </w:tc>
        <w:tc>
          <w:tcPr>
            <w:tcW w:w="1399" w:type="dxa"/>
            <w:tcBorders>
              <w:top w:val="single" w:sz="4" w:space="0" w:color="000000"/>
              <w:bottom w:val="single" w:sz="10" w:space="0" w:color="000000"/>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Min</w:t>
            </w:r>
          </w:p>
        </w:tc>
        <w:tc>
          <w:tcPr>
            <w:tcW w:w="1401" w:type="dxa"/>
            <w:tcBorders>
              <w:top w:val="single" w:sz="4" w:space="0" w:color="000000"/>
              <w:bottom w:val="single" w:sz="10" w:space="0" w:color="000000"/>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Max</w:t>
            </w:r>
          </w:p>
        </w:tc>
      </w:tr>
      <w:tr>
        <w:trPr/>
        <w:tc>
          <w:tcPr>
            <w:tcW w:w="2507" w:type="dxa"/>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politisktillit</w:t>
            </w:r>
          </w:p>
        </w:tc>
        <w:tc>
          <w:tcPr>
            <w:tcW w:w="801" w:type="dxa"/>
            <w:tcBorders/>
          </w:tcPr>
          <w:p>
            <w:pPr>
              <w:pStyle w:val="Normal"/>
              <w:widowControl w:val="false"/>
              <w:spacing w:before="0" w:after="160"/>
              <w:rPr>
                <w:rFonts w:cs="Times New Roman"/>
                <w:sz w:val="20"/>
                <w:szCs w:val="20"/>
                <w:lang w:val="en-US"/>
              </w:rPr>
            </w:pPr>
            <w:r>
              <w:rPr>
                <w:rFonts w:cs="Times New Roman"/>
                <w:sz w:val="20"/>
                <w:szCs w:val="20"/>
                <w:lang w:val="en-US"/>
              </w:rPr>
              <w:t>29485</w:t>
            </w:r>
          </w:p>
        </w:tc>
        <w:tc>
          <w:tcPr>
            <w:tcW w:w="1399" w:type="dxa"/>
            <w:tcBorders/>
          </w:tcPr>
          <w:p>
            <w:pPr>
              <w:pStyle w:val="Normal"/>
              <w:widowControl w:val="false"/>
              <w:spacing w:before="0" w:after="160"/>
              <w:rPr>
                <w:rFonts w:cs="Times New Roman"/>
                <w:sz w:val="20"/>
                <w:szCs w:val="20"/>
                <w:lang w:val="en-US"/>
              </w:rPr>
            </w:pPr>
            <w:r>
              <w:rPr>
                <w:rFonts w:cs="Times New Roman"/>
                <w:sz w:val="20"/>
                <w:szCs w:val="20"/>
                <w:lang w:val="en-US"/>
              </w:rPr>
              <w:t>2.577</w:t>
            </w:r>
          </w:p>
        </w:tc>
        <w:tc>
          <w:tcPr>
            <w:tcW w:w="1401" w:type="dxa"/>
            <w:tcBorders/>
          </w:tcPr>
          <w:p>
            <w:pPr>
              <w:pStyle w:val="Normal"/>
              <w:widowControl w:val="false"/>
              <w:spacing w:before="0" w:after="160"/>
              <w:rPr>
                <w:rFonts w:cs="Times New Roman"/>
                <w:sz w:val="20"/>
                <w:szCs w:val="20"/>
                <w:lang w:val="en-US"/>
              </w:rPr>
            </w:pPr>
            <w:r>
              <w:rPr>
                <w:rFonts w:cs="Times New Roman"/>
                <w:sz w:val="20"/>
                <w:szCs w:val="20"/>
                <w:lang w:val="en-US"/>
              </w:rPr>
              <w:t>.989</w:t>
            </w:r>
          </w:p>
        </w:tc>
        <w:tc>
          <w:tcPr>
            <w:tcW w:w="1399" w:type="dxa"/>
            <w:tcBorders/>
          </w:tcPr>
          <w:p>
            <w:pPr>
              <w:pStyle w:val="Normal"/>
              <w:widowControl w:val="false"/>
              <w:spacing w:before="0" w:after="160"/>
              <w:rPr>
                <w:rFonts w:cs="Times New Roman"/>
                <w:sz w:val="20"/>
                <w:szCs w:val="20"/>
                <w:lang w:val="en-US"/>
              </w:rPr>
            </w:pPr>
            <w:r>
              <w:rPr>
                <w:rFonts w:cs="Times New Roman"/>
                <w:sz w:val="20"/>
                <w:szCs w:val="20"/>
                <w:lang w:val="en-US"/>
              </w:rPr>
              <w:t>1</w:t>
            </w:r>
          </w:p>
        </w:tc>
        <w:tc>
          <w:tcPr>
            <w:tcW w:w="1401" w:type="dxa"/>
            <w:tcBorders/>
          </w:tcPr>
          <w:p>
            <w:pPr>
              <w:pStyle w:val="Normal"/>
              <w:widowControl w:val="false"/>
              <w:spacing w:before="0" w:after="160"/>
              <w:rPr>
                <w:rFonts w:cs="Times New Roman"/>
                <w:sz w:val="20"/>
                <w:szCs w:val="20"/>
                <w:lang w:val="en-US"/>
              </w:rPr>
            </w:pPr>
            <w:r>
              <w:rPr>
                <w:rFonts w:cs="Times New Roman"/>
                <w:sz w:val="20"/>
                <w:szCs w:val="20"/>
                <w:lang w:val="en-US"/>
              </w:rPr>
              <w:t>4</w:t>
            </w:r>
          </w:p>
        </w:tc>
      </w:tr>
      <w:tr>
        <w:trPr/>
        <w:tc>
          <w:tcPr>
            <w:tcW w:w="2507" w:type="dxa"/>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kvinne</w:t>
            </w:r>
          </w:p>
        </w:tc>
        <w:tc>
          <w:tcPr>
            <w:tcW w:w="801" w:type="dxa"/>
            <w:tcBorders/>
          </w:tcPr>
          <w:p>
            <w:pPr>
              <w:pStyle w:val="Normal"/>
              <w:widowControl w:val="false"/>
              <w:spacing w:before="0" w:after="160"/>
              <w:rPr>
                <w:rFonts w:cs="Times New Roman"/>
                <w:sz w:val="20"/>
                <w:szCs w:val="20"/>
                <w:lang w:val="en-US"/>
              </w:rPr>
            </w:pPr>
            <w:r>
              <w:rPr>
                <w:rFonts w:cs="Times New Roman"/>
                <w:sz w:val="20"/>
                <w:szCs w:val="20"/>
                <w:lang w:val="en-US"/>
              </w:rPr>
              <w:t>29485</w:t>
            </w:r>
          </w:p>
        </w:tc>
        <w:tc>
          <w:tcPr>
            <w:tcW w:w="1399" w:type="dxa"/>
            <w:tcBorders/>
          </w:tcPr>
          <w:p>
            <w:pPr>
              <w:pStyle w:val="Normal"/>
              <w:widowControl w:val="false"/>
              <w:spacing w:before="0" w:after="160"/>
              <w:rPr>
                <w:rFonts w:cs="Times New Roman"/>
                <w:sz w:val="20"/>
                <w:szCs w:val="20"/>
                <w:lang w:val="en-US"/>
              </w:rPr>
            </w:pPr>
            <w:r>
              <w:rPr>
                <w:rFonts w:cs="Times New Roman"/>
                <w:sz w:val="20"/>
                <w:szCs w:val="20"/>
                <w:lang w:val="en-US"/>
              </w:rPr>
              <w:t>.491</w:t>
            </w:r>
          </w:p>
        </w:tc>
        <w:tc>
          <w:tcPr>
            <w:tcW w:w="1401" w:type="dxa"/>
            <w:tcBorders/>
          </w:tcPr>
          <w:p>
            <w:pPr>
              <w:pStyle w:val="Normal"/>
              <w:widowControl w:val="false"/>
              <w:spacing w:before="0" w:after="160"/>
              <w:rPr>
                <w:rFonts w:cs="Times New Roman"/>
                <w:sz w:val="20"/>
                <w:szCs w:val="20"/>
                <w:lang w:val="en-US"/>
              </w:rPr>
            </w:pPr>
            <w:r>
              <w:rPr>
                <w:rFonts w:cs="Times New Roman"/>
                <w:sz w:val="20"/>
                <w:szCs w:val="20"/>
                <w:lang w:val="en-US"/>
              </w:rPr>
              <w:t>.5</w:t>
            </w:r>
          </w:p>
        </w:tc>
        <w:tc>
          <w:tcPr>
            <w:tcW w:w="1399" w:type="dxa"/>
            <w:tcBorders/>
          </w:tcPr>
          <w:p>
            <w:pPr>
              <w:pStyle w:val="Normal"/>
              <w:widowControl w:val="false"/>
              <w:spacing w:before="0" w:after="160"/>
              <w:rPr>
                <w:rFonts w:cs="Times New Roman"/>
                <w:sz w:val="20"/>
                <w:szCs w:val="20"/>
                <w:lang w:val="en-US"/>
              </w:rPr>
            </w:pPr>
            <w:r>
              <w:rPr>
                <w:rFonts w:cs="Times New Roman"/>
                <w:sz w:val="20"/>
                <w:szCs w:val="20"/>
                <w:lang w:val="en-US"/>
              </w:rPr>
              <w:t>0</w:t>
            </w:r>
          </w:p>
        </w:tc>
        <w:tc>
          <w:tcPr>
            <w:tcW w:w="1401" w:type="dxa"/>
            <w:tcBorders/>
          </w:tcPr>
          <w:p>
            <w:pPr>
              <w:pStyle w:val="Normal"/>
              <w:widowControl w:val="false"/>
              <w:spacing w:before="0" w:after="160"/>
              <w:rPr>
                <w:rFonts w:cs="Times New Roman"/>
                <w:sz w:val="20"/>
                <w:szCs w:val="20"/>
                <w:lang w:val="en-US"/>
              </w:rPr>
            </w:pPr>
            <w:r>
              <w:rPr>
                <w:rFonts w:cs="Times New Roman"/>
                <w:sz w:val="20"/>
                <w:szCs w:val="20"/>
                <w:lang w:val="en-US"/>
              </w:rPr>
              <w:t>1</w:t>
            </w:r>
          </w:p>
        </w:tc>
      </w:tr>
      <w:tr>
        <w:trPr/>
        <w:tc>
          <w:tcPr>
            <w:tcW w:w="2507" w:type="dxa"/>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polps</w:t>
            </w:r>
          </w:p>
        </w:tc>
        <w:tc>
          <w:tcPr>
            <w:tcW w:w="801" w:type="dxa"/>
            <w:tcBorders/>
          </w:tcPr>
          <w:p>
            <w:pPr>
              <w:pStyle w:val="Normal"/>
              <w:widowControl w:val="false"/>
              <w:spacing w:before="0" w:after="160"/>
              <w:rPr>
                <w:rFonts w:cs="Times New Roman"/>
                <w:sz w:val="20"/>
                <w:szCs w:val="20"/>
                <w:lang w:val="en-US"/>
              </w:rPr>
            </w:pPr>
            <w:r>
              <w:rPr>
                <w:rFonts w:cs="Times New Roman"/>
                <w:sz w:val="20"/>
                <w:szCs w:val="20"/>
                <w:lang w:val="en-US"/>
              </w:rPr>
              <w:t>29485</w:t>
            </w:r>
          </w:p>
        </w:tc>
        <w:tc>
          <w:tcPr>
            <w:tcW w:w="1399" w:type="dxa"/>
            <w:tcBorders/>
          </w:tcPr>
          <w:p>
            <w:pPr>
              <w:pStyle w:val="Normal"/>
              <w:widowControl w:val="false"/>
              <w:spacing w:before="0" w:after="160"/>
              <w:rPr>
                <w:rFonts w:cs="Times New Roman"/>
                <w:sz w:val="20"/>
                <w:szCs w:val="20"/>
                <w:lang w:val="en-US"/>
              </w:rPr>
            </w:pPr>
            <w:r>
              <w:rPr>
                <w:rFonts w:cs="Times New Roman"/>
                <w:sz w:val="20"/>
                <w:szCs w:val="20"/>
                <w:lang w:val="en-US"/>
              </w:rPr>
              <w:t>.475</w:t>
            </w:r>
          </w:p>
        </w:tc>
        <w:tc>
          <w:tcPr>
            <w:tcW w:w="1401" w:type="dxa"/>
            <w:tcBorders/>
          </w:tcPr>
          <w:p>
            <w:pPr>
              <w:pStyle w:val="Normal"/>
              <w:widowControl w:val="false"/>
              <w:spacing w:before="0" w:after="160"/>
              <w:rPr>
                <w:rFonts w:cs="Times New Roman"/>
                <w:sz w:val="20"/>
                <w:szCs w:val="20"/>
                <w:lang w:val="en-US"/>
              </w:rPr>
            </w:pPr>
            <w:r>
              <w:rPr>
                <w:rFonts w:cs="Times New Roman"/>
                <w:sz w:val="20"/>
                <w:szCs w:val="20"/>
                <w:lang w:val="en-US"/>
              </w:rPr>
              <w:t>.499</w:t>
            </w:r>
          </w:p>
        </w:tc>
        <w:tc>
          <w:tcPr>
            <w:tcW w:w="1399" w:type="dxa"/>
            <w:tcBorders/>
          </w:tcPr>
          <w:p>
            <w:pPr>
              <w:pStyle w:val="Normal"/>
              <w:widowControl w:val="false"/>
              <w:spacing w:before="0" w:after="160"/>
              <w:rPr>
                <w:rFonts w:cs="Times New Roman"/>
                <w:sz w:val="20"/>
                <w:szCs w:val="20"/>
                <w:lang w:val="en-US"/>
              </w:rPr>
            </w:pPr>
            <w:r>
              <w:rPr>
                <w:rFonts w:cs="Times New Roman"/>
                <w:sz w:val="20"/>
                <w:szCs w:val="20"/>
                <w:lang w:val="en-US"/>
              </w:rPr>
              <w:t>0</w:t>
            </w:r>
          </w:p>
        </w:tc>
        <w:tc>
          <w:tcPr>
            <w:tcW w:w="1401" w:type="dxa"/>
            <w:tcBorders/>
          </w:tcPr>
          <w:p>
            <w:pPr>
              <w:pStyle w:val="Normal"/>
              <w:widowControl w:val="false"/>
              <w:spacing w:before="0" w:after="160"/>
              <w:rPr>
                <w:rFonts w:cs="Times New Roman"/>
                <w:sz w:val="20"/>
                <w:szCs w:val="20"/>
                <w:lang w:val="en-US"/>
              </w:rPr>
            </w:pPr>
            <w:r>
              <w:rPr>
                <w:rFonts w:cs="Times New Roman"/>
                <w:sz w:val="20"/>
                <w:szCs w:val="20"/>
                <w:lang w:val="en-US"/>
              </w:rPr>
              <w:t>1</w:t>
            </w:r>
          </w:p>
        </w:tc>
      </w:tr>
      <w:tr>
        <w:trPr/>
        <w:tc>
          <w:tcPr>
            <w:tcW w:w="2507" w:type="dxa"/>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closedpr</w:t>
            </w:r>
          </w:p>
        </w:tc>
        <w:tc>
          <w:tcPr>
            <w:tcW w:w="801" w:type="dxa"/>
            <w:tcBorders/>
          </w:tcPr>
          <w:p>
            <w:pPr>
              <w:pStyle w:val="Normal"/>
              <w:widowControl w:val="false"/>
              <w:spacing w:before="0" w:after="160"/>
              <w:rPr>
                <w:rFonts w:cs="Times New Roman"/>
                <w:sz w:val="20"/>
                <w:szCs w:val="20"/>
                <w:lang w:val="en-US"/>
              </w:rPr>
            </w:pPr>
            <w:r>
              <w:rPr>
                <w:rFonts w:cs="Times New Roman"/>
                <w:sz w:val="20"/>
                <w:szCs w:val="20"/>
                <w:lang w:val="en-US"/>
              </w:rPr>
              <w:t>29485</w:t>
            </w:r>
          </w:p>
        </w:tc>
        <w:tc>
          <w:tcPr>
            <w:tcW w:w="1399" w:type="dxa"/>
            <w:tcBorders/>
          </w:tcPr>
          <w:p>
            <w:pPr>
              <w:pStyle w:val="Normal"/>
              <w:widowControl w:val="false"/>
              <w:spacing w:before="0" w:after="160"/>
              <w:rPr>
                <w:rFonts w:cs="Times New Roman"/>
                <w:sz w:val="20"/>
                <w:szCs w:val="20"/>
                <w:lang w:val="en-US"/>
              </w:rPr>
            </w:pPr>
            <w:r>
              <w:rPr>
                <w:rFonts w:cs="Times New Roman"/>
                <w:sz w:val="20"/>
                <w:szCs w:val="20"/>
                <w:lang w:val="en-US"/>
              </w:rPr>
              <w:t>.325</w:t>
            </w:r>
          </w:p>
        </w:tc>
        <w:tc>
          <w:tcPr>
            <w:tcW w:w="1401" w:type="dxa"/>
            <w:tcBorders/>
          </w:tcPr>
          <w:p>
            <w:pPr>
              <w:pStyle w:val="Normal"/>
              <w:widowControl w:val="false"/>
              <w:spacing w:before="0" w:after="160"/>
              <w:rPr>
                <w:rFonts w:cs="Times New Roman"/>
                <w:sz w:val="20"/>
                <w:szCs w:val="20"/>
                <w:lang w:val="en-US"/>
              </w:rPr>
            </w:pPr>
            <w:r>
              <w:rPr>
                <w:rFonts w:cs="Times New Roman"/>
                <w:sz w:val="20"/>
                <w:szCs w:val="20"/>
                <w:lang w:val="en-US"/>
              </w:rPr>
              <w:t>.468</w:t>
            </w:r>
          </w:p>
        </w:tc>
        <w:tc>
          <w:tcPr>
            <w:tcW w:w="1399" w:type="dxa"/>
            <w:tcBorders/>
          </w:tcPr>
          <w:p>
            <w:pPr>
              <w:pStyle w:val="Normal"/>
              <w:widowControl w:val="false"/>
              <w:spacing w:before="0" w:after="160"/>
              <w:rPr>
                <w:rFonts w:cs="Times New Roman"/>
                <w:sz w:val="20"/>
                <w:szCs w:val="20"/>
                <w:lang w:val="en-US"/>
              </w:rPr>
            </w:pPr>
            <w:r>
              <w:rPr>
                <w:rFonts w:cs="Times New Roman"/>
                <w:sz w:val="20"/>
                <w:szCs w:val="20"/>
                <w:lang w:val="en-US"/>
              </w:rPr>
              <w:t>0</w:t>
            </w:r>
          </w:p>
        </w:tc>
        <w:tc>
          <w:tcPr>
            <w:tcW w:w="1401" w:type="dxa"/>
            <w:tcBorders/>
          </w:tcPr>
          <w:p>
            <w:pPr>
              <w:pStyle w:val="Normal"/>
              <w:widowControl w:val="false"/>
              <w:spacing w:before="0" w:after="160"/>
              <w:rPr>
                <w:rFonts w:cs="Times New Roman"/>
                <w:sz w:val="20"/>
                <w:szCs w:val="20"/>
                <w:lang w:val="en-US"/>
              </w:rPr>
            </w:pPr>
            <w:r>
              <w:rPr>
                <w:rFonts w:cs="Times New Roman"/>
                <w:sz w:val="20"/>
                <w:szCs w:val="20"/>
                <w:lang w:val="en-US"/>
              </w:rPr>
              <w:t>1</w:t>
            </w:r>
          </w:p>
        </w:tc>
      </w:tr>
      <w:tr>
        <w:trPr/>
        <w:tc>
          <w:tcPr>
            <w:tcW w:w="2507" w:type="dxa"/>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alder</w:t>
            </w:r>
          </w:p>
        </w:tc>
        <w:tc>
          <w:tcPr>
            <w:tcW w:w="801" w:type="dxa"/>
            <w:tcBorders/>
          </w:tcPr>
          <w:p>
            <w:pPr>
              <w:pStyle w:val="Normal"/>
              <w:widowControl w:val="false"/>
              <w:spacing w:before="0" w:after="160"/>
              <w:rPr>
                <w:rFonts w:cs="Times New Roman"/>
                <w:sz w:val="20"/>
                <w:szCs w:val="20"/>
                <w:lang w:val="en-US"/>
              </w:rPr>
            </w:pPr>
            <w:r>
              <w:rPr>
                <w:rFonts w:cs="Times New Roman"/>
                <w:sz w:val="20"/>
                <w:szCs w:val="20"/>
                <w:lang w:val="en-US"/>
              </w:rPr>
              <w:t>29485</w:t>
            </w:r>
          </w:p>
        </w:tc>
        <w:tc>
          <w:tcPr>
            <w:tcW w:w="1399" w:type="dxa"/>
            <w:tcBorders/>
          </w:tcPr>
          <w:p>
            <w:pPr>
              <w:pStyle w:val="Normal"/>
              <w:widowControl w:val="false"/>
              <w:spacing w:before="0" w:after="160"/>
              <w:rPr>
                <w:rFonts w:cs="Times New Roman"/>
                <w:sz w:val="20"/>
                <w:szCs w:val="20"/>
                <w:lang w:val="en-US"/>
              </w:rPr>
            </w:pPr>
            <w:r>
              <w:rPr>
                <w:rFonts w:cs="Times New Roman"/>
                <w:sz w:val="20"/>
                <w:szCs w:val="20"/>
                <w:lang w:val="en-US"/>
              </w:rPr>
              <w:t>37.287</w:t>
            </w:r>
          </w:p>
        </w:tc>
        <w:tc>
          <w:tcPr>
            <w:tcW w:w="1401" w:type="dxa"/>
            <w:tcBorders/>
          </w:tcPr>
          <w:p>
            <w:pPr>
              <w:pStyle w:val="Normal"/>
              <w:widowControl w:val="false"/>
              <w:spacing w:before="0" w:after="160"/>
              <w:rPr>
                <w:rFonts w:cs="Times New Roman"/>
                <w:sz w:val="20"/>
                <w:szCs w:val="20"/>
                <w:lang w:val="en-US"/>
              </w:rPr>
            </w:pPr>
            <w:r>
              <w:rPr>
                <w:rFonts w:cs="Times New Roman"/>
                <w:sz w:val="20"/>
                <w:szCs w:val="20"/>
                <w:lang w:val="en-US"/>
              </w:rPr>
              <w:t>14.166</w:t>
            </w:r>
          </w:p>
        </w:tc>
        <w:tc>
          <w:tcPr>
            <w:tcW w:w="1399" w:type="dxa"/>
            <w:tcBorders/>
          </w:tcPr>
          <w:p>
            <w:pPr>
              <w:pStyle w:val="Normal"/>
              <w:widowControl w:val="false"/>
              <w:spacing w:before="0" w:after="160"/>
              <w:rPr>
                <w:rFonts w:cs="Times New Roman"/>
                <w:sz w:val="20"/>
                <w:szCs w:val="20"/>
                <w:lang w:val="en-US"/>
              </w:rPr>
            </w:pPr>
            <w:r>
              <w:rPr>
                <w:rFonts w:cs="Times New Roman"/>
                <w:sz w:val="20"/>
                <w:szCs w:val="20"/>
                <w:lang w:val="en-US"/>
              </w:rPr>
              <w:t>18</w:t>
            </w:r>
          </w:p>
        </w:tc>
        <w:tc>
          <w:tcPr>
            <w:tcW w:w="1401" w:type="dxa"/>
            <w:tcBorders/>
          </w:tcPr>
          <w:p>
            <w:pPr>
              <w:pStyle w:val="Normal"/>
              <w:widowControl w:val="false"/>
              <w:spacing w:before="0" w:after="160"/>
              <w:rPr>
                <w:rFonts w:cs="Times New Roman"/>
                <w:sz w:val="20"/>
                <w:szCs w:val="20"/>
                <w:lang w:val="en-US"/>
              </w:rPr>
            </w:pPr>
            <w:r>
              <w:rPr>
                <w:rFonts w:cs="Times New Roman"/>
                <w:sz w:val="20"/>
                <w:szCs w:val="20"/>
                <w:lang w:val="en-US"/>
              </w:rPr>
              <w:t>105</w:t>
            </w:r>
          </w:p>
        </w:tc>
      </w:tr>
      <w:tr>
        <w:trPr/>
        <w:tc>
          <w:tcPr>
            <w:tcW w:w="2507" w:type="dxa"/>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uteninntekt</w:t>
            </w:r>
          </w:p>
        </w:tc>
        <w:tc>
          <w:tcPr>
            <w:tcW w:w="801" w:type="dxa"/>
            <w:tcBorders/>
          </w:tcPr>
          <w:p>
            <w:pPr>
              <w:pStyle w:val="Normal"/>
              <w:widowControl w:val="false"/>
              <w:spacing w:before="0" w:after="160"/>
              <w:rPr>
                <w:rFonts w:cs="Times New Roman"/>
                <w:sz w:val="20"/>
                <w:szCs w:val="20"/>
                <w:lang w:val="en-US"/>
              </w:rPr>
            </w:pPr>
            <w:r>
              <w:rPr>
                <w:rFonts w:cs="Times New Roman"/>
                <w:sz w:val="20"/>
                <w:szCs w:val="20"/>
                <w:lang w:val="en-US"/>
              </w:rPr>
              <w:t>29485</w:t>
            </w:r>
          </w:p>
        </w:tc>
        <w:tc>
          <w:tcPr>
            <w:tcW w:w="1399" w:type="dxa"/>
            <w:tcBorders/>
          </w:tcPr>
          <w:p>
            <w:pPr>
              <w:pStyle w:val="Normal"/>
              <w:widowControl w:val="false"/>
              <w:spacing w:before="0" w:after="160"/>
              <w:rPr>
                <w:rFonts w:cs="Times New Roman"/>
                <w:sz w:val="20"/>
                <w:szCs w:val="20"/>
                <w:lang w:val="en-US"/>
              </w:rPr>
            </w:pPr>
            <w:r>
              <w:rPr>
                <w:rFonts w:cs="Times New Roman"/>
                <w:sz w:val="20"/>
                <w:szCs w:val="20"/>
                <w:lang w:val="en-US"/>
              </w:rPr>
              <w:t>.633</w:t>
            </w:r>
          </w:p>
        </w:tc>
        <w:tc>
          <w:tcPr>
            <w:tcW w:w="1401" w:type="dxa"/>
            <w:tcBorders/>
          </w:tcPr>
          <w:p>
            <w:pPr>
              <w:pStyle w:val="Normal"/>
              <w:widowControl w:val="false"/>
              <w:spacing w:before="0" w:after="160"/>
              <w:rPr>
                <w:rFonts w:cs="Times New Roman"/>
                <w:sz w:val="20"/>
                <w:szCs w:val="20"/>
                <w:lang w:val="en-US"/>
              </w:rPr>
            </w:pPr>
            <w:r>
              <w:rPr>
                <w:rFonts w:cs="Times New Roman"/>
                <w:sz w:val="20"/>
                <w:szCs w:val="20"/>
                <w:lang w:val="en-US"/>
              </w:rPr>
              <w:t>.482</w:t>
            </w:r>
          </w:p>
        </w:tc>
        <w:tc>
          <w:tcPr>
            <w:tcW w:w="1399" w:type="dxa"/>
            <w:tcBorders/>
          </w:tcPr>
          <w:p>
            <w:pPr>
              <w:pStyle w:val="Normal"/>
              <w:widowControl w:val="false"/>
              <w:spacing w:before="0" w:after="160"/>
              <w:rPr>
                <w:rFonts w:cs="Times New Roman"/>
                <w:sz w:val="20"/>
                <w:szCs w:val="20"/>
                <w:lang w:val="en-US"/>
              </w:rPr>
            </w:pPr>
            <w:r>
              <w:rPr>
                <w:rFonts w:cs="Times New Roman"/>
                <w:sz w:val="20"/>
                <w:szCs w:val="20"/>
                <w:lang w:val="en-US"/>
              </w:rPr>
              <w:t>0</w:t>
            </w:r>
          </w:p>
        </w:tc>
        <w:tc>
          <w:tcPr>
            <w:tcW w:w="1401" w:type="dxa"/>
            <w:tcBorders/>
          </w:tcPr>
          <w:p>
            <w:pPr>
              <w:pStyle w:val="Normal"/>
              <w:widowControl w:val="false"/>
              <w:spacing w:before="0" w:after="160"/>
              <w:rPr>
                <w:rFonts w:cs="Times New Roman"/>
                <w:sz w:val="20"/>
                <w:szCs w:val="20"/>
                <w:lang w:val="en-US"/>
              </w:rPr>
            </w:pPr>
            <w:r>
              <w:rPr>
                <w:rFonts w:cs="Times New Roman"/>
                <w:sz w:val="20"/>
                <w:szCs w:val="20"/>
                <w:lang w:val="en-US"/>
              </w:rPr>
              <w:t>1</w:t>
            </w:r>
          </w:p>
        </w:tc>
      </w:tr>
      <w:tr>
        <w:trPr/>
        <w:tc>
          <w:tcPr>
            <w:tcW w:w="2507" w:type="dxa"/>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utdanning</w:t>
            </w:r>
          </w:p>
        </w:tc>
        <w:tc>
          <w:tcPr>
            <w:tcW w:w="801" w:type="dxa"/>
            <w:tcBorders/>
          </w:tcPr>
          <w:p>
            <w:pPr>
              <w:pStyle w:val="Normal"/>
              <w:widowControl w:val="false"/>
              <w:spacing w:before="0" w:after="160"/>
              <w:rPr>
                <w:rFonts w:cs="Times New Roman"/>
                <w:sz w:val="20"/>
                <w:szCs w:val="20"/>
                <w:lang w:val="en-US"/>
              </w:rPr>
            </w:pPr>
            <w:r>
              <w:rPr>
                <w:rFonts w:cs="Times New Roman"/>
                <w:sz w:val="20"/>
                <w:szCs w:val="20"/>
                <w:lang w:val="en-US"/>
              </w:rPr>
              <w:t>29485</w:t>
            </w:r>
          </w:p>
        </w:tc>
        <w:tc>
          <w:tcPr>
            <w:tcW w:w="1399" w:type="dxa"/>
            <w:tcBorders/>
          </w:tcPr>
          <w:p>
            <w:pPr>
              <w:pStyle w:val="Normal"/>
              <w:widowControl w:val="false"/>
              <w:spacing w:before="0" w:after="160"/>
              <w:rPr>
                <w:rFonts w:cs="Times New Roman"/>
                <w:sz w:val="20"/>
                <w:szCs w:val="20"/>
                <w:lang w:val="en-US"/>
              </w:rPr>
            </w:pPr>
            <w:r>
              <w:rPr>
                <w:rFonts w:cs="Times New Roman"/>
                <w:sz w:val="20"/>
                <w:szCs w:val="20"/>
                <w:lang w:val="en-US"/>
              </w:rPr>
              <w:t>1.469</w:t>
            </w:r>
          </w:p>
        </w:tc>
        <w:tc>
          <w:tcPr>
            <w:tcW w:w="1401" w:type="dxa"/>
            <w:tcBorders/>
          </w:tcPr>
          <w:p>
            <w:pPr>
              <w:pStyle w:val="Normal"/>
              <w:widowControl w:val="false"/>
              <w:spacing w:before="0" w:after="160"/>
              <w:rPr>
                <w:rFonts w:cs="Times New Roman"/>
                <w:sz w:val="20"/>
                <w:szCs w:val="20"/>
                <w:lang w:val="en-US"/>
              </w:rPr>
            </w:pPr>
            <w:r>
              <w:rPr>
                <w:rFonts w:cs="Times New Roman"/>
                <w:sz w:val="20"/>
                <w:szCs w:val="20"/>
                <w:lang w:val="en-US"/>
              </w:rPr>
              <w:t>1.015</w:t>
            </w:r>
          </w:p>
        </w:tc>
        <w:tc>
          <w:tcPr>
            <w:tcW w:w="1399" w:type="dxa"/>
            <w:tcBorders/>
          </w:tcPr>
          <w:p>
            <w:pPr>
              <w:pStyle w:val="Normal"/>
              <w:widowControl w:val="false"/>
              <w:spacing w:before="0" w:after="160"/>
              <w:rPr>
                <w:rFonts w:cs="Times New Roman"/>
                <w:sz w:val="20"/>
                <w:szCs w:val="20"/>
                <w:lang w:val="en-US"/>
              </w:rPr>
            </w:pPr>
            <w:r>
              <w:rPr>
                <w:rFonts w:cs="Times New Roman"/>
                <w:sz w:val="20"/>
                <w:szCs w:val="20"/>
                <w:lang w:val="en-US"/>
              </w:rPr>
              <w:t>0</w:t>
            </w:r>
          </w:p>
        </w:tc>
        <w:tc>
          <w:tcPr>
            <w:tcW w:w="1401" w:type="dxa"/>
            <w:tcBorders/>
          </w:tcPr>
          <w:p>
            <w:pPr>
              <w:pStyle w:val="Normal"/>
              <w:widowControl w:val="false"/>
              <w:spacing w:before="0" w:after="160"/>
              <w:rPr>
                <w:rFonts w:cs="Times New Roman"/>
                <w:sz w:val="20"/>
                <w:szCs w:val="20"/>
                <w:lang w:val="en-US"/>
              </w:rPr>
            </w:pPr>
            <w:r>
              <w:rPr>
                <w:rFonts w:cs="Times New Roman"/>
                <w:sz w:val="20"/>
                <w:szCs w:val="20"/>
                <w:lang w:val="en-US"/>
              </w:rPr>
              <w:t>3</w:t>
            </w:r>
          </w:p>
        </w:tc>
      </w:tr>
      <w:tr>
        <w:trPr/>
        <w:tc>
          <w:tcPr>
            <w:tcW w:w="8908" w:type="dxa"/>
            <w:gridSpan w:val="6"/>
            <w:tcBorders>
              <w:top w:val="single" w:sz="6" w:space="0" w:color="000000"/>
            </w:tcBorders>
          </w:tcPr>
          <w:p>
            <w:pPr>
              <w:pStyle w:val="Normal"/>
              <w:widowControl w:val="false"/>
              <w:spacing w:before="0" w:after="160"/>
              <w:rPr>
                <w:rFonts w:cs="Times New Roman"/>
                <w:sz w:val="20"/>
                <w:szCs w:val="20"/>
                <w:lang w:val="en-US"/>
              </w:rPr>
            </w:pPr>
            <w:r>
              <w:rPr>
                <w:rFonts w:cs="Times New Roman"/>
                <w:sz w:val="20"/>
                <w:szCs w:val="20"/>
                <w:lang w:val="en-US"/>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spacing w:lineRule="auto" w:line="360"/>
        <w:rPr/>
      </w:pPr>
      <w:bookmarkStart w:id="84" w:name="_Toc72502753"/>
      <w:bookmarkStart w:id="85" w:name="_Toc71923037"/>
      <w:r>
        <w:rPr/>
        <w:t>7.6.</w:t>
        <w:tab/>
        <w:t>Svakheter ved d</w:t>
      </w:r>
      <w:bookmarkEnd w:id="85"/>
      <w:r>
        <w:rPr/>
        <w:t>esignet</w:t>
      </w:r>
      <w:bookmarkEnd w:id="84"/>
    </w:p>
    <w:p>
      <w:pPr>
        <w:pStyle w:val="Normal"/>
        <w:spacing w:lineRule="auto" w:line="360"/>
        <w:rPr/>
      </w:pPr>
      <w:r>
        <w:rPr/>
        <w:t xml:space="preserve">Datasettet har noen åpenbare svakheter som må adresseres. For det første er kun 36 av 54 afrikanske land inkludert i </w:t>
      </w:r>
      <w:r>
        <w:rPr>
          <w:shd w:fill="FFFF00" w:val="clear"/>
        </w:rPr>
        <w:t>det opprinnelige datasettet</w:t>
      </w:r>
      <w:r>
        <w:rPr/>
        <w:t>.</w:t>
      </w:r>
      <w:r>
        <w:rPr/>
        <w:commentReference w:id="6"/>
      </w:r>
      <w:r>
        <w:rPr/>
        <w:t xml:space="preserve"> Av disse er det 25 land som har hatt konflikt etter andre verdenskrig. På grunn av manglende data har igjen flere av disse blitt utelatt fra det endelige utvalget av land. Dette gjelder Burundi, Kamerun, Egypt, Lesotho, Marokko, Sudan, Tanzania, Togo og Tunisia. Disse har enten manglet informasjon om politisk tillit eller oversikt over etniske grupper i landet. Det betyr at kun 16 land står igjen i det endelige utvalget, hvorav seks har hatt politisk maktdeling. Av disse landene er det kun etniske grupper som er ansett som enten politisk undertrykt eller politisk dominant som er inkluderte. Etniske grupper som ikke er ansett som politisk dominante eller -undertrykte vil ikke representeres i oppgavens analyser. I utgangspunktet antas det at utvalget av individer er representativt. Dermed vil også de gjenstående observasjonene være representative for den populasjonen som er definert: innbyggere som kan klassifiseres som en del av enten en dominant eller undertrykt etnisk gruppe. Likevel er det et lite utvalg som står igjen per land </w:t>
      </w:r>
      <w:r>
        <w:rPr>
          <w:color w:val="FF0000"/>
        </w:rPr>
        <w:t>(spesifiser hvor mange som er droppet)</w:t>
      </w:r>
      <w:r>
        <w:rPr/>
        <w:t xml:space="preserve">, som må påpekes å være problematisk. </w:t>
      </w:r>
    </w:p>
    <w:p>
      <w:pPr>
        <w:pStyle w:val="Normal"/>
        <w:spacing w:lineRule="auto" w:line="360"/>
        <w:rPr/>
      </w:pPr>
      <w:r>
        <w:rPr/>
        <w:t>Ettersom informasjon på etniske grupper fører til at flere land må droppes, vil noen av oppgavens analyser kjøres uten at variabelen for undertrykte grupper er inkludert. Når dette gjøres, øker N2 fra 16 til 20, og tre av disse landene er maktdelingsland. Dette fører også til at variabelen for closed-list PR kan inkluderes, noe som ikke var mulig sammen med variabelen for undertrykte grunnet for lav N2. Når sammenhengen mellom closed-list PR-land og politisk tillit måles, vil derfor ikke regresjonen kontrollere for undertrykte grupper. Dette kan være en svakhet, da vi ikke vil få svar på om kvinners politiske tillit er avhengig av undertrykte grupper, eller om undertrykte grupper og closed-list PR i det hele tatt har en sammenheng.</w:t>
      </w:r>
    </w:p>
    <w:p>
      <w:pPr>
        <w:pStyle w:val="Normal"/>
        <w:spacing w:lineRule="auto" w:line="360"/>
        <w:rPr/>
      </w:pPr>
      <w:r>
        <w:rPr/>
        <w:t xml:space="preserve">Det er også en betydelig svakhet at oppgaven tar i bruk tverrsnittdata. Mangelen på observasjoner over tid gjør at denne oppgaven ikke kan si noe om kausalitet, og alle effekter som avdekkes må ses på som assosiasjoner. Dette betyr også at oppgaven ikke kan si noe om årsaksretningen, annet enn at maktdeling måles </w:t>
      </w:r>
      <w:r>
        <w:rPr>
          <w:i/>
          <w:iCs/>
        </w:rPr>
        <w:t xml:space="preserve">før </w:t>
      </w:r>
      <w:r>
        <w:rPr/>
        <w:t xml:space="preserve">politisk tillit </w:t>
      </w:r>
      <w:r>
        <w:rPr>
          <w:color w:val="FF0000"/>
        </w:rPr>
        <w:t>(diskuter motsatt kausalitet, spuriøs effekt, mellomliggende variabler. Ta utgangspunkt i Kellstedt &amp; Whittens «four hurdles of causality» og diskuter analysen min ut ifra den)</w:t>
      </w:r>
      <w:r>
        <w:rPr/>
        <w:t xml:space="preserve">.  Av disse grunnene ville en tidsenhet i analysen vært en stor fordel. Imidlertid ville det vært utfordrende med de tilgjengelige dataene fra Afrobarometer. Alle landene er ikke representert i de tidligere rundene, og av de landene som går igjen, er det ikke alle som har data på politisk tillit eller etniske grupper. </w:t>
      </w:r>
    </w:p>
    <w:p>
      <w:pPr>
        <w:pStyle w:val="Heading1"/>
        <w:spacing w:lineRule="auto" w:line="360"/>
        <w:rPr/>
      </w:pPr>
      <w:bookmarkStart w:id="86" w:name="_Toc72502754"/>
      <w:bookmarkStart w:id="87" w:name="_Toc71923038"/>
      <w:r>
        <w:rPr/>
        <w:t>Kapittel 8. Resultater</w:t>
      </w:r>
      <w:bookmarkEnd w:id="86"/>
      <w:bookmarkEnd w:id="87"/>
    </w:p>
    <w:p>
      <w:pPr>
        <w:pStyle w:val="Normal"/>
        <w:spacing w:lineRule="auto" w:line="360"/>
        <w:rPr>
          <w:color w:val="FF0000"/>
        </w:rPr>
      </w:pPr>
      <w:r>
        <w:rPr>
          <w:color w:val="FF0000"/>
        </w:rPr>
        <w:t>I dette kapittelet har jeg inkludert en mengde utregninger for R2 og ICC i teksten. Grunnet tidsmangel fikk jeg ikke ryddet opp i dette nå, men tanken er at utregningene skal presenteres én gang i starten, for så å inkludere tallene i modellene fremfor i teksten. Jeg har heller ikke regnet ut ICC for alle modellene, men dette vil gjøres.</w:t>
      </w:r>
    </w:p>
    <w:p>
      <w:pPr>
        <w:pStyle w:val="Heading2"/>
        <w:spacing w:lineRule="auto" w:line="360"/>
        <w:rPr/>
      </w:pPr>
      <w:bookmarkStart w:id="88" w:name="_Toc71923039"/>
      <w:bookmarkStart w:id="89" w:name="_Toc72502755"/>
      <w:r>
        <w:rPr/>
        <w:t>8.1.</w:t>
        <w:tab/>
        <w:t>Nullmodell og intraklassekorrelasjon</w:t>
      </w:r>
      <w:bookmarkEnd w:id="88"/>
      <w:bookmarkEnd w:id="89"/>
    </w:p>
    <w:p>
      <w:pPr>
        <w:pStyle w:val="Normal"/>
        <w:spacing w:lineRule="auto" w:line="360"/>
        <w:rPr>
          <w:rFonts w:cs="Times New Roman"/>
          <w:szCs w:val="24"/>
        </w:rPr>
      </w:pPr>
      <w:r>
        <w:rPr>
          <w:rFonts w:cs="Times New Roman"/>
          <w:szCs w:val="24"/>
        </w:rPr>
        <w:t xml:space="preserve">Nullmodellen kan ses som følgende ligning: </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ij</m:t>
              </m:r>
            </m:sub>
          </m:sSub>
        </m:oMath>
      </m:oMathPara>
    </w:p>
    <w:p>
      <w:pPr>
        <w:pStyle w:val="Normal"/>
        <w:spacing w:lineRule="auto" w:line="360"/>
        <w:rPr/>
      </w:pPr>
      <w:r>
        <w:rPr>
          <w:rFonts w:cs="Times New Roman"/>
          <w:i/>
          <w:iCs/>
          <w:szCs w:val="24"/>
        </w:rPr>
        <w:t>Y</w:t>
      </w:r>
      <w:r>
        <w:rPr>
          <w:rFonts w:cs="Times New Roman"/>
          <w:szCs w:val="24"/>
        </w:rPr>
        <w:t xml:space="preserve"> indikerer politisk tillit for individ </w:t>
      </w:r>
      <w:r>
        <w:rPr>
          <w:rFonts w:cs="Times New Roman"/>
          <w:i/>
          <w:iCs/>
          <w:szCs w:val="24"/>
        </w:rPr>
        <w:t>i</w:t>
      </w:r>
      <w:r>
        <w:rPr>
          <w:rFonts w:cs="Times New Roman"/>
          <w:szCs w:val="24"/>
        </w:rPr>
        <w:t xml:space="preserve"> fra land </w:t>
      </w:r>
      <w:r>
        <w:rPr>
          <w:rFonts w:cs="Times New Roman"/>
          <w:i/>
          <w:iCs/>
          <w:szCs w:val="24"/>
        </w:rPr>
        <w:t>j. β</w:t>
      </w:r>
      <w:r>
        <w:rPr>
          <w:rFonts w:cs="Times New Roman"/>
          <w:i/>
          <w:iCs/>
          <w:szCs w:val="24"/>
          <w:vertAlign w:val="subscript"/>
        </w:rPr>
        <w:t>0</w:t>
      </w:r>
      <w:r>
        <w:rPr>
          <w:rFonts w:cs="Times New Roman"/>
          <w:szCs w:val="24"/>
        </w:rPr>
        <w:t xml:space="preserve"> er den avhengige variabelens skjæringspunkt, altså verdien av politisk tillit når alle uavhengige variabler har verdien 0. Dette kan også måles som gjennomsnittet av den avhengige variabelen. </w:t>
      </w:r>
      <w:r>
        <w:rPr>
          <w:rFonts w:cs="Times New Roman"/>
          <w:i/>
          <w:iCs/>
          <w:szCs w:val="24"/>
        </w:rPr>
        <w:t>u</w:t>
      </w:r>
      <w:r>
        <w:rPr>
          <w:rFonts w:cs="Times New Roman"/>
          <w:i/>
          <w:iCs/>
          <w:szCs w:val="24"/>
          <w:vertAlign w:val="subscript"/>
        </w:rPr>
        <w:t>0j</w:t>
      </w:r>
      <w:r>
        <w:rPr>
          <w:rFonts w:cs="Times New Roman"/>
          <w:szCs w:val="24"/>
        </w:rPr>
        <w:t xml:space="preserve"> indikerer avstanden mellom gruppegjennomsnittet for land </w:t>
      </w:r>
      <w:r>
        <w:rPr>
          <w:rFonts w:cs="Times New Roman"/>
          <w:i/>
          <w:iCs/>
          <w:szCs w:val="24"/>
        </w:rPr>
        <w:t>j</w:t>
      </w:r>
      <w:r>
        <w:rPr>
          <w:rFonts w:cs="Times New Roman"/>
          <w:szCs w:val="24"/>
        </w:rPr>
        <w:t xml:space="preserve"> og det totale gjennomsnittet. Dette feilleddet for landnivå. For individnivå har vi</w:t>
      </w:r>
      <w:r>
        <w:rPr>
          <w:rFonts w:cs="Times New Roman"/>
          <w:color w:val="FF0000"/>
          <w:szCs w:val="24"/>
        </w:rPr>
        <w:t xml:space="preserve"> </w:t>
      </w:r>
      <w:r>
        <w:rPr>
          <w:rFonts w:cs="Times New Roman"/>
          <w:i/>
          <w:iCs/>
          <w:szCs w:val="24"/>
        </w:rPr>
        <w:t>e</w:t>
      </w:r>
      <w:r>
        <w:rPr>
          <w:rFonts w:cs="Times New Roman"/>
          <w:i/>
          <w:iCs/>
          <w:szCs w:val="24"/>
          <w:vertAlign w:val="subscript"/>
        </w:rPr>
        <w:t>ij</w:t>
      </w:r>
      <w:r>
        <w:rPr>
          <w:rFonts w:cs="Times New Roman"/>
          <w:i/>
          <w:iCs/>
          <w:szCs w:val="24"/>
        </w:rPr>
        <w:t xml:space="preserve">, </w:t>
      </w:r>
      <w:r>
        <w:rPr>
          <w:rFonts w:cs="Times New Roman"/>
          <w:szCs w:val="24"/>
        </w:rPr>
        <w:t xml:space="preserve">som er avstanden mellom observert verdi av </w:t>
      </w:r>
      <w:r>
        <w:rPr>
          <w:rFonts w:cs="Times New Roman"/>
          <w:i/>
          <w:iCs/>
          <w:szCs w:val="24"/>
        </w:rPr>
        <w:t>politisktillit</w:t>
      </w:r>
      <w:r>
        <w:rPr>
          <w:rFonts w:cs="Times New Roman"/>
          <w:szCs w:val="24"/>
        </w:rPr>
        <w:t xml:space="preserve"> for individ </w:t>
      </w:r>
      <w:r>
        <w:rPr>
          <w:rFonts w:cs="Times New Roman"/>
          <w:i/>
          <w:iCs/>
          <w:szCs w:val="24"/>
        </w:rPr>
        <w:t xml:space="preserve">i </w:t>
      </w:r>
      <w:r>
        <w:rPr>
          <w:rFonts w:cs="Times New Roman"/>
          <w:szCs w:val="24"/>
        </w:rPr>
        <w:t xml:space="preserve">fra land </w:t>
      </w:r>
      <w:r>
        <w:rPr>
          <w:rFonts w:cs="Times New Roman"/>
          <w:i/>
          <w:iCs/>
          <w:szCs w:val="24"/>
        </w:rPr>
        <w:t>j</w:t>
      </w:r>
      <w:r>
        <w:rPr>
          <w:rFonts w:cs="Times New Roman"/>
          <w:szCs w:val="24"/>
        </w:rPr>
        <w:t>, og landsgjennomsnittet av politisk tillit</w:t>
      </w:r>
      <w:r>
        <w:rPr>
          <w:rFonts w:cs="Times New Roman"/>
          <w:i/>
          <w:iCs/>
          <w:szCs w:val="24"/>
        </w:rPr>
        <w:t xml:space="preserve"> </w:t>
      </w:r>
      <w:r>
        <w:rPr>
          <w:rFonts w:cs="Times New Roman"/>
          <w:szCs w:val="24"/>
        </w:rPr>
        <w:t xml:space="preserve">(Mehmetoglu &amp; Jakobsen, 2017, s. 201). </w:t>
      </w:r>
    </w:p>
    <w:p>
      <w:pPr>
        <w:pStyle w:val="Normal"/>
        <w:spacing w:lineRule="auto" w:line="360"/>
        <w:rPr>
          <w:rFonts w:cs="Times New Roman"/>
          <w:szCs w:val="24"/>
        </w:rPr>
      </w:pPr>
      <w:r>
        <w:rPr>
          <w:rFonts w:cs="Times New Roman"/>
          <w:szCs w:val="24"/>
        </w:rPr>
      </w:r>
    </w:p>
    <w:p>
      <w:pPr>
        <w:pStyle w:val="Normal"/>
        <w:rPr>
          <w:i/>
          <w:i/>
          <w:iCs/>
          <w:lang w:val="en-US"/>
        </w:rPr>
      </w:pPr>
      <w:r>
        <w:rPr>
          <w:i/>
          <w:iCs/>
          <w:lang w:val="en-US"/>
        </w:rPr>
        <w:t>Tabell 15: Nullmodell</w:t>
      </w:r>
    </w:p>
    <w:tbl>
      <w:tblPr>
        <w:tblW w:w="2908" w:type="dxa"/>
        <w:jc w:val="left"/>
        <w:tblInd w:w="0" w:type="dxa"/>
        <w:tblLayout w:type="fixed"/>
        <w:tblCellMar>
          <w:top w:w="0" w:type="dxa"/>
          <w:left w:w="108" w:type="dxa"/>
          <w:bottom w:w="0" w:type="dxa"/>
          <w:right w:w="108" w:type="dxa"/>
        </w:tblCellMar>
      </w:tblPr>
      <w:tblGrid>
        <w:gridCol w:w="1707"/>
        <w:gridCol w:w="1201"/>
      </w:tblGrid>
      <w:tr>
        <w:trPr/>
        <w:tc>
          <w:tcPr>
            <w:tcW w:w="1707" w:type="dxa"/>
            <w:tcBorders>
              <w:top w:val="single" w:sz="4" w:space="0" w:color="000000"/>
              <w:bottom w:val="single" w:sz="8" w:space="0" w:color="000000"/>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Variabler</w:t>
            </w:r>
          </w:p>
        </w:tc>
        <w:tc>
          <w:tcPr>
            <w:tcW w:w="1201" w:type="dxa"/>
            <w:tcBorders>
              <w:top w:val="single" w:sz="4" w:space="0" w:color="000000"/>
              <w:bottom w:val="single" w:sz="8" w:space="0" w:color="000000"/>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politisktillit</w:t>
            </w:r>
          </w:p>
        </w:tc>
      </w:tr>
      <w:tr>
        <w:trPr/>
        <w:tc>
          <w:tcPr>
            <w:tcW w:w="1707" w:type="dxa"/>
            <w:tcBorders/>
          </w:tcPr>
          <w:p>
            <w:pPr>
              <w:pStyle w:val="Normal"/>
              <w:widowControl w:val="false"/>
              <w:rPr>
                <w:rFonts w:cs="Times New Roman"/>
                <w:sz w:val="20"/>
                <w:szCs w:val="20"/>
                <w:lang w:val="en-US"/>
              </w:rPr>
            </w:pPr>
            <w:r>
              <w:rPr>
                <w:rFonts w:cs="Times New Roman"/>
                <w:sz w:val="20"/>
                <w:szCs w:val="20"/>
                <w:lang w:val="en-US"/>
              </w:rPr>
              <w:t>Constant</w:t>
            </w:r>
          </w:p>
          <w:p>
            <w:pPr>
              <w:pStyle w:val="Normal"/>
              <w:widowControl w:val="false"/>
              <w:rPr>
                <w:rFonts w:cs="Times New Roman"/>
                <w:sz w:val="20"/>
                <w:szCs w:val="20"/>
                <w:lang w:val="en-US"/>
              </w:rPr>
            </w:pPr>
            <w:r>
              <w:rPr>
                <w:rFonts w:cs="Times New Roman"/>
                <w:sz w:val="20"/>
                <w:szCs w:val="20"/>
                <w:lang w:val="en-US"/>
              </w:rPr>
            </w:r>
          </w:p>
          <w:p>
            <w:pPr>
              <w:pStyle w:val="Normal"/>
              <w:widowControl w:val="false"/>
              <w:rPr>
                <w:rFonts w:cs="Times New Roman"/>
                <w:sz w:val="20"/>
                <w:szCs w:val="20"/>
                <w:lang w:val="en-US"/>
              </w:rPr>
            </w:pPr>
            <w:r>
              <w:rPr>
                <w:rFonts w:cs="Times New Roman"/>
                <w:sz w:val="20"/>
                <w:szCs w:val="20"/>
                <w:lang w:val="en-US"/>
              </w:rPr>
              <w:t>N1</w:t>
            </w:r>
          </w:p>
          <w:p>
            <w:pPr>
              <w:pStyle w:val="Normal"/>
              <w:widowControl w:val="false"/>
              <w:spacing w:before="0" w:after="160"/>
              <w:rPr>
                <w:rFonts w:cs="Times New Roman"/>
                <w:sz w:val="20"/>
                <w:szCs w:val="20"/>
                <w:lang w:val="en-US"/>
              </w:rPr>
            </w:pPr>
            <w:r>
              <w:rPr>
                <w:rFonts w:cs="Times New Roman"/>
                <w:sz w:val="20"/>
                <w:szCs w:val="20"/>
                <w:lang w:val="en-US"/>
              </w:rPr>
              <w:t>N2</w:t>
            </w:r>
          </w:p>
        </w:tc>
        <w:tc>
          <w:tcPr>
            <w:tcW w:w="1201" w:type="dxa"/>
            <w:tcBorders/>
          </w:tcPr>
          <w:p>
            <w:pPr>
              <w:pStyle w:val="Normal"/>
              <w:widowControl w:val="false"/>
              <w:rPr>
                <w:rFonts w:cs="Times New Roman"/>
                <w:sz w:val="20"/>
                <w:szCs w:val="20"/>
                <w:lang w:val="en-US"/>
              </w:rPr>
            </w:pPr>
            <w:r>
              <w:rPr>
                <w:rFonts w:cs="Times New Roman"/>
                <w:sz w:val="20"/>
                <w:szCs w:val="20"/>
                <w:lang w:val="en-US"/>
              </w:rPr>
              <w:t>2.562***</w:t>
            </w:r>
          </w:p>
          <w:p>
            <w:pPr>
              <w:pStyle w:val="Normal"/>
              <w:widowControl w:val="false"/>
              <w:rPr>
                <w:rFonts w:cs="Times New Roman"/>
                <w:sz w:val="20"/>
                <w:szCs w:val="20"/>
                <w:lang w:val="en-US"/>
              </w:rPr>
            </w:pPr>
            <w:r>
              <w:rPr>
                <w:rFonts w:cs="Times New Roman"/>
                <w:sz w:val="20"/>
                <w:szCs w:val="20"/>
                <w:lang w:val="en-US"/>
              </w:rPr>
              <w:t>(0.096)</w:t>
            </w:r>
          </w:p>
          <w:p>
            <w:pPr>
              <w:pStyle w:val="Normal"/>
              <w:widowControl w:val="false"/>
              <w:rPr>
                <w:rFonts w:cs="Times New Roman"/>
                <w:sz w:val="20"/>
                <w:szCs w:val="20"/>
                <w:lang w:val="en-US"/>
              </w:rPr>
            </w:pPr>
            <w:r>
              <w:rPr>
                <w:rFonts w:cs="Times New Roman"/>
                <w:sz w:val="20"/>
                <w:szCs w:val="20"/>
                <w:lang w:val="en-US"/>
              </w:rPr>
              <w:t>12,781</w:t>
            </w:r>
          </w:p>
          <w:p>
            <w:pPr>
              <w:pStyle w:val="Normal"/>
              <w:widowControl w:val="false"/>
              <w:spacing w:before="0" w:after="160"/>
              <w:rPr>
                <w:rFonts w:cs="Times New Roman"/>
                <w:sz w:val="20"/>
                <w:szCs w:val="20"/>
                <w:lang w:val="en-US"/>
              </w:rPr>
            </w:pPr>
            <w:r>
              <w:rPr>
                <w:rFonts w:cs="Times New Roman"/>
                <w:sz w:val="20"/>
                <w:szCs w:val="20"/>
                <w:lang w:val="en-US"/>
              </w:rPr>
              <w:t>16</w:t>
            </w:r>
          </w:p>
        </w:tc>
      </w:tr>
    </w:tbl>
    <w:p>
      <w:pPr>
        <w:pStyle w:val="Normal"/>
        <w:spacing w:lineRule="auto" w:line="240"/>
        <w:rPr>
          <w:rFonts w:cs="Times New Roman"/>
          <w:i/>
          <w:i/>
          <w:iCs/>
          <w:sz w:val="22"/>
        </w:rPr>
      </w:pPr>
      <w:r>
        <w:rPr>
          <w:rFonts w:cs="Times New Roman"/>
          <w:i/>
          <w:iCs/>
          <w:sz w:val="22"/>
        </w:rPr>
        <w:t>__________________________</w:t>
      </w:r>
    </w:p>
    <w:p>
      <w:pPr>
        <w:pStyle w:val="Normal"/>
        <w:spacing w:lineRule="auto" w:line="240"/>
        <w:rPr>
          <w:rFonts w:cs="Times New Roman"/>
          <w:sz w:val="20"/>
          <w:szCs w:val="20"/>
          <w:lang w:val="en-US"/>
        </w:rPr>
      </w:pPr>
      <w:r>
        <w:rPr>
          <w:rFonts w:cs="Times New Roman"/>
          <w:sz w:val="20"/>
          <w:szCs w:val="20"/>
          <w:lang w:val="en-US"/>
        </w:rPr>
        <w:t>Standardfeil i parentes | *** p&lt;.01, ** p&lt;.05, * p&lt;.1</w:t>
      </w:r>
    </w:p>
    <w:p>
      <w:pPr>
        <w:pStyle w:val="Normal"/>
        <w:spacing w:lineRule="auto" w:line="240"/>
        <w:rPr>
          <w:rFonts w:cs="Times New Roman"/>
          <w:i/>
          <w:i/>
          <w:iCs/>
          <w:sz w:val="22"/>
        </w:rPr>
      </w:pPr>
      <w:r>
        <w:rPr>
          <w:rFonts w:cs="Times New Roman"/>
          <w:i/>
          <w:iCs/>
          <w:sz w:val="22"/>
        </w:rPr>
      </w:r>
    </w:p>
    <w:p>
      <w:pPr>
        <w:pStyle w:val="Normal"/>
        <w:spacing w:lineRule="auto" w:line="240"/>
        <w:rPr>
          <w:rFonts w:cs="Times New Roman"/>
          <w:i/>
          <w:i/>
          <w:iCs/>
          <w:sz w:val="22"/>
        </w:rPr>
      </w:pPr>
      <w:r>
        <w:rPr>
          <w:rFonts w:cs="Times New Roman"/>
          <w:i/>
          <w:iCs/>
          <w:sz w:val="22"/>
        </w:rPr>
      </w:r>
    </w:p>
    <w:p>
      <w:pPr>
        <w:pStyle w:val="Normal"/>
        <w:spacing w:lineRule="auto" w:line="240"/>
        <w:rPr>
          <w:rFonts w:cs="Times New Roman"/>
          <w:i/>
          <w:i/>
          <w:iCs/>
          <w:sz w:val="22"/>
        </w:rPr>
      </w:pPr>
      <w:r>
        <w:rPr>
          <w:rFonts w:cs="Times New Roman"/>
          <w:i/>
          <w:iCs/>
          <w:sz w:val="22"/>
        </w:rPr>
      </w:r>
    </w:p>
    <w:p>
      <w:pPr>
        <w:pStyle w:val="Normal"/>
        <w:spacing w:lineRule="auto" w:line="240"/>
        <w:rPr>
          <w:rFonts w:cs="Times New Roman"/>
          <w:i/>
          <w:i/>
          <w:iCs/>
          <w:sz w:val="22"/>
        </w:rPr>
      </w:pPr>
      <w:r>
        <w:rPr>
          <w:rFonts w:cs="Times New Roman"/>
          <w:i/>
          <w:iCs/>
          <w:sz w:val="22"/>
        </w:rPr>
      </w:r>
    </w:p>
    <w:p>
      <w:pPr>
        <w:pStyle w:val="Normal"/>
        <w:spacing w:lineRule="auto" w:line="240"/>
        <w:rPr>
          <w:rFonts w:cs="Times New Roman"/>
          <w:i/>
          <w:i/>
          <w:iCs/>
          <w:sz w:val="22"/>
        </w:rPr>
      </w:pPr>
      <w:r>
        <w:rPr>
          <w:rFonts w:cs="Times New Roman"/>
          <w:i/>
          <w:iCs/>
          <w:sz w:val="22"/>
        </w:rPr>
      </w:r>
    </w:p>
    <w:p>
      <w:pPr>
        <w:pStyle w:val="Normal"/>
        <w:spacing w:lineRule="auto" w:line="240"/>
        <w:rPr>
          <w:rFonts w:cs="Times New Roman"/>
          <w:i/>
          <w:i/>
          <w:iCs/>
          <w:sz w:val="22"/>
        </w:rPr>
      </w:pPr>
      <w:r>
        <w:rPr>
          <w:rFonts w:cs="Times New Roman"/>
          <w:i/>
          <w:iCs/>
          <w:sz w:val="22"/>
        </w:rPr>
      </w:r>
    </w:p>
    <w:p>
      <w:pPr>
        <w:pStyle w:val="Normal"/>
        <w:spacing w:lineRule="auto" w:line="240"/>
        <w:rPr>
          <w:rFonts w:cs="Times New Roman"/>
          <w:i/>
          <w:i/>
          <w:iCs/>
          <w:sz w:val="22"/>
        </w:rPr>
      </w:pPr>
      <w:r>
        <w:rPr>
          <w:rFonts w:cs="Times New Roman"/>
          <w:i/>
          <w:iCs/>
          <w:sz w:val="22"/>
        </w:rPr>
      </w:r>
    </w:p>
    <w:p>
      <w:pPr>
        <w:pStyle w:val="Normal"/>
        <w:spacing w:lineRule="auto" w:line="240"/>
        <w:rPr>
          <w:rFonts w:cs="Times New Roman"/>
          <w:i/>
          <w:i/>
          <w:iCs/>
          <w:sz w:val="22"/>
        </w:rPr>
      </w:pPr>
      <w:r>
        <w:rPr>
          <w:rFonts w:cs="Times New Roman"/>
          <w:i/>
          <w:iCs/>
          <w:sz w:val="22"/>
        </w:rPr>
      </w:r>
    </w:p>
    <w:p>
      <w:pPr>
        <w:pStyle w:val="Normal"/>
        <w:spacing w:lineRule="auto" w:line="360"/>
        <w:rPr>
          <w:rFonts w:cs="Times New Roman"/>
          <w:i/>
          <w:i/>
          <w:iCs/>
          <w:sz w:val="22"/>
          <w:lang w:val="en-US"/>
        </w:rPr>
      </w:pPr>
      <w:r>
        <w:rPr>
          <w:rFonts w:cs="Times New Roman"/>
          <w:i/>
          <w:iCs/>
          <w:sz w:val="22"/>
          <w:lang w:val="en-US"/>
        </w:rPr>
        <w:t>Tabell 16: Variansekomponenter for nullmodell</w:t>
      </w:r>
    </w:p>
    <w:tbl>
      <w:tblPr>
        <w:tblW w:w="8858" w:type="dxa"/>
        <w:jc w:val="left"/>
        <w:tblInd w:w="0" w:type="dxa"/>
        <w:tblLayout w:type="fixed"/>
        <w:tblCellMar>
          <w:top w:w="0" w:type="dxa"/>
          <w:left w:w="108" w:type="dxa"/>
          <w:bottom w:w="0" w:type="dxa"/>
          <w:right w:w="108" w:type="dxa"/>
        </w:tblCellMar>
      </w:tblPr>
      <w:tblGrid>
        <w:gridCol w:w="8858"/>
      </w:tblGrid>
      <w:tr>
        <w:trPr/>
        <w:tc>
          <w:tcPr>
            <w:tcW w:w="8858" w:type="dxa"/>
            <w:tcBorders>
              <w:top w:val="single" w:sz="6" w:space="0" w:color="000000"/>
            </w:tcBorders>
          </w:tcPr>
          <w:p>
            <w:pPr>
              <w:pStyle w:val="Normal"/>
              <w:widowControl w:val="false"/>
              <w:spacing w:before="0" w:after="160"/>
              <w:rPr>
                <w:lang w:val="en-US"/>
              </w:rPr>
            </w:pPr>
            <w:r>
              <w:rPr>
                <w:lang w:val="en-US"/>
              </w:rPr>
              <w:t xml:space="preserve">Random-effects Parameters                 Estimate        Std. Err.           [95% Conf. Interval] ________________________________________________________________________                                                                                                       </w:t>
            </w:r>
          </w:p>
        </w:tc>
      </w:tr>
      <w:tr>
        <w:trPr/>
        <w:tc>
          <w:tcPr>
            <w:tcW w:w="8858" w:type="dxa"/>
            <w:tcBorders/>
          </w:tcPr>
          <w:p>
            <w:pPr>
              <w:pStyle w:val="Normal"/>
              <w:widowControl w:val="false"/>
              <w:rPr>
                <w:lang w:val="en-US"/>
              </w:rPr>
            </w:pPr>
            <w:r>
              <w:rPr>
                <w:lang w:val="en-US"/>
              </w:rPr>
              <w:t xml:space="preserve">COUNTRY: Identity                                                              </w:t>
            </w:r>
          </w:p>
          <w:p>
            <w:pPr>
              <w:pStyle w:val="Normal"/>
              <w:widowControl w:val="false"/>
              <w:rPr>
                <w:lang w:val="en-US"/>
              </w:rPr>
            </w:pPr>
            <w:r>
              <w:rPr>
                <w:lang w:val="en-US"/>
              </w:rPr>
              <w:t xml:space="preserve">                                </w:t>
            </w:r>
            <w:r>
              <w:rPr>
                <w:lang w:val="en-US"/>
              </w:rPr>
              <w:t>var(_cons)            .1445278      .0518176            .0715764   .291832 ________________________________________________________________________</w:t>
            </w:r>
          </w:p>
          <w:p>
            <w:pPr>
              <w:pStyle w:val="Normal"/>
              <w:widowControl w:val="false"/>
              <w:rPr>
                <w:lang w:val="en-US"/>
              </w:rPr>
            </w:pPr>
            <w:r>
              <w:rPr>
                <w:lang w:val="en-US"/>
              </w:rPr>
              <w:t xml:space="preserve">                                </w:t>
            </w:r>
            <w:r>
              <w:rPr>
                <w:lang w:val="en-US"/>
              </w:rPr>
              <w:t xml:space="preserve">var(Residual)       .8769764      .0109772            .8557231   .8987575 ________________________________________________________________________                                                                                                                           </w:t>
            </w:r>
          </w:p>
          <w:p>
            <w:pPr>
              <w:pStyle w:val="Normal"/>
              <w:widowControl w:val="false"/>
              <w:rPr>
                <w:lang w:val="en-US"/>
              </w:rPr>
            </w:pPr>
            <w:r>
              <w:rPr>
                <w:lang w:val="en-US"/>
              </w:rPr>
              <w:t xml:space="preserve">        </w:t>
            </w:r>
          </w:p>
          <w:p>
            <w:pPr>
              <w:pStyle w:val="Normal"/>
              <w:widowControl w:val="false"/>
              <w:rPr>
                <w:lang w:val="en-US"/>
              </w:rPr>
            </w:pPr>
            <w:r>
              <w:rPr>
                <w:lang w:val="en-US"/>
              </w:rPr>
              <w:t xml:space="preserve">       </w:t>
            </w:r>
          </w:p>
          <w:p>
            <w:pPr>
              <w:pStyle w:val="Normal"/>
              <w:widowControl w:val="false"/>
              <w:spacing w:before="0" w:after="160"/>
              <w:rPr>
                <w:lang w:val="en-US"/>
              </w:rPr>
            </w:pPr>
            <w:r>
              <w:rPr>
                <w:lang w:val="en-US"/>
              </w:rPr>
            </w:r>
          </w:p>
        </w:tc>
      </w:tr>
    </w:tbl>
    <w:p>
      <w:pPr>
        <w:pStyle w:val="Normal"/>
        <w:spacing w:lineRule="auto" w:line="360"/>
        <w:rPr>
          <w:rFonts w:cs="Times New Roman"/>
          <w:szCs w:val="24"/>
        </w:rPr>
      </w:pPr>
      <w:r>
        <w:rPr>
          <w:rFonts w:cs="Times New Roman"/>
          <w:szCs w:val="24"/>
        </w:rPr>
        <w:t>Fra nullmodellen regner vi ut intraklassekorrelasjonen (VPC):</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VPC</m:t>
          </m:r>
          <m:r>
            <w:rPr>
              <w:rFonts w:ascii="Cambria Math" w:hAnsi="Cambria Math"/>
            </w:rPr>
            <m:t xml:space="preserve">=</m:t>
          </m:r>
          <m:f>
            <m:num>
              <m:r>
                <w:rPr>
                  <w:rFonts w:ascii="Cambria Math" w:hAnsi="Cambria Math"/>
                </w:rPr>
                <m:t xml:space="preserve">var</m:t>
              </m:r>
              <m:d>
                <m:dPr>
                  <m:begChr m:val="("/>
                  <m:endChr m:val=")"/>
                </m:dPr>
                <m:e>
                  <m:sSub>
                    <m:e>
                      <m:r>
                        <w:rPr>
                          <w:rFonts w:ascii="Cambria Math" w:hAnsi="Cambria Math"/>
                        </w:rPr>
                        <m:t xml:space="preserve">u</m:t>
                      </m:r>
                    </m:e>
                    <m:sub>
                      <m:r>
                        <w:rPr>
                          <w:rFonts w:ascii="Cambria Math" w:hAnsi="Cambria Math"/>
                        </w:rPr>
                        <m:t xml:space="preserve">0</m:t>
                      </m:r>
                    </m:sub>
                  </m:sSub>
                </m:e>
              </m:d>
            </m:num>
            <m:den>
              <m:r>
                <w:rPr>
                  <w:rFonts w:ascii="Cambria Math" w:hAnsi="Cambria Math"/>
                </w:rPr>
                <m:t xml:space="preserve">var</m:t>
              </m:r>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var</m:t>
              </m:r>
              <m:d>
                <m:dPr>
                  <m:begChr m:val="("/>
                  <m:endChr m:val=")"/>
                </m:dPr>
                <m:e>
                  <m:sSub>
                    <m:e>
                      <m:r>
                        <w:rPr>
                          <w:rFonts w:ascii="Cambria Math" w:hAnsi="Cambria Math"/>
                        </w:rPr>
                        <m:t xml:space="preserve">u</m:t>
                      </m:r>
                    </m:e>
                    <m:sub>
                      <m:r>
                        <w:rPr>
                          <w:rFonts w:ascii="Cambria Math" w:hAnsi="Cambria Math"/>
                        </w:rPr>
                        <m:t xml:space="preserve">0</m:t>
                      </m:r>
                    </m:sub>
                  </m:sSub>
                </m:e>
              </m:d>
            </m:den>
          </m:f>
        </m:oMath>
      </m:oMathPara>
    </w:p>
    <w:p>
      <w:pPr>
        <w:pStyle w:val="Normal"/>
        <w:spacing w:lineRule="auto" w:line="360"/>
        <w:rPr/>
      </w:pPr>
      <w:r>
        <w:rPr>
          <w:rFonts w:cs="Times New Roman"/>
          <w:i/>
          <w:iCs/>
          <w:szCs w:val="24"/>
          <w:shd w:fill="FFFFFF" w:val="clear"/>
        </w:rPr>
        <w:t>var(e)</w:t>
      </w:r>
      <w:r>
        <w:rPr>
          <w:rFonts w:cs="Times New Roman"/>
          <w:szCs w:val="24"/>
          <w:shd w:fill="FFFFFF" w:val="clear"/>
        </w:rPr>
        <w:t xml:space="preserve"> fanger opp variansen</w:t>
      </w:r>
      <w:r>
        <w:rPr>
          <w:rFonts w:cs="Times New Roman"/>
          <w:i/>
          <w:iCs/>
          <w:szCs w:val="24"/>
          <w:shd w:fill="FFFFFF" w:val="clear"/>
        </w:rPr>
        <w:t xml:space="preserve"> </w:t>
      </w:r>
      <w:r>
        <w:rPr>
          <w:rFonts w:cs="Times New Roman"/>
          <w:szCs w:val="24"/>
          <w:shd w:fill="FFFFFF" w:val="clear"/>
        </w:rPr>
        <w:t xml:space="preserve">innad i land, og </w:t>
      </w:r>
      <w:r>
        <w:rPr>
          <w:rFonts w:cs="Times New Roman"/>
          <w:i/>
          <w:iCs/>
          <w:szCs w:val="24"/>
          <w:shd w:fill="FFFFFF" w:val="clear"/>
        </w:rPr>
        <w:t>var(u</w:t>
      </w:r>
      <w:r>
        <w:rPr>
          <w:rFonts w:cs="Times New Roman"/>
          <w:i/>
          <w:iCs/>
          <w:szCs w:val="24"/>
          <w:shd w:fill="FFFFFF" w:val="clear"/>
          <w:vertAlign w:val="subscript"/>
        </w:rPr>
        <w:t>0</w:t>
      </w:r>
      <w:r>
        <w:rPr>
          <w:rFonts w:cs="Times New Roman"/>
          <w:i/>
          <w:iCs/>
          <w:szCs w:val="24"/>
          <w:shd w:fill="FFFFFF" w:val="clear"/>
        </w:rPr>
        <w:t xml:space="preserve">) </w:t>
      </w:r>
      <w:r>
        <w:rPr>
          <w:rFonts w:cs="Times New Roman"/>
          <w:szCs w:val="24"/>
          <w:shd w:fill="FFFFFF" w:val="clear"/>
        </w:rPr>
        <w:t xml:space="preserve">fanger opp variansen mellom land </w:t>
      </w:r>
      <w:r>
        <w:rPr>
          <w:rFonts w:cs="Times New Roman"/>
          <w:szCs w:val="24"/>
        </w:rPr>
        <w:t>(Mehmetoglu &amp; Jakobsen, 2017, s. 203-204)</w:t>
      </w:r>
      <w:r>
        <w:rPr>
          <w:rFonts w:cs="Times New Roman"/>
          <w:szCs w:val="24"/>
          <w:shd w:fill="FFFFFF" w:val="clear"/>
        </w:rPr>
        <w:t>.</w:t>
      </w:r>
      <w:r>
        <w:rPr>
          <w:rFonts w:cs="Times New Roman"/>
          <w:i/>
          <w:iCs/>
          <w:szCs w:val="24"/>
          <w:shd w:fill="FFFFFF" w:val="clear"/>
        </w:rPr>
        <w:t xml:space="preserve"> </w:t>
      </w:r>
      <w:r>
        <w:rPr>
          <w:rFonts w:cs="Times New Roman"/>
          <w:szCs w:val="24"/>
          <w:shd w:fill="FFFFFF" w:val="clear"/>
        </w:rPr>
        <w:t>Vi henter vi ut de to komponentene fra tabell 16, og får følgende ligning:</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VPC</m:t>
          </m:r>
          <m:r>
            <w:rPr>
              <w:rFonts w:ascii="Cambria Math" w:hAnsi="Cambria Math"/>
            </w:rPr>
            <m:t xml:space="preserve">=</m:t>
          </m:r>
          <m:f>
            <m:num>
              <m:r>
                <w:rPr>
                  <w:rFonts w:ascii="Cambria Math" w:hAnsi="Cambria Math"/>
                </w:rPr>
                <m:t xml:space="preserve">0,144528</m:t>
              </m:r>
            </m:num>
            <m:den>
              <m:r>
                <w:rPr>
                  <w:rFonts w:ascii="Cambria Math" w:hAnsi="Cambria Math"/>
                </w:rPr>
                <m:t xml:space="preserve">0,8762782</m:t>
              </m:r>
              <m:r>
                <w:rPr>
                  <w:rFonts w:ascii="Cambria Math" w:hAnsi="Cambria Math"/>
                </w:rPr>
                <m:t xml:space="preserve">+</m:t>
              </m:r>
              <m:r>
                <w:rPr>
                  <w:rFonts w:ascii="Cambria Math" w:hAnsi="Cambria Math"/>
                </w:rPr>
                <m:t xml:space="preserve">0,144528</m:t>
              </m:r>
            </m:den>
          </m:f>
          <m:r>
            <w:rPr>
              <w:rFonts w:ascii="Cambria Math" w:hAnsi="Cambria Math"/>
            </w:rPr>
            <m:t xml:space="preserve">=</m:t>
          </m:r>
          <m:r>
            <w:rPr>
              <w:rFonts w:ascii="Cambria Math" w:hAnsi="Cambria Math"/>
            </w:rPr>
            <m:t xml:space="preserve">0,14</m:t>
          </m:r>
        </m:oMath>
      </m:oMathPara>
    </w:p>
    <w:p>
      <w:pPr>
        <w:pStyle w:val="Normal"/>
        <w:spacing w:lineRule="auto" w:line="360"/>
        <w:rPr/>
      </w:pPr>
      <w:r>
        <w:rPr>
          <w:rFonts w:cs="Times New Roman"/>
          <w:szCs w:val="24"/>
          <w:shd w:fill="FFFFFF" w:val="clear"/>
        </w:rPr>
        <w:t xml:space="preserve">Dermed kan vi si at 14% av variasjonen i politisk tillit ligger på landnivå, mens 86% av variasjonen ligger på individnivå. Dette tallet indikerer at en flernivå-analyse vil fange opp variasjoner man ikke hadde sett ved en enkel modell på individnivå </w:t>
      </w:r>
      <w:r>
        <w:rPr>
          <w:rFonts w:cs="Times New Roman"/>
          <w:szCs w:val="24"/>
        </w:rPr>
        <w:t>(Mehmetoglu &amp; Jakobsen, 2017, s. 203)</w:t>
      </w:r>
      <w:r>
        <w:rPr>
          <w:rFonts w:cs="Times New Roman"/>
          <w:szCs w:val="24"/>
          <w:shd w:fill="FFFFFF" w:val="clear"/>
        </w:rPr>
        <w:t xml:space="preserve">. </w:t>
      </w:r>
    </w:p>
    <w:p>
      <w:pPr>
        <w:pStyle w:val="Normal"/>
        <w:spacing w:lineRule="auto" w:line="360"/>
        <w:rPr/>
      </w:pPr>
      <w:r>
        <w:rPr>
          <w:rFonts w:cs="Times New Roman"/>
          <w:szCs w:val="24"/>
          <w:shd w:fill="FFFFFF" w:val="clear"/>
        </w:rPr>
        <w:t>Parameterne som er presentert i tabell 16 vil også bli brukt til å regne ut R</w:t>
      </w:r>
      <w:r>
        <w:rPr>
          <w:rFonts w:cs="Times New Roman"/>
          <w:szCs w:val="24"/>
          <w:shd w:fill="FFFFFF" w:val="clear"/>
          <w:vertAlign w:val="superscript"/>
        </w:rPr>
        <w:t>2</w:t>
      </w:r>
      <w:r>
        <w:rPr>
          <w:rFonts w:cs="Times New Roman"/>
          <w:szCs w:val="24"/>
          <w:shd w:fill="FFFFFF" w:val="clear"/>
        </w:rPr>
        <w:t xml:space="preserve"> i de neste modellene.</w:t>
      </w:r>
    </w:p>
    <w:p>
      <w:pPr>
        <w:pStyle w:val="Normal"/>
        <w:spacing w:lineRule="auto" w:line="360"/>
        <w:rPr>
          <w:rFonts w:cs="Times New Roman"/>
          <w:szCs w:val="24"/>
          <w:shd w:fill="FFFFFF" w:val="clear"/>
        </w:rPr>
      </w:pPr>
      <w:r>
        <w:rPr>
          <w:rFonts w:cs="Times New Roman"/>
          <w:szCs w:val="24"/>
          <w:shd w:fill="FFFFFF" w:val="clear"/>
        </w:rPr>
      </w:r>
    </w:p>
    <w:p>
      <w:pPr>
        <w:pStyle w:val="Normal"/>
        <w:spacing w:lineRule="auto" w:line="360"/>
        <w:rPr>
          <w:rFonts w:cs="Times New Roman"/>
          <w:szCs w:val="24"/>
          <w:shd w:fill="FFFFFF" w:val="clear"/>
        </w:rPr>
      </w:pPr>
      <w:r>
        <w:rPr>
          <w:rFonts w:cs="Times New Roman"/>
          <w:szCs w:val="24"/>
          <w:shd w:fill="FFFFFF" w:val="clear"/>
        </w:rPr>
      </w:r>
    </w:p>
    <w:p>
      <w:pPr>
        <w:pStyle w:val="Normal"/>
        <w:spacing w:lineRule="auto" w:line="360"/>
        <w:rPr>
          <w:rFonts w:cs="Times New Roman"/>
          <w:szCs w:val="24"/>
          <w:shd w:fill="FFFFFF" w:val="clear"/>
        </w:rPr>
      </w:pPr>
      <w:r>
        <w:rPr>
          <w:rFonts w:cs="Times New Roman"/>
          <w:szCs w:val="24"/>
          <w:shd w:fill="FFFFFF" w:val="clear"/>
        </w:rPr>
      </w:r>
    </w:p>
    <w:p>
      <w:pPr>
        <w:pStyle w:val="Heading2"/>
        <w:spacing w:lineRule="auto" w:line="360"/>
        <w:rPr>
          <w:shd w:fill="FFFFFF" w:val="clear"/>
        </w:rPr>
      </w:pPr>
      <w:bookmarkStart w:id="90" w:name="_Toc72502756"/>
      <w:bookmarkStart w:id="91" w:name="_Toc71923040"/>
      <w:r>
        <w:rPr>
          <w:shd w:fill="FFFFFF" w:val="clear"/>
        </w:rPr>
        <w:t>8.2.</w:t>
        <w:tab/>
        <w:t>Flernivåanalyse (uvektet)</w:t>
      </w:r>
      <w:bookmarkEnd w:id="90"/>
      <w:bookmarkEnd w:id="91"/>
    </w:p>
    <w:p>
      <w:pPr>
        <w:pStyle w:val="Normal"/>
        <w:spacing w:lineRule="auto" w:line="360"/>
        <w:rPr/>
      </w:pPr>
      <w:r>
        <w:rPr>
          <w:rFonts w:cs="Times New Roman"/>
          <w:szCs w:val="24"/>
          <w:shd w:fill="FFFFFF" w:val="clear"/>
        </w:rPr>
        <w:t>Ved å kjøre en flernivå-modell med kun variabler på individnivå, betegnes de uavhengige variablene (</w:t>
      </w:r>
      <w:r>
        <w:rPr>
          <w:rFonts w:cs="Times New Roman"/>
          <w:i/>
          <w:iCs/>
          <w:szCs w:val="24"/>
          <w:shd w:fill="FFFFFF" w:val="clear"/>
        </w:rPr>
        <w:t>X</w:t>
      </w:r>
      <w:r>
        <w:rPr>
          <w:rFonts w:cs="Times New Roman"/>
          <w:szCs w:val="24"/>
          <w:shd w:fill="FFFFFF" w:val="clear"/>
        </w:rPr>
        <w:t xml:space="preserve">) for individ </w:t>
      </w:r>
      <w:r>
        <w:rPr>
          <w:rFonts w:cs="Times New Roman"/>
          <w:i/>
          <w:iCs/>
          <w:szCs w:val="24"/>
          <w:shd w:fill="FFFFFF" w:val="clear"/>
        </w:rPr>
        <w:t>i</w:t>
      </w:r>
      <w:r>
        <w:rPr>
          <w:rFonts w:cs="Times New Roman"/>
          <w:szCs w:val="24"/>
          <w:shd w:fill="FFFFFF" w:val="clear"/>
        </w:rPr>
        <w:t xml:space="preserve"> i land </w:t>
      </w:r>
      <w:r>
        <w:rPr>
          <w:rFonts w:cs="Times New Roman"/>
          <w:i/>
          <w:iCs/>
          <w:szCs w:val="24"/>
          <w:shd w:fill="FFFFFF" w:val="clear"/>
        </w:rPr>
        <w:t xml:space="preserve">j </w:t>
      </w:r>
      <w:r>
        <w:rPr>
          <w:rFonts w:cs="Times New Roman"/>
          <w:szCs w:val="24"/>
          <w:shd w:fill="FFFFFF" w:val="clear"/>
        </w:rPr>
        <w:t>(Mehmetoglu &amp; Jakobsen, 2017, s. 204). Dette kan ses ved følgende ligning:</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r>
                <w:rPr>
                  <w:rFonts w:ascii="Cambria Math" w:hAnsi="Cambria Math"/>
                </w:rPr>
                <m:t xml:space="preserve">ij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2</m:t>
              </m:r>
              <m:r>
                <w:rPr>
                  <w:rFonts w:ascii="Cambria Math" w:hAnsi="Cambria Math"/>
                </w:rPr>
                <m:t xml:space="preserve">ij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3</m:t>
              </m:r>
              <m:r>
                <w:rPr>
                  <w:rFonts w:ascii="Cambria Math" w:hAnsi="Cambria Math"/>
                </w:rPr>
                <m:t xml:space="preserve">ij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4</m:t>
              </m:r>
              <m:r>
                <w:rPr>
                  <w:rFonts w:ascii="Cambria Math" w:hAnsi="Cambria Math"/>
                </w:rPr>
                <m:t xml:space="preserve">ij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5</m:t>
              </m:r>
            </m:sub>
          </m:sSub>
          <m:sSub>
            <m:e>
              <m:r>
                <w:rPr>
                  <w:rFonts w:ascii="Cambria Math" w:hAnsi="Cambria Math"/>
                </w:rPr>
                <m:t xml:space="preserve">X</m:t>
              </m:r>
            </m:e>
            <m:sub>
              <m:r>
                <w:rPr>
                  <w:rFonts w:ascii="Cambria Math" w:hAnsi="Cambria Math"/>
                </w:rPr>
                <m:t xml:space="preserve">5</m:t>
              </m:r>
              <m:r>
                <w:rPr>
                  <w:rFonts w:ascii="Cambria Math" w:hAnsi="Cambria Math"/>
                </w:rPr>
                <m:t xml:space="preserve">ij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ij</m:t>
              </m:r>
            </m:sub>
          </m:sSub>
        </m:oMath>
      </m:oMathPara>
    </w:p>
    <w:p>
      <w:pPr>
        <w:pStyle w:val="Normal"/>
        <w:spacing w:lineRule="auto" w:line="360"/>
        <w:rPr/>
      </w:pPr>
      <w:r>
        <w:rPr>
          <w:rFonts w:cs="Times New Roman"/>
          <w:szCs w:val="24"/>
          <w:shd w:fill="FFFFFF" w:val="clear"/>
        </w:rPr>
        <w:t xml:space="preserve">I modell 1 er alle variablene på individnivå representert, mens modell 2 i tillegg inkluderer nivå 2-variabelen for politisk maktdeling. Det betyr at vi i modell 2 får testet hypotese 1: </w:t>
      </w:r>
      <w:r>
        <w:rPr>
          <w:i/>
          <w:iCs/>
        </w:rPr>
        <w:t>Den generelle politiske tilliten er høyere i pk-land med politisk maktdeling sammenlignet med pk-land uten politisk maktdeling.</w:t>
      </w:r>
    </w:p>
    <w:p>
      <w:pPr>
        <w:pStyle w:val="Normal"/>
        <w:spacing w:lineRule="auto" w:line="360"/>
        <w:rPr/>
      </w:pPr>
      <w:r>
        <w:rPr>
          <w:rFonts w:cs="Times New Roman"/>
          <w:szCs w:val="24"/>
          <w:shd w:fill="FFFFFF" w:val="clear"/>
        </w:rPr>
        <w:t>Tabell 17: Flernivåmodell med individvariabler (1) og variabel på landnivå (2) (uvektet)</w:t>
      </w:r>
      <w:r>
        <w:rPr>
          <w:rStyle w:val="FootnoteCharacters"/>
          <w:i/>
          <w:iCs/>
          <w:sz w:val="22"/>
        </w:rPr>
        <w:t xml:space="preserve"> </w:t>
      </w:r>
      <w:r>
        <w:rPr>
          <w:rStyle w:val="FootnoteAnchor"/>
          <w:i/>
          <w:iCs/>
          <w:sz w:val="22"/>
        </w:rPr>
        <w:footnoteReference w:id="30"/>
      </w:r>
    </w:p>
    <w:tbl>
      <w:tblPr>
        <w:tblW w:w="6123" w:type="dxa"/>
        <w:jc w:val="center"/>
        <w:tblInd w:w="0" w:type="dxa"/>
        <w:tblLayout w:type="fixed"/>
        <w:tblCellMar>
          <w:top w:w="0" w:type="dxa"/>
          <w:left w:w="75" w:type="dxa"/>
          <w:bottom w:w="0" w:type="dxa"/>
          <w:right w:w="75" w:type="dxa"/>
        </w:tblCellMar>
      </w:tblPr>
      <w:tblGrid>
        <w:gridCol w:w="2523"/>
        <w:gridCol w:w="2159"/>
        <w:gridCol w:w="1441"/>
      </w:tblGrid>
      <w:tr>
        <w:trPr/>
        <w:tc>
          <w:tcPr>
            <w:tcW w:w="2523" w:type="dxa"/>
            <w:tcBorders>
              <w:top w:val="single" w:sz="6" w:space="0" w:color="000000"/>
            </w:tcBorders>
          </w:tcPr>
          <w:p>
            <w:pPr>
              <w:pStyle w:val="Normal"/>
              <w:widowControl w:val="false"/>
              <w:spacing w:lineRule="auto" w:line="240" w:before="0" w:after="0"/>
              <w:rPr>
                <w:rFonts w:cs="Times New Roman"/>
                <w:szCs w:val="24"/>
              </w:rPr>
            </w:pPr>
            <w:r>
              <w:rPr>
                <w:rFonts w:cs="Times New Roman"/>
                <w:szCs w:val="24"/>
              </w:rPr>
            </w:r>
          </w:p>
        </w:tc>
        <w:tc>
          <w:tcPr>
            <w:tcW w:w="2159" w:type="dxa"/>
            <w:tcBorders>
              <w:top w:val="single" w:sz="6" w:space="0" w:color="000000"/>
            </w:tcBorders>
          </w:tcPr>
          <w:p>
            <w:pPr>
              <w:pStyle w:val="Normal"/>
              <w:widowControl w:val="false"/>
              <w:spacing w:lineRule="auto" w:line="240" w:before="0" w:after="0"/>
              <w:jc w:val="center"/>
              <w:rPr>
                <w:rFonts w:cs="Times New Roman"/>
                <w:szCs w:val="24"/>
              </w:rPr>
            </w:pPr>
            <w:r>
              <w:rPr>
                <w:rFonts w:cs="Times New Roman"/>
                <w:szCs w:val="24"/>
              </w:rPr>
              <w:t>(1)</w:t>
            </w:r>
          </w:p>
        </w:tc>
        <w:tc>
          <w:tcPr>
            <w:tcW w:w="1441" w:type="dxa"/>
            <w:tcBorders>
              <w:top w:val="single" w:sz="6" w:space="0" w:color="000000"/>
            </w:tcBorders>
          </w:tcPr>
          <w:p>
            <w:pPr>
              <w:pStyle w:val="Normal"/>
              <w:widowControl w:val="false"/>
              <w:spacing w:lineRule="auto" w:line="240" w:before="0" w:after="0"/>
              <w:jc w:val="center"/>
              <w:rPr>
                <w:rFonts w:cs="Times New Roman"/>
                <w:szCs w:val="24"/>
              </w:rPr>
            </w:pPr>
            <w:r>
              <w:rPr>
                <w:rFonts w:cs="Times New Roman"/>
                <w:szCs w:val="24"/>
              </w:rPr>
              <w:t>(2)</w:t>
            </w:r>
          </w:p>
        </w:tc>
      </w:tr>
      <w:tr>
        <w:trPr/>
        <w:tc>
          <w:tcPr>
            <w:tcW w:w="2523" w:type="dxa"/>
            <w:tcBorders>
              <w:bottom w:val="single" w:sz="6" w:space="0" w:color="000000"/>
            </w:tcBorders>
          </w:tcPr>
          <w:p>
            <w:pPr>
              <w:pStyle w:val="Normal"/>
              <w:widowControl w:val="false"/>
              <w:spacing w:lineRule="auto" w:line="240" w:before="0" w:after="0"/>
              <w:rPr>
                <w:rFonts w:cs="Times New Roman"/>
                <w:szCs w:val="24"/>
              </w:rPr>
            </w:pPr>
            <w:r>
              <w:rPr>
                <w:rFonts w:cs="Times New Roman"/>
                <w:szCs w:val="24"/>
              </w:rPr>
              <w:t>VARIABLER</w:t>
            </w:r>
          </w:p>
        </w:tc>
        <w:tc>
          <w:tcPr>
            <w:tcW w:w="2159" w:type="dxa"/>
            <w:tcBorders>
              <w:bottom w:val="single" w:sz="6" w:space="0" w:color="000000"/>
            </w:tcBorders>
          </w:tcPr>
          <w:p>
            <w:pPr>
              <w:pStyle w:val="Normal"/>
              <w:widowControl w:val="false"/>
              <w:spacing w:lineRule="auto" w:line="240" w:before="0" w:after="0"/>
              <w:jc w:val="center"/>
              <w:rPr>
                <w:rFonts w:cs="Times New Roman"/>
                <w:szCs w:val="24"/>
              </w:rPr>
            </w:pPr>
            <w:r>
              <w:rPr>
                <w:rFonts w:cs="Times New Roman"/>
                <w:szCs w:val="24"/>
              </w:rPr>
              <w:t>politisktillit</w:t>
            </w:r>
          </w:p>
        </w:tc>
        <w:tc>
          <w:tcPr>
            <w:tcW w:w="1441" w:type="dxa"/>
            <w:tcBorders>
              <w:bottom w:val="single" w:sz="6" w:space="0" w:color="000000"/>
            </w:tcBorders>
          </w:tcPr>
          <w:p>
            <w:pPr>
              <w:pStyle w:val="Normal"/>
              <w:widowControl w:val="false"/>
              <w:spacing w:lineRule="auto" w:line="240" w:before="0" w:after="0"/>
              <w:jc w:val="center"/>
              <w:rPr>
                <w:rFonts w:cs="Times New Roman"/>
                <w:szCs w:val="24"/>
              </w:rPr>
            </w:pPr>
            <w:r>
              <w:rPr>
                <w:rFonts w:cs="Times New Roman"/>
                <w:szCs w:val="24"/>
              </w:rPr>
              <w:t>politisktillit</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r>
          </w:p>
          <w:p>
            <w:pPr>
              <w:pStyle w:val="Normal"/>
              <w:widowControl w:val="false"/>
              <w:spacing w:lineRule="auto" w:line="240" w:before="0" w:after="0"/>
              <w:rPr>
                <w:rFonts w:cs="Times New Roman"/>
                <w:szCs w:val="24"/>
              </w:rPr>
            </w:pPr>
            <w:r>
              <w:rPr>
                <w:rFonts w:cs="Times New Roman"/>
                <w:szCs w:val="24"/>
              </w:rPr>
              <w:t>polps</w:t>
            </w:r>
            <w:r>
              <w:rPr>
                <w:rFonts w:cs="Times New Roman"/>
                <w:szCs w:val="24"/>
                <w:vertAlign w:val="superscript"/>
              </w:rPr>
              <w:t>a</w:t>
            </w:r>
          </w:p>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r>
          </w:p>
          <w:p>
            <w:pPr>
              <w:pStyle w:val="Normal"/>
              <w:widowControl w:val="false"/>
              <w:spacing w:lineRule="auto" w:line="240" w:before="0" w:after="0"/>
              <w:jc w:val="center"/>
              <w:rPr>
                <w:rFonts w:cs="Times New Roman"/>
                <w:szCs w:val="24"/>
              </w:rPr>
            </w:pPr>
            <w:r>
              <w:rPr>
                <w:rFonts w:cs="Times New Roman"/>
                <w:szCs w:val="24"/>
              </w:rPr>
            </w:r>
          </w:p>
          <w:p>
            <w:pPr>
              <w:pStyle w:val="Normal"/>
              <w:widowControl w:val="false"/>
              <w:spacing w:lineRule="auto" w:line="240" w:before="0" w:after="0"/>
              <w:jc w:val="center"/>
              <w:rPr>
                <w:rFonts w:cs="Times New Roman"/>
                <w:szCs w:val="24"/>
              </w:rPr>
            </w:pPr>
            <w:r>
              <w:rPr>
                <w:rFonts w:cs="Times New Roman"/>
                <w:szCs w:val="24"/>
              </w:rPr>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r>
          </w:p>
          <w:p>
            <w:pPr>
              <w:pStyle w:val="Normal"/>
              <w:widowControl w:val="false"/>
              <w:spacing w:lineRule="auto" w:line="240" w:before="0" w:after="0"/>
              <w:jc w:val="center"/>
              <w:rPr>
                <w:rFonts w:cs="Times New Roman"/>
                <w:szCs w:val="24"/>
              </w:rPr>
            </w:pPr>
            <w:r>
              <w:rPr>
                <w:rFonts w:cs="Times New Roman"/>
                <w:szCs w:val="24"/>
              </w:rPr>
              <w:t>-0.016</w:t>
            </w:r>
          </w:p>
          <w:p>
            <w:pPr>
              <w:pStyle w:val="Normal"/>
              <w:widowControl w:val="false"/>
              <w:spacing w:lineRule="auto" w:line="240" w:before="0" w:after="0"/>
              <w:jc w:val="center"/>
              <w:rPr>
                <w:rFonts w:cs="Times New Roman"/>
                <w:szCs w:val="24"/>
              </w:rPr>
            </w:pPr>
            <w:r>
              <w:rPr>
                <w:rFonts w:cs="Times New Roman"/>
                <w:szCs w:val="24"/>
              </w:rPr>
              <w:t>(0.188)</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t>undertrykt</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-0.083***</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-0.083***</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(0.020)</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(0.020)</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t>kvinne</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-0.012</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-0.012</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(0.017)</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(0.017)</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t>alder</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0.002***</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0.002***</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(0.001)</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(0.001)</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t>uteninntekt</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-0.162***</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-0.162***</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r>
          </w:p>
          <w:p>
            <w:pPr>
              <w:pStyle w:val="Normal"/>
              <w:widowControl w:val="false"/>
              <w:spacing w:lineRule="auto" w:line="240" w:before="0" w:after="0"/>
              <w:rPr>
                <w:rFonts w:cs="Times New Roman"/>
                <w:szCs w:val="24"/>
              </w:rPr>
            </w:pPr>
            <w:r>
              <w:rPr>
                <w:rFonts w:cs="Times New Roman"/>
                <w:szCs w:val="24"/>
              </w:rPr>
            </w:r>
          </w:p>
          <w:p>
            <w:pPr>
              <w:pStyle w:val="Normal"/>
              <w:widowControl w:val="false"/>
              <w:spacing w:lineRule="auto" w:line="240" w:before="0" w:after="0"/>
              <w:rPr>
                <w:rFonts w:cs="Times New Roman"/>
                <w:b/>
                <w:b/>
                <w:bCs/>
                <w:szCs w:val="24"/>
              </w:rPr>
            </w:pPr>
            <w:r>
              <w:rPr>
                <w:rFonts w:cs="Times New Roman"/>
                <w:b/>
                <w:bCs/>
                <w:szCs w:val="24"/>
              </w:rPr>
              <w:t>Utdanning</w:t>
            </w:r>
            <w:r>
              <w:rPr>
                <w:rFonts w:cs="Times New Roman"/>
                <w:b/>
                <w:bCs/>
                <w:szCs w:val="24"/>
                <w:vertAlign w:val="superscript"/>
              </w:rPr>
              <w:t>b</w:t>
            </w:r>
          </w:p>
          <w:p>
            <w:pPr>
              <w:pStyle w:val="Normal"/>
              <w:widowControl w:val="false"/>
              <w:spacing w:lineRule="auto" w:line="240" w:before="0" w:after="0"/>
              <w:rPr>
                <w:rFonts w:cs="Times New Roman"/>
                <w:b/>
                <w:b/>
                <w:bCs/>
                <w:szCs w:val="24"/>
                <w:vertAlign w:val="superscript"/>
              </w:rPr>
            </w:pPr>
            <w:r>
              <w:rPr>
                <w:rFonts w:cs="Times New Roman"/>
                <w:b/>
                <w:bCs/>
                <w:szCs w:val="24"/>
                <w:vertAlign w:val="superscript"/>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(0.019)</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(0.019)</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t>Primær</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-0.050*</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-0.050*</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(0.028)</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(0.028)</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t>Sekundær</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-0.160***</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-0.160***</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(0.032)</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(0.027)</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t>Post-sekundær</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-0.254***</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-0.254***</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(0.032)</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(0.032)</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t>Constant</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2.737***</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2.745***</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(0.101)</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(0.137)</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t>N1</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12,781</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12,781</w:t>
            </w:r>
          </w:p>
        </w:tc>
      </w:tr>
      <w:tr>
        <w:trPr/>
        <w:tc>
          <w:tcPr>
            <w:tcW w:w="2523" w:type="dxa"/>
            <w:tcBorders>
              <w:bottom w:val="single" w:sz="6" w:space="0" w:color="000000"/>
            </w:tcBorders>
          </w:tcPr>
          <w:p>
            <w:pPr>
              <w:pStyle w:val="Normal"/>
              <w:widowControl w:val="false"/>
              <w:spacing w:lineRule="auto" w:line="240" w:before="0" w:after="0"/>
              <w:rPr>
                <w:rFonts w:cs="Times New Roman"/>
                <w:szCs w:val="24"/>
              </w:rPr>
            </w:pPr>
            <w:r>
              <w:rPr>
                <w:rFonts w:cs="Times New Roman"/>
                <w:szCs w:val="24"/>
              </w:rPr>
              <w:t>N2</w:t>
            </w:r>
          </w:p>
        </w:tc>
        <w:tc>
          <w:tcPr>
            <w:tcW w:w="2159" w:type="dxa"/>
            <w:tcBorders>
              <w:bottom w:val="single" w:sz="6" w:space="0" w:color="000000"/>
            </w:tcBorders>
          </w:tcPr>
          <w:p>
            <w:pPr>
              <w:pStyle w:val="Normal"/>
              <w:widowControl w:val="false"/>
              <w:spacing w:lineRule="auto" w:line="240" w:before="0" w:after="0"/>
              <w:jc w:val="center"/>
              <w:rPr>
                <w:rFonts w:cs="Times New Roman"/>
                <w:szCs w:val="24"/>
              </w:rPr>
            </w:pPr>
            <w:r>
              <w:rPr>
                <w:rFonts w:cs="Times New Roman"/>
                <w:szCs w:val="24"/>
              </w:rPr>
              <w:t>16</w:t>
            </w:r>
          </w:p>
        </w:tc>
        <w:tc>
          <w:tcPr>
            <w:tcW w:w="1441" w:type="dxa"/>
            <w:tcBorders>
              <w:bottom w:val="single" w:sz="6" w:space="0" w:color="000000"/>
            </w:tcBorders>
          </w:tcPr>
          <w:p>
            <w:pPr>
              <w:pStyle w:val="Normal"/>
              <w:widowControl w:val="false"/>
              <w:spacing w:lineRule="auto" w:line="240" w:before="0" w:after="0"/>
              <w:jc w:val="center"/>
              <w:rPr>
                <w:rFonts w:cs="Times New Roman"/>
                <w:szCs w:val="24"/>
              </w:rPr>
            </w:pPr>
            <w:r>
              <w:rPr>
                <w:rFonts w:cs="Times New Roman"/>
                <w:szCs w:val="24"/>
              </w:rPr>
              <w:t>16</w:t>
            </w:r>
          </w:p>
        </w:tc>
      </w:tr>
    </w:tbl>
    <w:p>
      <w:pPr>
        <w:pStyle w:val="Normal"/>
        <w:widowControl w:val="false"/>
        <w:spacing w:lineRule="auto" w:line="240" w:before="0" w:after="0"/>
        <w:jc w:val="center"/>
        <w:rPr>
          <w:rFonts w:cs="Times New Roman"/>
          <w:szCs w:val="24"/>
        </w:rPr>
      </w:pPr>
      <w:r>
        <w:rPr>
          <w:rFonts w:cs="Times New Roman"/>
          <w:szCs w:val="24"/>
        </w:rPr>
        <w:t>Standardfeil i parentes | *** p&lt;0.01, ** p&lt;0.05, * p&lt;0.1 | a: Nivå 2-variabel | b: Ingen formell utdanning er referansekategori</w:t>
      </w:r>
    </w:p>
    <w:p>
      <w:pPr>
        <w:pStyle w:val="Normal"/>
        <w:spacing w:lineRule="auto" w:line="360"/>
        <w:rPr/>
      </w:pPr>
      <w:r>
        <w:rPr>
          <w:rFonts w:cs="Times New Roman"/>
          <w:szCs w:val="24"/>
          <w:shd w:fill="FFFFFF" w:val="clear"/>
        </w:rPr>
        <w:t xml:space="preserve">Tabell 17 viser </w:t>
      </w:r>
      <w:r>
        <w:rPr>
          <w:rFonts w:cs="Times New Roman"/>
          <w:i/>
          <w:iCs/>
          <w:szCs w:val="24"/>
          <w:shd w:fill="FFFFFF" w:val="clear"/>
        </w:rPr>
        <w:t>fixed effect</w:t>
      </w:r>
      <w:r>
        <w:rPr>
          <w:rFonts w:cs="Times New Roman"/>
          <w:szCs w:val="24"/>
          <w:shd w:fill="FFFFFF" w:val="clear"/>
        </w:rPr>
        <w:t xml:space="preserve">-koeffisienten, altså gjennomsnittlig effekt av det totale utvalget av land (Mehmetoglu &amp; Jakobsen, 2017, s. 204). </w:t>
      </w:r>
      <w:r>
        <w:rPr>
          <w:rFonts w:cs="Times New Roman"/>
          <w:szCs w:val="24"/>
        </w:rPr>
        <w:t>Modellene viser at personer som er politisk undertrykt generelt sett er assosiert med lavere politisk tillit – uten å ta hensyn til hvorvidt landet har hatt maktdeling. I tillegg er høyere alder assosiert med høyere politisk tillit. Inntektsvariabelen viser at personer som ofte eller alltid går uten inntekt er assosiert med lavere politisk tillit enn personer som ofte eller alltid har økonomisk inntekt. Personer med sekundær utdanning er assosiert med lavere politisk tillit enn personer med ingen formell utdanning. Personer med post-sekundær utdanning er igjen assosiert med desto lavere politisk tillit. Denne oppgaven har et krav om et signifikansnivå på 5%, da dette anses som akseptabelt i samfunnsvitenskapen (Ringdal, 2013, s. 268). Dermed ses ikke kategorien for primær utdanning, eller kjønnsvariabelen som statistisk signifikant.</w:t>
      </w:r>
    </w:p>
    <w:p>
      <w:pPr>
        <w:pStyle w:val="Normal"/>
        <w:spacing w:lineRule="auto" w:line="360"/>
        <w:rPr/>
      </w:pPr>
      <w:r>
        <w:rPr>
          <w:rFonts w:cs="Times New Roman"/>
          <w:szCs w:val="24"/>
          <w:shd w:fill="FFFFFF" w:val="clear"/>
        </w:rPr>
        <w:t xml:space="preserve">Variansekomponentene for modell 1 og 2 (se appendiks 9 og 10) har falt sammenlignet med nullmodellen. Nivå 2-variansen, </w:t>
      </w:r>
      <w:r>
        <w:rPr>
          <w:rFonts w:cs="Times New Roman"/>
          <w:i/>
          <w:iCs/>
          <w:szCs w:val="24"/>
          <w:shd w:fill="FFFFFF" w:val="clear"/>
        </w:rPr>
        <w:t>var(u</w:t>
      </w:r>
      <w:r>
        <w:rPr>
          <w:rFonts w:cs="Times New Roman"/>
          <w:i/>
          <w:iCs/>
          <w:szCs w:val="24"/>
          <w:shd w:fill="FFFFFF" w:val="clear"/>
          <w:vertAlign w:val="subscript"/>
        </w:rPr>
        <w:t>0</w:t>
      </w:r>
      <w:r>
        <w:rPr>
          <w:rFonts w:cs="Times New Roman"/>
          <w:i/>
          <w:iCs/>
          <w:szCs w:val="24"/>
          <w:shd w:fill="FFFFFF" w:val="clear"/>
        </w:rPr>
        <w:t xml:space="preserve">), </w:t>
      </w:r>
      <w:r>
        <w:rPr>
          <w:rFonts w:cs="Times New Roman"/>
          <w:szCs w:val="24"/>
          <w:shd w:fill="FFFFFF" w:val="clear"/>
        </w:rPr>
        <w:t xml:space="preserve">har falt siden vi antar at ulike land har ulike skjæringspunkt for den avhengige variabelen grunnet random intercept modellen. Variansen på individnivå, </w:t>
      </w:r>
      <w:r>
        <w:rPr>
          <w:rFonts w:cs="Times New Roman"/>
          <w:i/>
          <w:iCs/>
          <w:szCs w:val="24"/>
          <w:shd w:fill="FFFFFF" w:val="clear"/>
        </w:rPr>
        <w:t xml:space="preserve">var(e), </w:t>
      </w:r>
      <w:r>
        <w:rPr>
          <w:rFonts w:cs="Times New Roman"/>
          <w:szCs w:val="24"/>
          <w:shd w:fill="FFFFFF" w:val="clear"/>
        </w:rPr>
        <w:t>har også falt. Ettersom tabell 17 representerer nivå 1 bedre enn nullmodellen, og variansen har falt, kan vi si at noe av variasjonen i politisk tillit kan forklares av variablene som er lagt til i tabell 17 (Mehmetoglu &amp; Jakobsen, 2017, s. 205).</w:t>
      </w:r>
    </w:p>
    <w:p>
      <w:pPr>
        <w:pStyle w:val="Normal"/>
        <w:spacing w:lineRule="auto" w:line="360"/>
        <w:rPr>
          <w:rFonts w:cs="Times New Roman"/>
          <w:szCs w:val="24"/>
          <w:shd w:fill="FFFFFF" w:val="clear"/>
        </w:rPr>
      </w:pPr>
      <w:r>
        <w:rPr>
          <w:rFonts w:cs="Times New Roman"/>
          <w:szCs w:val="24"/>
          <w:shd w:fill="FFFFFF" w:val="clear"/>
        </w:rPr>
        <w:t>I modell 2 er nivå 2-variabelen for politisk maktdeling inkludert for å se hvorvidt personer i maktdelingsland er assosiert med høyere politisk tillit – uavhengig av kjønn eller etnisk gruppe. Siden datasettet inkluderer 16 land, vil det være problematisk å involvere flere variabler på landnivå – ettersom mer enn én uavhengig variabel per 10 observasjoner kan føre til upålitelige konfidensintervaller (Mehmetoglu &amp; Jakobsen, 2017, s. 206). Vi inkluderer derfor kun én variabel på landnivå, og får følgende ligning:</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2</m:t>
              </m:r>
              <m:r>
                <w:rPr>
                  <w:rFonts w:ascii="Cambria Math" w:hAnsi="Cambria Math"/>
                </w:rPr>
                <m:t xml:space="preserve">ij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3</m:t>
              </m:r>
              <m:r>
                <w:rPr>
                  <w:rFonts w:ascii="Cambria Math" w:hAnsi="Cambria Math"/>
                </w:rPr>
                <m:t xml:space="preserve">ij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4</m:t>
              </m:r>
              <m:r>
                <w:rPr>
                  <w:rFonts w:ascii="Cambria Math" w:hAnsi="Cambria Math"/>
                </w:rPr>
                <m:t xml:space="preserve">ij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5</m:t>
              </m:r>
            </m:sub>
          </m:sSub>
          <m:sSub>
            <m:e>
              <m:r>
                <w:rPr>
                  <w:rFonts w:ascii="Cambria Math" w:hAnsi="Cambria Math"/>
                </w:rPr>
                <m:t xml:space="preserve">X</m:t>
              </m:r>
            </m:e>
            <m:sub>
              <m:r>
                <w:rPr>
                  <w:rFonts w:ascii="Cambria Math" w:hAnsi="Cambria Math"/>
                </w:rPr>
                <m:t xml:space="preserve">5</m:t>
              </m:r>
              <m:r>
                <w:rPr>
                  <w:rFonts w:ascii="Cambria Math" w:hAnsi="Cambria Math"/>
                </w:rPr>
                <m:t xml:space="preserve">ij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6</m:t>
              </m:r>
            </m:sub>
          </m:sSub>
          <m:sSub>
            <m:e>
              <m:r>
                <w:rPr>
                  <w:rFonts w:ascii="Cambria Math" w:hAnsi="Cambria Math"/>
                </w:rPr>
                <m:t xml:space="preserve">X</m:t>
              </m:r>
            </m:e>
            <m:sub>
              <m:r>
                <w:rPr>
                  <w:rFonts w:ascii="Cambria Math" w:hAnsi="Cambria Math"/>
                </w:rPr>
                <m:t xml:space="preserve">6</m:t>
              </m:r>
              <m:r>
                <w:rPr>
                  <w:rFonts w:ascii="Cambria Math" w:hAnsi="Cambria Math"/>
                </w:rPr>
                <m:t xml:space="preserve">ij</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oMath>
      </m:oMathPara>
    </w:p>
    <w:p>
      <w:pPr>
        <w:pStyle w:val="Normal"/>
        <w:spacing w:lineRule="auto" w:line="360"/>
        <w:rPr/>
      </w:pPr>
      <w:r>
        <w:rPr>
          <w:rFonts w:cs="Times New Roman"/>
          <w:szCs w:val="24"/>
          <w:shd w:fill="FFFFFF" w:val="clear"/>
        </w:rPr>
        <w:t xml:space="preserve">Her ser vi variabelen </w:t>
      </w:r>
      <w:r>
        <w:rPr/>
      </w:r>
      <m:oMath xmlns:m="http://schemas.openxmlformats.org/officeDocument/2006/math">
        <m:sSub>
          <m:e>
            <m:r>
              <w:rPr>
                <w:rFonts w:ascii="Cambria Math" w:hAnsi="Cambria Math"/>
              </w:rPr>
              <m:t xml:space="preserve">X</m:t>
            </m:r>
          </m:e>
          <m:sub>
            <m:r>
              <w:rPr>
                <w:rFonts w:ascii="Cambria Math" w:hAnsi="Cambria Math"/>
              </w:rPr>
              <m:t xml:space="preserve">1</m:t>
            </m:r>
            <m:r>
              <w:rPr>
                <w:rFonts w:ascii="Cambria Math" w:hAnsi="Cambria Math"/>
              </w:rPr>
              <m:t xml:space="preserve">j</m:t>
            </m:r>
          </m:sub>
        </m:sSub>
      </m:oMath>
      <w:r>
        <w:rPr>
          <w:rFonts w:cs="Times New Roman"/>
          <w:szCs w:val="24"/>
          <w:shd w:fill="FFFFFF" w:val="clear"/>
        </w:rPr>
        <w:t xml:space="preserve"> som kun varierer mellom land. Dette identifiseres ved at land (</w:t>
      </w:r>
      <w:r>
        <w:rPr>
          <w:rFonts w:cs="Times New Roman"/>
          <w:i/>
          <w:iCs/>
          <w:szCs w:val="24"/>
          <w:shd w:fill="FFFFFF" w:val="clear"/>
        </w:rPr>
        <w:t>j</w:t>
      </w:r>
      <w:r>
        <w:rPr>
          <w:rFonts w:cs="Times New Roman"/>
          <w:szCs w:val="24"/>
          <w:shd w:fill="FFFFFF" w:val="clear"/>
        </w:rPr>
        <w:t>) er tillagt variabelen, men ikke individer (</w:t>
      </w:r>
      <w:r>
        <w:rPr>
          <w:rFonts w:cs="Times New Roman"/>
          <w:i/>
          <w:iCs/>
          <w:szCs w:val="24"/>
          <w:shd w:fill="FFFFFF" w:val="clear"/>
        </w:rPr>
        <w:t xml:space="preserve">i) </w:t>
      </w:r>
      <w:r>
        <w:rPr>
          <w:rFonts w:cs="Times New Roman"/>
          <w:szCs w:val="24"/>
          <w:shd w:fill="FFFFFF" w:val="clear"/>
        </w:rPr>
        <w:t>(Mehmetoglu &amp; Jakobsen, 2017, s. 207)</w:t>
      </w:r>
      <w:r>
        <w:rPr>
          <w:rFonts w:cs="Times New Roman"/>
          <w:i/>
          <w:iCs/>
          <w:szCs w:val="24"/>
          <w:shd w:fill="FFFFFF" w:val="clear"/>
        </w:rPr>
        <w:t>.</w:t>
      </w:r>
    </w:p>
    <w:p>
      <w:pPr>
        <w:pStyle w:val="Normal"/>
        <w:spacing w:lineRule="auto" w:line="360"/>
        <w:rPr/>
      </w:pPr>
      <w:r>
        <w:rPr>
          <w:rFonts w:cs="Times New Roman"/>
          <w:szCs w:val="24"/>
          <w:shd w:fill="FFFFFF" w:val="clear"/>
        </w:rPr>
        <w:t xml:space="preserve">Forklaringskraften til modell 2 kan regnes ut ved å sammenligne variansekomponentene for tabell 17 med variansekomponentene fra nullmodellen (Hox, 2010; Bryk &amp; Raudenbush, 2002) og dermed kalkulere hvor mye av variansen på individ- og landnivå som er forklart av de uavhengige variablene som er inkludert (Mehmetoglu &amp; Jakobsen, 2017, s. 208). For å regne ut dette på individnivå, benytter vi </w:t>
      </w:r>
      <w:r>
        <w:rPr>
          <w:rFonts w:cs="Times New Roman"/>
          <w:i/>
          <w:iCs/>
          <w:szCs w:val="24"/>
          <w:shd w:fill="FFFFFF" w:val="clear"/>
        </w:rPr>
        <w:t>var(e)</w:t>
      </w:r>
      <w:r>
        <w:rPr>
          <w:rFonts w:cs="Times New Roman"/>
          <w:i/>
          <w:iCs/>
          <w:szCs w:val="24"/>
          <w:shd w:fill="FFFFFF" w:val="clear"/>
          <w:vertAlign w:val="subscript"/>
        </w:rPr>
        <w:t xml:space="preserve">b </w:t>
      </w:r>
      <w:r>
        <w:rPr>
          <w:rFonts w:cs="Times New Roman"/>
          <w:szCs w:val="24"/>
          <w:shd w:fill="FFFFFF" w:val="clear"/>
        </w:rPr>
        <w:t xml:space="preserve">som indikerer residualvariansen for nivå-1 i nullmodellen (se tabell 16). Vi anvender også </w:t>
      </w:r>
      <w:r>
        <w:rPr>
          <w:rFonts w:cs="Times New Roman"/>
          <w:i/>
          <w:iCs/>
          <w:szCs w:val="24"/>
          <w:shd w:fill="FFFFFF" w:val="clear"/>
        </w:rPr>
        <w:t>var(e)</w:t>
      </w:r>
      <w:r>
        <w:rPr>
          <w:rFonts w:cs="Times New Roman"/>
          <w:i/>
          <w:iCs/>
          <w:szCs w:val="24"/>
          <w:shd w:fill="FFFFFF" w:val="clear"/>
          <w:vertAlign w:val="subscript"/>
        </w:rPr>
        <w:t xml:space="preserve">m </w:t>
      </w:r>
      <w:r>
        <w:rPr>
          <w:rFonts w:cs="Times New Roman"/>
          <w:szCs w:val="24"/>
          <w:shd w:fill="FFFFFF" w:val="clear"/>
        </w:rPr>
        <w:t>som representerer variansen for nivå 1 (se appendiks 10):</w:t>
      </w:r>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var</m:t>
              </m:r>
              <m:sSub>
                <m:e>
                  <m:d>
                    <m:dPr>
                      <m:begChr m:val="("/>
                      <m:endChr m:val=")"/>
                    </m:dPr>
                    <m:e>
                      <m:r>
                        <w:rPr>
                          <w:rFonts w:ascii="Cambria Math" w:hAnsi="Cambria Math"/>
                        </w:rPr>
                        <m:t xml:space="preserve">e</m:t>
                      </m:r>
                    </m:e>
                  </m:d>
                </m:e>
                <m:sub>
                  <m:r>
                    <w:rPr>
                      <w:rFonts w:ascii="Cambria Math" w:hAnsi="Cambria Math"/>
                    </w:rPr>
                    <m:t xml:space="preserve">b</m:t>
                  </m:r>
                </m:sub>
              </m:sSub>
              <m:r>
                <w:rPr>
                  <w:rFonts w:ascii="Cambria Math" w:hAnsi="Cambria Math"/>
                </w:rPr>
                <m:t xml:space="preserve">−</m:t>
              </m:r>
              <m:r>
                <w:rPr>
                  <w:rFonts w:ascii="Cambria Math" w:hAnsi="Cambria Math"/>
                </w:rPr>
                <m:t xml:space="preserve">var</m:t>
              </m:r>
              <m:sSub>
                <m:e>
                  <m:d>
                    <m:dPr>
                      <m:begChr m:val="("/>
                      <m:endChr m:val=")"/>
                    </m:dPr>
                    <m:e>
                      <m:r>
                        <w:rPr>
                          <w:rFonts w:ascii="Cambria Math" w:hAnsi="Cambria Math"/>
                        </w:rPr>
                        <m:t xml:space="preserve">e</m:t>
                      </m:r>
                    </m:e>
                  </m:d>
                </m:e>
                <m:sub>
                  <m:r>
                    <w:rPr>
                      <w:rFonts w:ascii="Cambria Math" w:hAnsi="Cambria Math"/>
                    </w:rPr>
                    <m:t xml:space="preserve">m</m:t>
                  </m:r>
                </m:sub>
              </m:sSub>
            </m:num>
            <m:den>
              <m:r>
                <w:rPr>
                  <w:rFonts w:ascii="Cambria Math" w:hAnsi="Cambria Math"/>
                </w:rPr>
                <m:t xml:space="preserve">var</m:t>
              </m:r>
              <m:sSub>
                <m:e>
                  <m:d>
                    <m:dPr>
                      <m:begChr m:val="("/>
                      <m:endChr m:val=")"/>
                    </m:dPr>
                    <m:e>
                      <m:r>
                        <w:rPr>
                          <w:rFonts w:ascii="Cambria Math" w:hAnsi="Cambria Math"/>
                        </w:rPr>
                        <m:t xml:space="preserve">e</m:t>
                      </m:r>
                    </m:e>
                  </m:d>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0,8769764</m:t>
              </m:r>
              <m:r>
                <w:rPr>
                  <w:rFonts w:ascii="Cambria Math" w:hAnsi="Cambria Math"/>
                </w:rPr>
                <m:t xml:space="preserve">−</m:t>
              </m:r>
              <m:r>
                <w:rPr>
                  <w:rFonts w:ascii="Cambria Math" w:hAnsi="Cambria Math"/>
                </w:rPr>
                <m:t xml:space="preserve">0,8648585</m:t>
              </m:r>
            </m:num>
            <m:den>
              <m:r>
                <w:rPr>
                  <w:rFonts w:ascii="Cambria Math" w:hAnsi="Cambria Math"/>
                </w:rPr>
                <m:t xml:space="preserve">0,8769764</m:t>
              </m:r>
            </m:den>
          </m:f>
          <m:r>
            <w:rPr>
              <w:rFonts w:ascii="Cambria Math" w:hAnsi="Cambria Math"/>
            </w:rPr>
            <m:t xml:space="preserve">=</m:t>
          </m:r>
          <m:r>
            <w:rPr>
              <w:rFonts w:ascii="Cambria Math" w:hAnsi="Cambria Math"/>
            </w:rPr>
            <m:t xml:space="preserve">0,014</m:t>
          </m:r>
        </m:oMath>
      </m:oMathPara>
    </w:p>
    <w:p>
      <w:pPr>
        <w:pStyle w:val="Normal"/>
        <w:spacing w:lineRule="auto" w:line="360"/>
        <w:rPr/>
      </w:pPr>
      <w:r>
        <w:rPr>
          <w:rFonts w:cs="Times New Roman"/>
          <w:szCs w:val="24"/>
        </w:rPr>
        <w:t>En R</w:t>
      </w:r>
      <w:r>
        <w:rPr>
          <w:rFonts w:cs="Times New Roman"/>
          <w:szCs w:val="24"/>
          <w:vertAlign w:val="superscript"/>
        </w:rPr>
        <w:t>2</w:t>
      </w:r>
      <w:r>
        <w:rPr>
          <w:rFonts w:cs="Times New Roman"/>
          <w:szCs w:val="24"/>
        </w:rPr>
        <w:t xml:space="preserve"> på 0,014 betyr at 1,4% av variansen på individnivå blir forklart av tabell 17. Formelen for å regne ut variansen på landnivå involverer </w:t>
      </w:r>
      <w:r>
        <w:rPr>
          <w:rFonts w:cs="Times New Roman"/>
          <w:i/>
          <w:iCs/>
          <w:szCs w:val="24"/>
        </w:rPr>
        <w:t>var(u</w:t>
      </w:r>
      <w:r>
        <w:rPr>
          <w:rFonts w:cs="Times New Roman"/>
          <w:i/>
          <w:iCs/>
          <w:szCs w:val="24"/>
          <w:vertAlign w:val="subscript"/>
        </w:rPr>
        <w:t>0</w:t>
      </w:r>
      <w:r>
        <w:rPr>
          <w:rFonts w:cs="Times New Roman"/>
          <w:i/>
          <w:iCs/>
          <w:szCs w:val="24"/>
        </w:rPr>
        <w:t>)</w:t>
      </w:r>
      <w:r>
        <w:rPr>
          <w:rFonts w:cs="Times New Roman"/>
          <w:i/>
          <w:iCs/>
          <w:szCs w:val="24"/>
          <w:vertAlign w:val="subscript"/>
        </w:rPr>
        <w:t>b</w:t>
      </w:r>
      <w:r>
        <w:rPr>
          <w:rFonts w:cs="Times New Roman"/>
          <w:szCs w:val="24"/>
        </w:rPr>
        <w:t xml:space="preserve"> som er residualvariansen for nivå 2 i nullmodellen (tabell 16). Denne måles opp mot nivå 2-variansen i appendiks 10, representert ved </w:t>
      </w:r>
      <w:r>
        <w:rPr>
          <w:rFonts w:cs="Times New Roman"/>
          <w:i/>
          <w:iCs/>
          <w:szCs w:val="24"/>
        </w:rPr>
        <w:t>var(u</w:t>
      </w:r>
      <w:r>
        <w:rPr>
          <w:rFonts w:cs="Times New Roman"/>
          <w:i/>
          <w:iCs/>
          <w:szCs w:val="24"/>
          <w:vertAlign w:val="subscript"/>
        </w:rPr>
        <w:t>0</w:t>
      </w:r>
      <w:r>
        <w:rPr>
          <w:rFonts w:cs="Times New Roman"/>
          <w:i/>
          <w:iCs/>
          <w:szCs w:val="24"/>
        </w:rPr>
        <w:t>)</w:t>
      </w:r>
      <w:r>
        <w:rPr>
          <w:rFonts w:cs="Times New Roman"/>
          <w:i/>
          <w:iCs/>
          <w:szCs w:val="24"/>
          <w:vertAlign w:val="subscript"/>
        </w:rPr>
        <w:t>m</w:t>
      </w:r>
      <w:r>
        <w:rPr>
          <w:rFonts w:cs="Times New Roman"/>
          <w:szCs w:val="24"/>
        </w:rPr>
        <w:t>:</w:t>
      </w:r>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var</m:t>
              </m:r>
              <m:sSub>
                <m:e>
                  <m:d>
                    <m:dPr>
                      <m:begChr m:val="("/>
                      <m:endChr m:val=")"/>
                    </m:dPr>
                    <m:e>
                      <m:sSub>
                        <m:e>
                          <m:r>
                            <w:rPr>
                              <w:rFonts w:ascii="Cambria Math" w:hAnsi="Cambria Math"/>
                            </w:rPr>
                            <m:t xml:space="preserve">u</m:t>
                          </m:r>
                        </m:e>
                        <m:sub>
                          <m:r>
                            <w:rPr>
                              <w:rFonts w:ascii="Cambria Math" w:hAnsi="Cambria Math"/>
                            </w:rPr>
                            <m:t xml:space="preserve">0</m:t>
                          </m:r>
                        </m:sub>
                      </m:sSub>
                    </m:e>
                  </m:d>
                </m:e>
                <m:sub>
                  <m:r>
                    <w:rPr>
                      <w:rFonts w:ascii="Cambria Math" w:hAnsi="Cambria Math"/>
                    </w:rPr>
                    <m:t xml:space="preserve">b</m:t>
                  </m:r>
                </m:sub>
              </m:sSub>
              <m:r>
                <w:rPr>
                  <w:rFonts w:ascii="Cambria Math" w:hAnsi="Cambria Math"/>
                </w:rPr>
                <m:t xml:space="preserve">−</m:t>
              </m:r>
              <m:r>
                <w:rPr>
                  <w:rFonts w:ascii="Cambria Math" w:hAnsi="Cambria Math"/>
                </w:rPr>
                <m:t xml:space="preserve">var</m:t>
              </m:r>
              <m:sSub>
                <m:e>
                  <m:d>
                    <m:dPr>
                      <m:begChr m:val="("/>
                      <m:endChr m:val=")"/>
                    </m:dPr>
                    <m:e>
                      <m:sSub>
                        <m:e>
                          <m:r>
                            <w:rPr>
                              <w:rFonts w:ascii="Cambria Math" w:hAnsi="Cambria Math"/>
                            </w:rPr>
                            <m:t xml:space="preserve">u</m:t>
                          </m:r>
                        </m:e>
                        <m:sub>
                          <m:r>
                            <w:rPr>
                              <w:rFonts w:ascii="Cambria Math" w:hAnsi="Cambria Math"/>
                            </w:rPr>
                            <m:t xml:space="preserve">0</m:t>
                          </m:r>
                        </m:sub>
                      </m:sSub>
                    </m:e>
                  </m:d>
                </m:e>
                <m:sub>
                  <m:r>
                    <w:rPr>
                      <w:rFonts w:ascii="Cambria Math" w:hAnsi="Cambria Math"/>
                    </w:rPr>
                    <m:t xml:space="preserve">m</m:t>
                  </m:r>
                </m:sub>
              </m:sSub>
            </m:num>
            <m:den>
              <m:r>
                <w:rPr>
                  <w:rFonts w:ascii="Cambria Math" w:hAnsi="Cambria Math"/>
                </w:rPr>
                <m:t xml:space="preserve">var</m:t>
              </m:r>
              <m:sSub>
                <m:e>
                  <m:d>
                    <m:dPr>
                      <m:begChr m:val="("/>
                      <m:endChr m:val=")"/>
                    </m:dPr>
                    <m:e>
                      <m:sSub>
                        <m:e>
                          <m:r>
                            <w:rPr>
                              <w:rFonts w:ascii="Cambria Math" w:hAnsi="Cambria Math"/>
                            </w:rPr>
                            <m:t xml:space="preserve">u</m:t>
                          </m:r>
                        </m:e>
                        <m:sub>
                          <m:r>
                            <w:rPr>
                              <w:rFonts w:ascii="Cambria Math" w:hAnsi="Cambria Math"/>
                            </w:rPr>
                            <m:t xml:space="preserve">0</m:t>
                          </m:r>
                        </m:sub>
                      </m:sSub>
                    </m:e>
                  </m:d>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0,1445278</m:t>
              </m:r>
              <m:r>
                <w:rPr>
                  <w:rFonts w:ascii="Cambria Math" w:hAnsi="Cambria Math"/>
                </w:rPr>
                <m:t xml:space="preserve">−</m:t>
              </m:r>
              <m:r>
                <w:rPr>
                  <w:rFonts w:ascii="Cambria Math" w:hAnsi="Cambria Math"/>
                </w:rPr>
                <m:t xml:space="preserve">0,1387762</m:t>
              </m:r>
            </m:num>
            <m:den>
              <m:r>
                <w:rPr>
                  <w:rFonts w:ascii="Cambria Math" w:hAnsi="Cambria Math"/>
                </w:rPr>
                <m:t xml:space="preserve">0,1445278</m:t>
              </m:r>
            </m:den>
          </m:f>
          <m:r>
            <w:rPr>
              <w:rFonts w:ascii="Cambria Math" w:hAnsi="Cambria Math"/>
            </w:rPr>
            <m:t xml:space="preserve">=</m:t>
          </m:r>
          <m:r>
            <w:rPr>
              <w:rFonts w:ascii="Cambria Math" w:hAnsi="Cambria Math"/>
            </w:rPr>
            <m:t xml:space="preserve">0,039</m:t>
          </m:r>
        </m:oMath>
      </m:oMathPara>
    </w:p>
    <w:p>
      <w:pPr>
        <w:pStyle w:val="Normal"/>
        <w:spacing w:lineRule="auto" w:line="360"/>
        <w:rPr/>
      </w:pPr>
      <w:r>
        <w:rPr>
          <w:rFonts w:cs="Times New Roman"/>
          <w:szCs w:val="24"/>
        </w:rPr>
        <w:t>En R</w:t>
      </w:r>
      <w:r>
        <w:rPr>
          <w:rFonts w:cs="Times New Roman"/>
          <w:szCs w:val="24"/>
          <w:vertAlign w:val="superscript"/>
        </w:rPr>
        <w:t>2</w:t>
      </w:r>
      <w:r>
        <w:rPr>
          <w:rFonts w:cs="Times New Roman"/>
          <w:szCs w:val="24"/>
        </w:rPr>
        <w:t xml:space="preserve"> på 0,039 betyr at 3,9% av variansen på landnivå er forklart av tabell 17. </w:t>
      </w:r>
    </w:p>
    <w:p>
      <w:pPr>
        <w:pStyle w:val="Normal"/>
        <w:spacing w:lineRule="auto" w:line="360"/>
        <w:rPr/>
      </w:pPr>
      <w:r>
        <w:rPr>
          <w:rFonts w:cs="Times New Roman"/>
          <w:szCs w:val="24"/>
        </w:rPr>
        <w:t xml:space="preserve">Modell 2 i tabell 17 viser de samme resultatene vi fikk i modell 1, med unntak av nivå 2-variabelen. Den viser at effekten av politisk maktdeling ikke er generelt assosiert med politisk tillit når vi ikke tar hensyn til samspillseffekter. Det vil si at </w:t>
      </w:r>
      <w:r>
        <w:rPr>
          <w:rFonts w:cs="Times New Roman"/>
          <w:i/>
          <w:iCs/>
          <w:szCs w:val="24"/>
        </w:rPr>
        <w:t>H1</w:t>
      </w:r>
      <w:r>
        <w:rPr>
          <w:rFonts w:cs="Times New Roman"/>
          <w:szCs w:val="24"/>
        </w:rPr>
        <w:t xml:space="preserve"> ikke kan bekreftes ut ifra modell 2.</w:t>
      </w:r>
    </w:p>
    <w:p>
      <w:pPr>
        <w:pStyle w:val="Normal"/>
        <w:spacing w:lineRule="auto" w:line="360"/>
        <w:rPr/>
      </w:pPr>
      <w:r>
        <w:rPr>
          <w:rFonts w:cs="Times New Roman"/>
          <w:szCs w:val="24"/>
        </w:rPr>
        <w:t xml:space="preserve">I tabell 18 inkluderer vi kryss-nivå-samspillsledd, som innebærer samspill mellom en variabel på individnivå og en variabel på landnivå. Dette kan ses som </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1</m:t>
            </m:r>
            <m:r>
              <w:rPr>
                <w:rFonts w:ascii="Cambria Math" w:hAnsi="Cambria Math"/>
              </w:rPr>
              <m:t xml:space="preserve">j</m:t>
            </m:r>
          </m:sub>
        </m:sSub>
        <m:sSub>
          <m:e>
            <m:r>
              <w:rPr>
                <w:rFonts w:ascii="Cambria Math" w:hAnsi="Cambria Math"/>
              </w:rPr>
              <m:t xml:space="preserve">X</m:t>
            </m:r>
          </m:e>
          <m:sub>
            <m:r>
              <w:rPr>
                <w:rFonts w:ascii="Cambria Math" w:hAnsi="Cambria Math"/>
              </w:rPr>
              <m:t xml:space="preserve">2</m:t>
            </m:r>
            <m:r>
              <w:rPr>
                <w:rFonts w:ascii="Cambria Math" w:hAnsi="Cambria Math"/>
              </w:rPr>
              <m:t xml:space="preserve">i</m:t>
            </m:r>
            <m:r>
              <w:rPr>
                <w:rFonts w:ascii="Cambria Math" w:hAnsi="Cambria Math"/>
              </w:rPr>
              <m:t xml:space="preserve">j</m:t>
            </m:r>
          </m:sub>
        </m:sSub>
      </m:oMath>
      <w:r>
        <w:rPr>
          <w:rFonts w:cs="Times New Roman"/>
          <w:szCs w:val="24"/>
          <w:shd w:fill="FFFFFF" w:val="clear"/>
        </w:rPr>
        <w:t xml:space="preserve"> i modellens ligning, hvor den tredje variabelen, </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oMath>
      <w:r>
        <w:rPr>
          <w:rFonts w:cs="Times New Roman"/>
          <w:szCs w:val="24"/>
          <w:shd w:fill="FFFFFF" w:val="clear"/>
        </w:rPr>
        <w:t xml:space="preserve">, består av nivå 1-variabelen for undertrykte grupper, </w:t>
      </w:r>
      <w:r>
        <w:rPr/>
      </w:r>
      <m:oMath xmlns:m="http://schemas.openxmlformats.org/officeDocument/2006/math">
        <m:sSub>
          <m:e>
            <m:r>
              <w:rPr>
                <w:rFonts w:ascii="Cambria Math" w:hAnsi="Cambria Math"/>
              </w:rPr>
              <m:t xml:space="preserve">X</m:t>
            </m:r>
          </m:e>
          <m:sub>
            <m:r>
              <w:rPr>
                <w:rFonts w:ascii="Cambria Math" w:hAnsi="Cambria Math"/>
              </w:rPr>
              <m:t xml:space="preserve">2</m:t>
            </m:r>
            <m:r>
              <w:rPr>
                <w:rFonts w:ascii="Cambria Math" w:hAnsi="Cambria Math"/>
              </w:rPr>
              <m:t xml:space="preserve">ij</m:t>
            </m:r>
          </m:sub>
        </m:sSub>
      </m:oMath>
      <w:r>
        <w:rPr>
          <w:rFonts w:cs="Times New Roman"/>
          <w:szCs w:val="24"/>
          <w:shd w:fill="FFFFFF" w:val="clear"/>
        </w:rPr>
        <w:t xml:space="preserve">, i samspill med nivå 2-variabelen for politisk maktdeling, </w:t>
      </w:r>
      <w:r>
        <w:rPr/>
      </w:r>
      <m:oMath xmlns:m="http://schemas.openxmlformats.org/officeDocument/2006/math">
        <m:sSub>
          <m:e>
            <m:r>
              <w:rPr>
                <w:rFonts w:ascii="Cambria Math" w:hAnsi="Cambria Math"/>
              </w:rPr>
              <m:t xml:space="preserve">X</m:t>
            </m:r>
          </m:e>
          <m:sub>
            <m:r>
              <w:rPr>
                <w:rFonts w:ascii="Cambria Math" w:hAnsi="Cambria Math"/>
              </w:rPr>
              <m:t xml:space="preserve">1</m:t>
            </m:r>
            <m:r>
              <w:rPr>
                <w:rFonts w:ascii="Cambria Math" w:hAnsi="Cambria Math"/>
              </w:rPr>
              <m:t xml:space="preserve">j</m:t>
            </m:r>
          </m:sub>
        </m:sSub>
      </m:oMath>
      <w:r>
        <w:rPr>
          <w:rFonts w:cs="Times New Roman"/>
          <w:szCs w:val="24"/>
          <w:shd w:fill="FFFFFF" w:val="clear"/>
        </w:rPr>
        <w:t xml:space="preserve">. I tillegg har vi et feilledd for undertrykte grupper som representeres av </w:t>
      </w:r>
      <w:r>
        <w:rPr/>
      </w:r>
      <m:oMath xmlns:m="http://schemas.openxmlformats.org/officeDocument/2006/math">
        <m:sSub>
          <m:e>
            <m:r>
              <w:rPr>
                <w:rFonts w:ascii="Cambria Math" w:hAnsi="Cambria Math"/>
              </w:rPr>
              <m:t xml:space="preserve">u</m:t>
            </m:r>
          </m:e>
          <m:sub>
            <m:r>
              <w:rPr>
                <w:rFonts w:ascii="Cambria Math" w:hAnsi="Cambria Math"/>
              </w:rPr>
              <m:t xml:space="preserve">1</m:t>
            </m:r>
            <m:r>
              <w:rPr>
                <w:rFonts w:ascii="Cambria Math" w:hAnsi="Cambria Math"/>
              </w:rPr>
              <m:t xml:space="preserve">j</m:t>
            </m:r>
          </m:sub>
        </m:sSub>
        <m:sSub>
          <m:e>
            <m:r>
              <w:rPr>
                <w:rFonts w:ascii="Cambria Math" w:hAnsi="Cambria Math"/>
              </w:rPr>
              <m:t xml:space="preserve">X</m:t>
            </m:r>
          </m:e>
          <m:sub>
            <m:r>
              <w:rPr>
                <w:rFonts w:ascii="Cambria Math" w:hAnsi="Cambria Math"/>
              </w:rPr>
              <m:t xml:space="preserve">2</m:t>
            </m:r>
            <m:r>
              <w:rPr>
                <w:rFonts w:ascii="Cambria Math" w:hAnsi="Cambria Math"/>
              </w:rPr>
              <m:t xml:space="preserve">ij</m:t>
            </m:r>
          </m:sub>
        </m:sSub>
      </m:oMath>
      <w:r>
        <w:rPr>
          <w:rFonts w:cs="Times New Roman"/>
          <w:szCs w:val="24"/>
          <w:shd w:fill="FFFFFF" w:val="clear"/>
        </w:rPr>
        <w:t xml:space="preserve"> (Mehmetoglu &amp; Jakobsen, 2017, s. 213). Dette gir ligningen:</w:t>
      </w:r>
    </w:p>
    <w:p>
      <w:pPr>
        <w:pStyle w:val="Normal"/>
        <w:spacing w:lineRule="auto" w:line="360"/>
        <w:jc w:val="center"/>
        <w:rPr/>
      </w:pPr>
      <w:r>
        <w:rPr/>
      </w:r>
      <m:oMath xmlns:m="http://schemas.openxmlformats.org/officeDocument/2006/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2</m:t>
            </m:r>
            <m:r>
              <w:rPr>
                <w:rFonts w:ascii="Cambria Math" w:hAnsi="Cambria Math"/>
              </w:rPr>
              <m:t xml:space="preserve">ij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1</m:t>
            </m:r>
            <m:r>
              <w:rPr>
                <w:rFonts w:ascii="Cambria Math" w:hAnsi="Cambria Math"/>
              </w:rPr>
              <m:t xml:space="preserve">j</m:t>
            </m:r>
          </m:sub>
        </m:sSub>
        <m:sSub>
          <m:e>
            <m:r>
              <w:rPr>
                <w:rFonts w:ascii="Cambria Math" w:hAnsi="Cambria Math"/>
              </w:rPr>
              <m:t xml:space="preserve">X</m:t>
            </m:r>
          </m:e>
          <m:sub>
            <m:r>
              <w:rPr>
                <w:rFonts w:ascii="Cambria Math" w:hAnsi="Cambria Math"/>
              </w:rPr>
              <m:t xml:space="preserve">2</m:t>
            </m:r>
            <m:r>
              <w:rPr>
                <w:rFonts w:ascii="Cambria Math" w:hAnsi="Cambria Math"/>
              </w:rPr>
              <m:t xml:space="preserve">ij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4</m:t>
            </m:r>
          </m:sub>
        </m:sSub>
        <m:sSub>
          <m:e>
            <m:r>
              <w:rPr>
                <w:rFonts w:ascii="Cambria Math" w:hAnsi="Cambria Math"/>
              </w:rPr>
              <m:t xml:space="preserve">X</m:t>
            </m:r>
          </m:e>
          <m:sub>
            <m:r>
              <w:rPr>
                <w:rFonts w:ascii="Cambria Math" w:hAnsi="Cambria Math"/>
              </w:rPr>
              <m:t xml:space="preserve">3</m:t>
            </m:r>
            <m:r>
              <w:rPr>
                <w:rFonts w:ascii="Cambria Math" w:hAnsi="Cambria Math"/>
              </w:rPr>
              <m:t xml:space="preserve">ij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5</m:t>
            </m:r>
          </m:sub>
        </m:sSub>
        <m:sSub>
          <m:e>
            <m:r>
              <w:rPr>
                <w:rFonts w:ascii="Cambria Math" w:hAnsi="Cambria Math"/>
              </w:rPr>
              <m:t xml:space="preserve">X</m:t>
            </m:r>
          </m:e>
          <m:sub>
            <m:r>
              <w:rPr>
                <w:rFonts w:ascii="Cambria Math" w:hAnsi="Cambria Math"/>
              </w:rPr>
              <m:t xml:space="preserve">4</m:t>
            </m:r>
            <m:r>
              <w:rPr>
                <w:rFonts w:ascii="Cambria Math" w:hAnsi="Cambria Math"/>
              </w:rPr>
              <m:t xml:space="preserve">ij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6</m:t>
            </m:r>
          </m:sub>
        </m:sSub>
        <m:sSub>
          <m:e>
            <m:r>
              <w:rPr>
                <w:rFonts w:ascii="Cambria Math" w:hAnsi="Cambria Math"/>
              </w:rPr>
              <m:t xml:space="preserve">X</m:t>
            </m:r>
          </m:e>
          <m:sub>
            <m:r>
              <w:rPr>
                <w:rFonts w:ascii="Cambria Math" w:hAnsi="Cambria Math"/>
              </w:rPr>
              <m:t xml:space="preserve">5</m:t>
            </m:r>
            <m:r>
              <w:rPr>
                <w:rFonts w:ascii="Cambria Math" w:hAnsi="Cambria Math"/>
              </w:rPr>
              <m:t xml:space="preserve">ij</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r>
              <w:rPr>
                <w:rFonts w:ascii="Cambria Math" w:hAnsi="Cambria Math"/>
              </w:rPr>
              <m:t xml:space="preserve">j</m:t>
            </m:r>
          </m:sub>
        </m:sSub>
        <m:sSub>
          <m:e>
            <m:r>
              <w:rPr>
                <w:rFonts w:ascii="Cambria Math" w:hAnsi="Cambria Math"/>
              </w:rPr>
              <m:t xml:space="preserve">X</m:t>
            </m:r>
          </m:e>
          <m:sub>
            <m:r>
              <w:rPr>
                <w:rFonts w:ascii="Cambria Math" w:hAnsi="Cambria Math"/>
              </w:rPr>
              <m:t xml:space="preserve">2</m:t>
            </m:r>
            <m:r>
              <w:rPr>
                <w:rFonts w:ascii="Cambria Math" w:hAnsi="Cambria Math"/>
              </w:rPr>
              <m:t xml:space="preserve">ij</m:t>
            </m:r>
          </m:sub>
        </m:sSub>
      </m:oMath>
      <w:r>
        <w:rPr>
          <w:rFonts w:cs="Times New Roman"/>
          <w:szCs w:val="24"/>
          <w:shd w:fill="FFFFFF" w:val="clear"/>
        </w:rPr>
        <w:t xml:space="preserve"> </w:t>
      </w:r>
    </w:p>
    <w:p>
      <w:pPr>
        <w:pStyle w:val="Normal"/>
        <w:spacing w:lineRule="auto" w:line="360"/>
        <w:rPr>
          <w:rFonts w:cs="Times New Roman"/>
          <w:szCs w:val="24"/>
          <w:shd w:fill="FFFFFF" w:val="clear"/>
        </w:rPr>
      </w:pPr>
      <w:r>
        <w:rPr>
          <w:rFonts w:cs="Times New Roman"/>
          <w:szCs w:val="24"/>
          <w:shd w:fill="FFFFFF" w:val="clear"/>
        </w:rPr>
        <w:t>For å unngå å overskride antall nivå 2-enheter i forhold til observasjoner tillegges det kun ett samspillsledd i modell 3. For å undersøke et eventuelt samspill mellom politisk maktdeling og kvinner, gjøres dette i modell 3 i samme tabell.</w:t>
      </w:r>
    </w:p>
    <w:p>
      <w:pPr>
        <w:pStyle w:val="Normal"/>
        <w:spacing w:lineRule="auto" w:line="360"/>
        <w:jc w:val="center"/>
        <w:rPr>
          <w:rFonts w:cs="Times New Roman"/>
          <w:szCs w:val="24"/>
          <w:shd w:fill="FFFFFF" w:val="clear"/>
        </w:rPr>
      </w:pPr>
      <w:r>
        <w:rPr>
          <w:rFonts w:cs="Times New Roman"/>
          <w:szCs w:val="24"/>
          <w:shd w:fill="FFFFFF" w:val="clear"/>
        </w:rPr>
      </w:r>
    </w:p>
    <w:p>
      <w:pPr>
        <w:pStyle w:val="Normal"/>
        <w:rPr>
          <w:rFonts w:cs="Times New Roman"/>
          <w:szCs w:val="24"/>
          <w:shd w:fill="FFFFFF" w:val="clear"/>
        </w:rPr>
      </w:pPr>
      <w:r>
        <w:rPr>
          <w:rFonts w:cs="Times New Roman"/>
          <w:szCs w:val="24"/>
          <w:shd w:fill="FFFFFF" w:val="clear"/>
        </w:rPr>
      </w:r>
    </w:p>
    <w:p>
      <w:pPr>
        <w:pStyle w:val="Normal"/>
        <w:rPr>
          <w:i/>
          <w:i/>
          <w:iCs/>
          <w:sz w:val="22"/>
          <w:szCs w:val="20"/>
        </w:rPr>
      </w:pPr>
      <w:r>
        <w:rPr>
          <w:i/>
          <w:iCs/>
          <w:sz w:val="22"/>
          <w:szCs w:val="20"/>
        </w:rPr>
      </w:r>
    </w:p>
    <w:p>
      <w:pPr>
        <w:pStyle w:val="Normal"/>
        <w:rPr/>
      </w:pPr>
      <w:r>
        <w:rPr>
          <w:i/>
          <w:iCs/>
          <w:sz w:val="22"/>
          <w:szCs w:val="20"/>
          <w:lang w:val="nn-NO"/>
        </w:rPr>
        <w:t>Tabell 18: Samspillsledd mellom politisk maktdeling og undertrykt (3) og kvinne (4) (uvektet)</w:t>
      </w:r>
      <w:r>
        <w:rPr>
          <w:rStyle w:val="FootnoteCharacters"/>
          <w:rFonts w:cs="Times New Roman"/>
          <w:i/>
          <w:iCs/>
          <w:sz w:val="22"/>
          <w:szCs w:val="20"/>
        </w:rPr>
        <w:t xml:space="preserve"> </w:t>
      </w:r>
      <w:r>
        <w:rPr>
          <w:rStyle w:val="FootnoteAnchor"/>
          <w:rFonts w:cs="Times New Roman"/>
          <w:i/>
          <w:iCs/>
          <w:sz w:val="22"/>
          <w:szCs w:val="20"/>
        </w:rPr>
        <w:footnoteReference w:id="31"/>
      </w:r>
    </w:p>
    <w:tbl>
      <w:tblPr>
        <w:tblW w:w="6123" w:type="dxa"/>
        <w:jc w:val="center"/>
        <w:tblInd w:w="0" w:type="dxa"/>
        <w:tblLayout w:type="fixed"/>
        <w:tblCellMar>
          <w:top w:w="0" w:type="dxa"/>
          <w:left w:w="75" w:type="dxa"/>
          <w:bottom w:w="0" w:type="dxa"/>
          <w:right w:w="75" w:type="dxa"/>
        </w:tblCellMar>
      </w:tblPr>
      <w:tblGrid>
        <w:gridCol w:w="2523"/>
        <w:gridCol w:w="2159"/>
        <w:gridCol w:w="1441"/>
      </w:tblGrid>
      <w:tr>
        <w:trPr/>
        <w:tc>
          <w:tcPr>
            <w:tcW w:w="2523" w:type="dxa"/>
            <w:tcBorders>
              <w:top w:val="single" w:sz="6" w:space="0" w:color="000000"/>
            </w:tcBorders>
          </w:tcPr>
          <w:p>
            <w:pPr>
              <w:pStyle w:val="Normal"/>
              <w:widowControl w:val="false"/>
              <w:spacing w:lineRule="auto" w:line="240" w:before="0" w:after="0"/>
              <w:rPr>
                <w:rFonts w:cs="Times New Roman"/>
                <w:szCs w:val="24"/>
              </w:rPr>
            </w:pPr>
            <w:r>
              <w:rPr>
                <w:rFonts w:cs="Times New Roman"/>
                <w:szCs w:val="24"/>
              </w:rPr>
            </w:r>
          </w:p>
        </w:tc>
        <w:tc>
          <w:tcPr>
            <w:tcW w:w="2159" w:type="dxa"/>
            <w:tcBorders>
              <w:top w:val="single" w:sz="6" w:space="0" w:color="000000"/>
            </w:tcBorders>
          </w:tcPr>
          <w:p>
            <w:pPr>
              <w:pStyle w:val="Normal"/>
              <w:widowControl w:val="false"/>
              <w:spacing w:lineRule="auto" w:line="240" w:before="0" w:after="0"/>
              <w:jc w:val="center"/>
              <w:rPr>
                <w:rFonts w:cs="Times New Roman"/>
                <w:szCs w:val="24"/>
              </w:rPr>
            </w:pPr>
            <w:r>
              <w:rPr>
                <w:rFonts w:cs="Times New Roman"/>
                <w:szCs w:val="24"/>
              </w:rPr>
              <w:t>(3)</w:t>
            </w:r>
          </w:p>
        </w:tc>
        <w:tc>
          <w:tcPr>
            <w:tcW w:w="1441" w:type="dxa"/>
            <w:tcBorders>
              <w:top w:val="single" w:sz="6" w:space="0" w:color="000000"/>
            </w:tcBorders>
          </w:tcPr>
          <w:p>
            <w:pPr>
              <w:pStyle w:val="Normal"/>
              <w:widowControl w:val="false"/>
              <w:spacing w:lineRule="auto" w:line="240" w:before="0" w:after="0"/>
              <w:jc w:val="center"/>
              <w:rPr>
                <w:rFonts w:cs="Times New Roman"/>
                <w:szCs w:val="24"/>
              </w:rPr>
            </w:pPr>
            <w:r>
              <w:rPr>
                <w:rFonts w:cs="Times New Roman"/>
                <w:szCs w:val="24"/>
              </w:rPr>
              <w:t>(4)</w:t>
            </w:r>
          </w:p>
        </w:tc>
      </w:tr>
      <w:tr>
        <w:trPr/>
        <w:tc>
          <w:tcPr>
            <w:tcW w:w="2523" w:type="dxa"/>
            <w:tcBorders>
              <w:bottom w:val="single" w:sz="6" w:space="0" w:color="000000"/>
            </w:tcBorders>
          </w:tcPr>
          <w:p>
            <w:pPr>
              <w:pStyle w:val="Normal"/>
              <w:widowControl w:val="false"/>
              <w:spacing w:lineRule="auto" w:line="240" w:before="0" w:after="0"/>
              <w:rPr>
                <w:rFonts w:cs="Times New Roman"/>
                <w:szCs w:val="24"/>
              </w:rPr>
            </w:pPr>
            <w:r>
              <w:rPr>
                <w:rFonts w:cs="Times New Roman"/>
                <w:szCs w:val="24"/>
              </w:rPr>
              <w:t>VARIABLER</w:t>
            </w:r>
          </w:p>
        </w:tc>
        <w:tc>
          <w:tcPr>
            <w:tcW w:w="2159" w:type="dxa"/>
            <w:tcBorders>
              <w:bottom w:val="single" w:sz="6" w:space="0" w:color="000000"/>
            </w:tcBorders>
          </w:tcPr>
          <w:p>
            <w:pPr>
              <w:pStyle w:val="Normal"/>
              <w:widowControl w:val="false"/>
              <w:spacing w:lineRule="auto" w:line="240" w:before="0" w:after="0"/>
              <w:jc w:val="center"/>
              <w:rPr>
                <w:rFonts w:cs="Times New Roman"/>
                <w:szCs w:val="24"/>
              </w:rPr>
            </w:pPr>
            <w:r>
              <w:rPr>
                <w:rFonts w:cs="Times New Roman"/>
                <w:szCs w:val="24"/>
              </w:rPr>
              <w:t>politisktillit</w:t>
            </w:r>
          </w:p>
        </w:tc>
        <w:tc>
          <w:tcPr>
            <w:tcW w:w="1441" w:type="dxa"/>
            <w:tcBorders>
              <w:bottom w:val="single" w:sz="6" w:space="0" w:color="000000"/>
            </w:tcBorders>
          </w:tcPr>
          <w:p>
            <w:pPr>
              <w:pStyle w:val="Normal"/>
              <w:widowControl w:val="false"/>
              <w:spacing w:lineRule="auto" w:line="240" w:before="0" w:after="0"/>
              <w:jc w:val="center"/>
              <w:rPr>
                <w:rFonts w:cs="Times New Roman"/>
                <w:szCs w:val="24"/>
              </w:rPr>
            </w:pPr>
            <w:r>
              <w:rPr>
                <w:rFonts w:cs="Times New Roman"/>
                <w:szCs w:val="24"/>
              </w:rPr>
              <w:t>politisktillit</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r>
          </w:p>
          <w:p>
            <w:pPr>
              <w:pStyle w:val="Normal"/>
              <w:widowControl w:val="false"/>
              <w:spacing w:lineRule="auto" w:line="240" w:before="0" w:after="0"/>
              <w:rPr>
                <w:rFonts w:cs="Times New Roman"/>
                <w:szCs w:val="24"/>
              </w:rPr>
            </w:pPr>
            <w:r>
              <w:rPr>
                <w:rFonts w:cs="Times New Roman"/>
                <w:szCs w:val="24"/>
              </w:rPr>
              <w:t>polps</w:t>
            </w:r>
            <w:r>
              <w:rPr>
                <w:rFonts w:cs="Times New Roman"/>
                <w:szCs w:val="24"/>
                <w:vertAlign w:val="superscript"/>
              </w:rPr>
              <w:t>a</w:t>
            </w:r>
          </w:p>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r>
          </w:p>
          <w:p>
            <w:pPr>
              <w:pStyle w:val="Normal"/>
              <w:widowControl w:val="false"/>
              <w:spacing w:lineRule="auto" w:line="240" w:before="0" w:after="0"/>
              <w:jc w:val="center"/>
              <w:rPr>
                <w:rFonts w:cs="Times New Roman"/>
                <w:szCs w:val="24"/>
              </w:rPr>
            </w:pPr>
            <w:r>
              <w:rPr>
                <w:rFonts w:cs="Times New Roman"/>
                <w:szCs w:val="24"/>
              </w:rPr>
              <w:t>0.233</w:t>
            </w:r>
          </w:p>
          <w:p>
            <w:pPr>
              <w:pStyle w:val="Normal"/>
              <w:widowControl w:val="false"/>
              <w:spacing w:lineRule="auto" w:line="240" w:before="0" w:after="0"/>
              <w:jc w:val="center"/>
              <w:rPr>
                <w:rFonts w:cs="Times New Roman"/>
                <w:szCs w:val="24"/>
              </w:rPr>
            </w:pPr>
            <w:r>
              <w:rPr>
                <w:rFonts w:cs="Times New Roman"/>
                <w:szCs w:val="24"/>
              </w:rPr>
              <w:t>(0.172)</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r>
          </w:p>
          <w:p>
            <w:pPr>
              <w:pStyle w:val="Normal"/>
              <w:widowControl w:val="false"/>
              <w:spacing w:lineRule="auto" w:line="240" w:before="0" w:after="0"/>
              <w:jc w:val="center"/>
              <w:rPr>
                <w:rFonts w:cs="Times New Roman"/>
                <w:szCs w:val="24"/>
              </w:rPr>
            </w:pPr>
            <w:r>
              <w:rPr>
                <w:rFonts w:cs="Times New Roman"/>
                <w:szCs w:val="24"/>
              </w:rPr>
              <w:t>0.030</w:t>
            </w:r>
          </w:p>
          <w:p>
            <w:pPr>
              <w:pStyle w:val="Normal"/>
              <w:widowControl w:val="false"/>
              <w:spacing w:lineRule="auto" w:line="240" w:before="0" w:after="0"/>
              <w:jc w:val="center"/>
              <w:rPr>
                <w:rFonts w:cs="Times New Roman"/>
                <w:szCs w:val="24"/>
              </w:rPr>
            </w:pPr>
            <w:r>
              <w:rPr>
                <w:rFonts w:cs="Times New Roman"/>
                <w:szCs w:val="24"/>
              </w:rPr>
              <w:t>(0.189)</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t>undertrykt</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0.392***</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-0.083***</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(0.034)</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(0.020)</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t>kvinne</w:t>
            </w:r>
          </w:p>
          <w:p>
            <w:pPr>
              <w:pStyle w:val="Normal"/>
              <w:widowControl w:val="false"/>
              <w:spacing w:lineRule="auto" w:line="240" w:before="0" w:after="0"/>
              <w:rPr>
                <w:rFonts w:cs="Times New Roman"/>
                <w:szCs w:val="24"/>
              </w:rPr>
            </w:pPr>
            <w:r>
              <w:rPr>
                <w:rFonts w:cs="Times New Roman"/>
                <w:szCs w:val="24"/>
              </w:rPr>
            </w:r>
          </w:p>
          <w:p>
            <w:pPr>
              <w:pStyle w:val="Normal"/>
              <w:widowControl w:val="false"/>
              <w:spacing w:lineRule="auto" w:line="240" w:before="0" w:after="0"/>
              <w:rPr>
                <w:rFonts w:cs="Times New Roman"/>
                <w:szCs w:val="24"/>
              </w:rPr>
            </w:pPr>
            <w:r>
              <w:rPr>
                <w:rFonts w:cs="Times New Roman"/>
                <w:szCs w:val="24"/>
              </w:rPr>
              <w:t>polps#undertrykt</w:t>
            </w:r>
            <w:r>
              <w:rPr>
                <w:rFonts w:cs="Times New Roman"/>
                <w:szCs w:val="24"/>
                <w:vertAlign w:val="superscript"/>
              </w:rPr>
              <w:t>b</w:t>
            </w:r>
          </w:p>
          <w:p>
            <w:pPr>
              <w:pStyle w:val="Normal"/>
              <w:widowControl w:val="false"/>
              <w:spacing w:lineRule="auto" w:line="240" w:before="0" w:after="0"/>
              <w:rPr>
                <w:rFonts w:cs="Times New Roman"/>
                <w:szCs w:val="24"/>
              </w:rPr>
            </w:pPr>
            <w:r>
              <w:rPr>
                <w:rFonts w:cs="Times New Roman"/>
                <w:szCs w:val="24"/>
              </w:rPr>
            </w:r>
          </w:p>
          <w:p>
            <w:pPr>
              <w:pStyle w:val="Normal"/>
              <w:widowControl w:val="false"/>
              <w:spacing w:lineRule="auto" w:line="240" w:before="0" w:after="0"/>
              <w:rPr>
                <w:rFonts w:cs="Times New Roman"/>
                <w:szCs w:val="24"/>
              </w:rPr>
            </w:pPr>
            <w:r>
              <w:rPr>
                <w:rFonts w:cs="Times New Roman"/>
                <w:szCs w:val="24"/>
              </w:rPr>
              <w:t>polps#kvinne</w:t>
            </w:r>
            <w:r>
              <w:rPr>
                <w:rFonts w:cs="Times New Roman"/>
                <w:szCs w:val="24"/>
                <w:vertAlign w:val="superscript"/>
              </w:rPr>
              <w:t>b</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-0.012</w:t>
            </w:r>
          </w:p>
          <w:p>
            <w:pPr>
              <w:pStyle w:val="Normal"/>
              <w:widowControl w:val="false"/>
              <w:spacing w:lineRule="auto" w:line="240" w:before="0" w:after="0"/>
              <w:jc w:val="center"/>
              <w:rPr>
                <w:rFonts w:cs="Times New Roman"/>
                <w:szCs w:val="24"/>
              </w:rPr>
            </w:pPr>
            <w:r>
              <w:rPr>
                <w:rFonts w:cs="Times New Roman"/>
                <w:szCs w:val="24"/>
              </w:rPr>
              <w:t>(0.017)</w:t>
            </w:r>
          </w:p>
          <w:p>
            <w:pPr>
              <w:pStyle w:val="Normal"/>
              <w:widowControl w:val="false"/>
              <w:spacing w:lineRule="auto" w:line="240" w:before="0" w:after="0"/>
              <w:jc w:val="center"/>
              <w:rPr>
                <w:rFonts w:cs="Times New Roman"/>
                <w:szCs w:val="24"/>
              </w:rPr>
            </w:pPr>
            <w:r>
              <w:rPr>
                <w:rFonts w:cs="Times New Roman"/>
                <w:szCs w:val="24"/>
              </w:rPr>
              <w:t>-0.718***</w:t>
            </w:r>
          </w:p>
          <w:p>
            <w:pPr>
              <w:pStyle w:val="Normal"/>
              <w:widowControl w:val="false"/>
              <w:spacing w:lineRule="auto" w:line="240" w:before="0" w:after="0"/>
              <w:jc w:val="center"/>
              <w:rPr>
                <w:rFonts w:cs="Times New Roman"/>
                <w:szCs w:val="24"/>
              </w:rPr>
            </w:pPr>
            <w:r>
              <w:rPr>
                <w:rFonts w:cs="Times New Roman"/>
                <w:szCs w:val="24"/>
              </w:rPr>
              <w:t>(0.042)</w:t>
            </w:r>
          </w:p>
          <w:p>
            <w:pPr>
              <w:pStyle w:val="Normal"/>
              <w:widowControl w:val="false"/>
              <w:spacing w:lineRule="auto" w:line="240" w:before="0" w:after="0"/>
              <w:jc w:val="center"/>
              <w:rPr>
                <w:rFonts w:cs="Times New Roman"/>
                <w:szCs w:val="24"/>
              </w:rPr>
            </w:pPr>
            <w:r>
              <w:rPr>
                <w:rFonts w:cs="Times New Roman"/>
                <w:szCs w:val="24"/>
              </w:rPr>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0.034</w:t>
            </w:r>
          </w:p>
          <w:p>
            <w:pPr>
              <w:pStyle w:val="Normal"/>
              <w:widowControl w:val="false"/>
              <w:spacing w:lineRule="auto" w:line="240" w:before="0" w:after="0"/>
              <w:jc w:val="center"/>
              <w:rPr>
                <w:rFonts w:cs="Times New Roman"/>
                <w:szCs w:val="24"/>
              </w:rPr>
            </w:pPr>
            <w:r>
              <w:rPr>
                <w:rFonts w:cs="Times New Roman"/>
                <w:szCs w:val="24"/>
              </w:rPr>
              <w:t>(0.023)</w:t>
            </w:r>
          </w:p>
          <w:p>
            <w:pPr>
              <w:pStyle w:val="Normal"/>
              <w:widowControl w:val="false"/>
              <w:spacing w:lineRule="auto" w:line="240" w:before="0" w:after="0"/>
              <w:jc w:val="center"/>
              <w:rPr>
                <w:rFonts w:cs="Times New Roman"/>
                <w:szCs w:val="24"/>
              </w:rPr>
            </w:pPr>
            <w:r>
              <w:rPr>
                <w:rFonts w:cs="Times New Roman"/>
                <w:szCs w:val="24"/>
              </w:rPr>
            </w:r>
          </w:p>
          <w:p>
            <w:pPr>
              <w:pStyle w:val="Normal"/>
              <w:widowControl w:val="false"/>
              <w:spacing w:lineRule="auto" w:line="240" w:before="0" w:after="0"/>
              <w:jc w:val="center"/>
              <w:rPr>
                <w:rFonts w:cs="Times New Roman"/>
                <w:szCs w:val="24"/>
              </w:rPr>
            </w:pPr>
            <w:r>
              <w:rPr>
                <w:rFonts w:cs="Times New Roman"/>
                <w:szCs w:val="24"/>
              </w:rPr>
            </w:r>
          </w:p>
          <w:p>
            <w:pPr>
              <w:pStyle w:val="Normal"/>
              <w:widowControl w:val="false"/>
              <w:spacing w:lineRule="auto" w:line="240" w:before="0" w:after="0"/>
              <w:jc w:val="center"/>
              <w:rPr>
                <w:rFonts w:cs="Times New Roman"/>
                <w:szCs w:val="24"/>
              </w:rPr>
            </w:pPr>
            <w:r>
              <w:rPr>
                <w:rFonts w:cs="Times New Roman"/>
                <w:szCs w:val="24"/>
              </w:rPr>
              <w:t>-0.095***</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(0.033)</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t>alder</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0.002***</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0.002***</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(0.001)</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(0.001)</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t>uteninntekt</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-0.163***</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-0.161***</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r>
          </w:p>
          <w:p>
            <w:pPr>
              <w:pStyle w:val="Normal"/>
              <w:widowControl w:val="false"/>
              <w:spacing w:lineRule="auto" w:line="240" w:before="0" w:after="0"/>
              <w:rPr>
                <w:rFonts w:cs="Times New Roman"/>
                <w:szCs w:val="24"/>
              </w:rPr>
            </w:pPr>
            <w:r>
              <w:rPr>
                <w:rFonts w:cs="Times New Roman"/>
                <w:szCs w:val="24"/>
              </w:rPr>
            </w:r>
          </w:p>
          <w:p>
            <w:pPr>
              <w:pStyle w:val="Normal"/>
              <w:widowControl w:val="false"/>
              <w:spacing w:lineRule="auto" w:line="240" w:before="0" w:after="0"/>
              <w:rPr>
                <w:rFonts w:cs="Times New Roman"/>
                <w:b/>
                <w:b/>
                <w:bCs/>
                <w:szCs w:val="24"/>
              </w:rPr>
            </w:pPr>
            <w:r>
              <w:rPr>
                <w:rFonts w:cs="Times New Roman"/>
                <w:b/>
                <w:bCs/>
                <w:szCs w:val="24"/>
              </w:rPr>
              <w:t>Utdanning</w:t>
            </w:r>
            <w:r>
              <w:rPr>
                <w:rFonts w:cs="Times New Roman"/>
                <w:b/>
                <w:bCs/>
                <w:szCs w:val="24"/>
                <w:vertAlign w:val="superscript"/>
              </w:rPr>
              <w:t>c</w:t>
            </w:r>
          </w:p>
          <w:p>
            <w:pPr>
              <w:pStyle w:val="Normal"/>
              <w:widowControl w:val="false"/>
              <w:spacing w:lineRule="auto" w:line="240" w:before="0" w:after="0"/>
              <w:rPr>
                <w:rFonts w:cs="Times New Roman"/>
                <w:b/>
                <w:b/>
                <w:bCs/>
                <w:szCs w:val="24"/>
                <w:vertAlign w:val="superscript"/>
              </w:rPr>
            </w:pPr>
            <w:r>
              <w:rPr>
                <w:rFonts w:cs="Times New Roman"/>
                <w:b/>
                <w:bCs/>
                <w:szCs w:val="24"/>
                <w:vertAlign w:val="superscript"/>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(0.019)</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(0.019)</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t>Primær</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-0.046*</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-0.048*</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(0.027)</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(0.028)</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t>Sekundær</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-0.159***</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-0.160***</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(0.027)</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(0.027)</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t>Post-sekundær</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-0.267***</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-0.253***</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(0.031)</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(0.032)</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t>Constant</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2.641***</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2.723***</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(0.126)</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(0.138)</w:t>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r>
          </w:p>
        </w:tc>
      </w:tr>
      <w:tr>
        <w:trPr/>
        <w:tc>
          <w:tcPr>
            <w:tcW w:w="2523" w:type="dxa"/>
            <w:tcBorders/>
          </w:tcPr>
          <w:p>
            <w:pPr>
              <w:pStyle w:val="Normal"/>
              <w:widowControl w:val="false"/>
              <w:spacing w:lineRule="auto" w:line="240" w:before="0" w:after="0"/>
              <w:rPr>
                <w:rFonts w:cs="Times New Roman"/>
                <w:szCs w:val="24"/>
              </w:rPr>
            </w:pPr>
            <w:r>
              <w:rPr>
                <w:rFonts w:cs="Times New Roman"/>
                <w:szCs w:val="24"/>
              </w:rPr>
              <w:t>N1</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12,781</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12,781</w:t>
            </w:r>
          </w:p>
        </w:tc>
      </w:tr>
      <w:tr>
        <w:trPr/>
        <w:tc>
          <w:tcPr>
            <w:tcW w:w="2523" w:type="dxa"/>
            <w:tcBorders>
              <w:bottom w:val="single" w:sz="6" w:space="0" w:color="000000"/>
            </w:tcBorders>
          </w:tcPr>
          <w:p>
            <w:pPr>
              <w:pStyle w:val="Normal"/>
              <w:widowControl w:val="false"/>
              <w:spacing w:lineRule="auto" w:line="240" w:before="0" w:after="0"/>
              <w:rPr>
                <w:rFonts w:cs="Times New Roman"/>
                <w:szCs w:val="24"/>
              </w:rPr>
            </w:pPr>
            <w:r>
              <w:rPr>
                <w:rFonts w:cs="Times New Roman"/>
                <w:szCs w:val="24"/>
              </w:rPr>
              <w:t>N2</w:t>
            </w:r>
          </w:p>
        </w:tc>
        <w:tc>
          <w:tcPr>
            <w:tcW w:w="2159" w:type="dxa"/>
            <w:tcBorders>
              <w:bottom w:val="single" w:sz="6" w:space="0" w:color="000000"/>
            </w:tcBorders>
          </w:tcPr>
          <w:p>
            <w:pPr>
              <w:pStyle w:val="Normal"/>
              <w:widowControl w:val="false"/>
              <w:spacing w:lineRule="auto" w:line="240" w:before="0" w:after="0"/>
              <w:jc w:val="center"/>
              <w:rPr>
                <w:rFonts w:cs="Times New Roman"/>
                <w:szCs w:val="24"/>
              </w:rPr>
            </w:pPr>
            <w:r>
              <w:rPr>
                <w:rFonts w:cs="Times New Roman"/>
                <w:szCs w:val="24"/>
              </w:rPr>
              <w:t>16</w:t>
            </w:r>
          </w:p>
        </w:tc>
        <w:tc>
          <w:tcPr>
            <w:tcW w:w="1441" w:type="dxa"/>
            <w:tcBorders>
              <w:bottom w:val="single" w:sz="6" w:space="0" w:color="000000"/>
            </w:tcBorders>
          </w:tcPr>
          <w:p>
            <w:pPr>
              <w:pStyle w:val="Normal"/>
              <w:widowControl w:val="false"/>
              <w:spacing w:lineRule="auto" w:line="240" w:before="0" w:after="0"/>
              <w:jc w:val="center"/>
              <w:rPr>
                <w:rFonts w:cs="Times New Roman"/>
                <w:szCs w:val="24"/>
              </w:rPr>
            </w:pPr>
            <w:r>
              <w:rPr>
                <w:rFonts w:cs="Times New Roman"/>
                <w:szCs w:val="24"/>
              </w:rPr>
              <w:t>16</w:t>
            </w:r>
          </w:p>
        </w:tc>
      </w:tr>
    </w:tbl>
    <w:p>
      <w:pPr>
        <w:pStyle w:val="Normal"/>
        <w:widowControl w:val="false"/>
        <w:spacing w:lineRule="auto" w:line="240" w:before="0" w:after="0"/>
        <w:jc w:val="center"/>
        <w:rPr>
          <w:rFonts w:cs="Times New Roman"/>
          <w:szCs w:val="24"/>
        </w:rPr>
      </w:pPr>
      <w:r>
        <w:rPr>
          <w:rFonts w:cs="Times New Roman"/>
          <w:szCs w:val="24"/>
        </w:rPr>
        <w:t>Standardfeil i parentes | *** p&lt;0.01, ** p&lt;0.05, * p&lt;0.1 | a: Nivå 2-variabel | b: Samspillsledd | c: Ingen formell utdanning er referansekategori</w:t>
      </w:r>
    </w:p>
    <w:p>
      <w:pPr>
        <w:pStyle w:val="Normal"/>
        <w:rPr>
          <w:i/>
          <w:i/>
          <w:iCs/>
          <w:sz w:val="22"/>
          <w:szCs w:val="20"/>
          <w:lang w:val="nn-NO"/>
        </w:rPr>
      </w:pPr>
      <w:r>
        <w:rPr>
          <w:i/>
          <w:iCs/>
          <w:sz w:val="22"/>
          <w:szCs w:val="20"/>
          <w:lang w:val="nn-NO"/>
        </w:rPr>
      </w:r>
    </w:p>
    <w:p>
      <w:pPr>
        <w:pStyle w:val="Normal"/>
        <w:rPr>
          <w:i/>
          <w:i/>
          <w:iCs/>
          <w:sz w:val="22"/>
          <w:szCs w:val="20"/>
          <w:lang w:val="nn-NO"/>
        </w:rPr>
      </w:pPr>
      <w:r>
        <w:rPr>
          <w:i/>
          <w:iCs/>
          <w:sz w:val="22"/>
          <w:szCs w:val="20"/>
          <w:lang w:val="nn-NO"/>
        </w:rPr>
      </w:r>
    </w:p>
    <w:p>
      <w:pPr>
        <w:pStyle w:val="Normal"/>
        <w:rPr>
          <w:i/>
          <w:i/>
          <w:iCs/>
          <w:sz w:val="22"/>
          <w:szCs w:val="20"/>
          <w:lang w:val="nn-NO"/>
        </w:rPr>
      </w:pPr>
      <w:r>
        <w:rPr>
          <w:i/>
          <w:iCs/>
          <w:sz w:val="22"/>
          <w:szCs w:val="20"/>
          <w:lang w:val="nn-NO"/>
        </w:rPr>
      </w:r>
    </w:p>
    <w:p>
      <w:pPr>
        <w:pStyle w:val="Normal"/>
        <w:rPr>
          <w:i/>
          <w:i/>
          <w:iCs/>
          <w:sz w:val="22"/>
          <w:szCs w:val="20"/>
          <w:lang w:val="nn-NO"/>
        </w:rPr>
      </w:pPr>
      <w:r>
        <w:rPr>
          <w:i/>
          <w:iCs/>
          <w:sz w:val="22"/>
          <w:szCs w:val="20"/>
          <w:lang w:val="nn-NO"/>
        </w:rPr>
      </w:r>
    </w:p>
    <w:p>
      <w:pPr>
        <w:pStyle w:val="Normal"/>
        <w:rPr>
          <w:i/>
          <w:i/>
          <w:iCs/>
          <w:sz w:val="22"/>
          <w:szCs w:val="20"/>
          <w:lang w:val="nn-NO"/>
        </w:rPr>
      </w:pPr>
      <w:r>
        <w:rPr>
          <w:i/>
          <w:iCs/>
          <w:sz w:val="22"/>
          <w:szCs w:val="20"/>
          <w:lang w:val="nn-NO"/>
        </w:rPr>
      </w:r>
    </w:p>
    <w:p>
      <w:pPr>
        <w:pStyle w:val="Normal"/>
        <w:rPr>
          <w:i/>
          <w:i/>
          <w:iCs/>
          <w:sz w:val="22"/>
          <w:szCs w:val="20"/>
          <w:lang w:val="nn-NO"/>
        </w:rPr>
      </w:pPr>
      <w:r>
        <w:rPr>
          <w:i/>
          <w:iCs/>
          <w:sz w:val="22"/>
          <w:szCs w:val="20"/>
          <w:lang w:val="nn-NO"/>
        </w:rPr>
      </w:r>
    </w:p>
    <w:p>
      <w:pPr>
        <w:pStyle w:val="Normal"/>
        <w:rPr>
          <w:i/>
          <w:i/>
          <w:iCs/>
          <w:sz w:val="22"/>
          <w:szCs w:val="20"/>
          <w:lang w:val="nn-NO"/>
        </w:rPr>
      </w:pPr>
      <w:r>
        <w:rPr>
          <w:i/>
          <w:iCs/>
          <w:sz w:val="22"/>
          <w:szCs w:val="20"/>
          <w:lang w:val="nn-NO"/>
        </w:rPr>
      </w:r>
    </w:p>
    <w:p>
      <w:pPr>
        <w:pStyle w:val="Normal"/>
        <w:rPr>
          <w:i/>
          <w:i/>
          <w:iCs/>
          <w:sz w:val="22"/>
          <w:szCs w:val="20"/>
          <w:lang w:val="nn-NO"/>
        </w:rPr>
      </w:pPr>
      <w:r>
        <w:rPr>
          <w:i/>
          <w:iCs/>
          <w:sz w:val="22"/>
          <w:szCs w:val="20"/>
          <w:lang w:val="nn-NO"/>
        </w:rPr>
      </w:r>
    </w:p>
    <w:p>
      <w:pPr>
        <w:pStyle w:val="Normal"/>
        <w:rPr>
          <w:i/>
          <w:i/>
          <w:iCs/>
          <w:sz w:val="22"/>
          <w:szCs w:val="20"/>
          <w:lang w:val="nn-NO"/>
        </w:rPr>
      </w:pPr>
      <w:r>
        <w:rPr>
          <w:i/>
          <w:iCs/>
          <w:sz w:val="22"/>
          <w:szCs w:val="20"/>
          <w:lang w:val="nn-NO"/>
        </w:rPr>
      </w:r>
    </w:p>
    <w:tbl>
      <w:tblPr>
        <w:tblW w:w="8858" w:type="dxa"/>
        <w:jc w:val="left"/>
        <w:tblInd w:w="0" w:type="dxa"/>
        <w:tblLayout w:type="fixed"/>
        <w:tblCellMar>
          <w:top w:w="0" w:type="dxa"/>
          <w:left w:w="108" w:type="dxa"/>
          <w:bottom w:w="0" w:type="dxa"/>
          <w:right w:w="108" w:type="dxa"/>
        </w:tblCellMar>
      </w:tblPr>
      <w:tblGrid>
        <w:gridCol w:w="8858"/>
      </w:tblGrid>
      <w:tr>
        <w:trPr/>
        <w:tc>
          <w:tcPr>
            <w:tcW w:w="8858" w:type="dxa"/>
            <w:tcBorders/>
          </w:tcPr>
          <w:p>
            <w:pPr>
              <w:pStyle w:val="Normal"/>
              <w:widowControl w:val="false"/>
              <w:spacing w:before="0" w:after="160"/>
              <w:rPr>
                <w:rFonts w:ascii="Garamond" w:hAnsi="Garamond"/>
                <w:sz w:val="20"/>
                <w:szCs w:val="20"/>
              </w:rPr>
            </w:pPr>
            <w:r>
              <w:rPr>
                <w:rFonts w:ascii="Garamond" w:hAnsi="Garamond"/>
                <w:sz w:val="20"/>
                <w:szCs w:val="20"/>
              </w:rPr>
            </w:r>
          </w:p>
        </w:tc>
      </w:tr>
    </w:tbl>
    <w:p>
      <w:pPr>
        <w:pStyle w:val="Normal"/>
        <w:spacing w:lineRule="auto" w:line="360"/>
        <w:rPr/>
      </w:pPr>
      <w:r>
        <w:rPr>
          <w:rFonts w:cs="Times New Roman"/>
          <w:szCs w:val="24"/>
          <w:shd w:fill="FFFFFF" w:val="clear"/>
        </w:rPr>
        <w:t>Vi benytter samme metode for å regne ut R</w:t>
      </w:r>
      <w:r>
        <w:rPr>
          <w:rFonts w:cs="Times New Roman"/>
          <w:szCs w:val="24"/>
          <w:shd w:fill="FFFFFF" w:val="clear"/>
          <w:vertAlign w:val="superscript"/>
        </w:rPr>
        <w:t>2</w:t>
      </w:r>
      <w:r>
        <w:rPr>
          <w:rFonts w:cs="Times New Roman"/>
          <w:szCs w:val="24"/>
          <w:shd w:fill="FFFFFF" w:val="clear"/>
        </w:rPr>
        <w:t xml:space="preserve">, hvor vi ser at </w:t>
      </w:r>
      <w:r>
        <w:rPr>
          <w:rFonts w:cs="Times New Roman"/>
          <w:szCs w:val="24"/>
        </w:rPr>
        <w:t>3,6% av variansen på individnivå blir forklart av modell 3 i tabell 18.</w:t>
      </w:r>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var</m:t>
              </m:r>
              <m:sSub>
                <m:e>
                  <m:d>
                    <m:dPr>
                      <m:begChr m:val="("/>
                      <m:endChr m:val=")"/>
                    </m:dPr>
                    <m:e>
                      <m:r>
                        <w:rPr>
                          <w:rFonts w:ascii="Cambria Math" w:hAnsi="Cambria Math"/>
                        </w:rPr>
                        <m:t xml:space="preserve">e</m:t>
                      </m:r>
                    </m:e>
                  </m:d>
                </m:e>
                <m:sub>
                  <m:r>
                    <w:rPr>
                      <w:rFonts w:ascii="Cambria Math" w:hAnsi="Cambria Math"/>
                    </w:rPr>
                    <m:t xml:space="preserve">b</m:t>
                  </m:r>
                </m:sub>
              </m:sSub>
              <m:r>
                <w:rPr>
                  <w:rFonts w:ascii="Cambria Math" w:hAnsi="Cambria Math"/>
                </w:rPr>
                <m:t xml:space="preserve">−</m:t>
              </m:r>
              <m:r>
                <w:rPr>
                  <w:rFonts w:ascii="Cambria Math" w:hAnsi="Cambria Math"/>
                </w:rPr>
                <m:t xml:space="preserve">var</m:t>
              </m:r>
              <m:sSub>
                <m:e>
                  <m:d>
                    <m:dPr>
                      <m:begChr m:val="("/>
                      <m:endChr m:val=")"/>
                    </m:dPr>
                    <m:e>
                      <m:r>
                        <w:rPr>
                          <w:rFonts w:ascii="Cambria Math" w:hAnsi="Cambria Math"/>
                        </w:rPr>
                        <m:t xml:space="preserve">e</m:t>
                      </m:r>
                    </m:e>
                  </m:d>
                </m:e>
                <m:sub>
                  <m:r>
                    <w:rPr>
                      <w:rFonts w:ascii="Cambria Math" w:hAnsi="Cambria Math"/>
                    </w:rPr>
                    <m:t xml:space="preserve">m</m:t>
                  </m:r>
                </m:sub>
              </m:sSub>
            </m:num>
            <m:den>
              <m:r>
                <w:rPr>
                  <w:rFonts w:ascii="Cambria Math" w:hAnsi="Cambria Math"/>
                </w:rPr>
                <m:t xml:space="preserve">var</m:t>
              </m:r>
              <m:sSub>
                <m:e>
                  <m:d>
                    <m:dPr>
                      <m:begChr m:val="("/>
                      <m:endChr m:val=")"/>
                    </m:dPr>
                    <m:e>
                      <m:r>
                        <w:rPr>
                          <w:rFonts w:ascii="Cambria Math" w:hAnsi="Cambria Math"/>
                        </w:rPr>
                        <m:t xml:space="preserve">e</m:t>
                      </m:r>
                    </m:e>
                  </m:d>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0,8769764</m:t>
              </m:r>
              <m:r>
                <w:rPr>
                  <w:rFonts w:ascii="Cambria Math" w:hAnsi="Cambria Math"/>
                </w:rPr>
                <m:t xml:space="preserve">−</m:t>
              </m:r>
              <m:r>
                <w:rPr>
                  <w:rFonts w:ascii="Cambria Math" w:hAnsi="Cambria Math"/>
                </w:rPr>
                <m:t xml:space="preserve">0,8457021</m:t>
              </m:r>
            </m:num>
            <m:den>
              <m:r>
                <w:rPr>
                  <w:rFonts w:ascii="Cambria Math" w:hAnsi="Cambria Math"/>
                </w:rPr>
                <m:t xml:space="preserve">0,8769764</m:t>
              </m:r>
            </m:den>
          </m:f>
          <m:r>
            <w:rPr>
              <w:rFonts w:ascii="Cambria Math" w:hAnsi="Cambria Math"/>
            </w:rPr>
            <m:t xml:space="preserve">=</m:t>
          </m:r>
          <m:r>
            <w:rPr>
              <w:rFonts w:ascii="Cambria Math" w:hAnsi="Cambria Math"/>
            </w:rPr>
            <m:t xml:space="preserve">0,036</m:t>
          </m:r>
        </m:oMath>
      </m:oMathPara>
    </w:p>
    <w:p>
      <w:pPr>
        <w:pStyle w:val="Normal"/>
        <w:spacing w:lineRule="auto" w:line="360"/>
        <w:rPr>
          <w:rFonts w:cs="Times New Roman"/>
          <w:szCs w:val="24"/>
        </w:rPr>
      </w:pPr>
      <w:r>
        <w:rPr>
          <w:rFonts w:cs="Times New Roman"/>
          <w:szCs w:val="24"/>
        </w:rPr>
      </w:r>
    </w:p>
    <w:p>
      <w:pPr>
        <w:pStyle w:val="Normal"/>
        <w:spacing w:lineRule="auto" w:line="360"/>
        <w:rPr>
          <w:rFonts w:cs="Times New Roman"/>
          <w:szCs w:val="24"/>
        </w:rPr>
      </w:pPr>
      <w:r>
        <w:rPr>
          <w:rFonts w:cs="Times New Roman"/>
          <w:szCs w:val="24"/>
        </w:rPr>
        <w:t>Følgelig er 20% av variansen på landnivå forklart av modell 3:</w:t>
      </w:r>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var</m:t>
              </m:r>
              <m:sSub>
                <m:e>
                  <m:d>
                    <m:dPr>
                      <m:begChr m:val="("/>
                      <m:endChr m:val=")"/>
                    </m:dPr>
                    <m:e>
                      <m:sSub>
                        <m:e>
                          <m:r>
                            <w:rPr>
                              <w:rFonts w:ascii="Cambria Math" w:hAnsi="Cambria Math"/>
                            </w:rPr>
                            <m:t xml:space="preserve">u</m:t>
                          </m:r>
                        </m:e>
                        <m:sub>
                          <m:r>
                            <w:rPr>
                              <w:rFonts w:ascii="Cambria Math" w:hAnsi="Cambria Math"/>
                            </w:rPr>
                            <m:t xml:space="preserve">0</m:t>
                          </m:r>
                        </m:sub>
                      </m:sSub>
                    </m:e>
                  </m:d>
                </m:e>
                <m:sub>
                  <m:r>
                    <w:rPr>
                      <w:rFonts w:ascii="Cambria Math" w:hAnsi="Cambria Math"/>
                    </w:rPr>
                    <m:t xml:space="preserve">b</m:t>
                  </m:r>
                </m:sub>
              </m:sSub>
              <m:r>
                <w:rPr>
                  <w:rFonts w:ascii="Cambria Math" w:hAnsi="Cambria Math"/>
                </w:rPr>
                <m:t xml:space="preserve">−</m:t>
              </m:r>
              <m:r>
                <w:rPr>
                  <w:rFonts w:ascii="Cambria Math" w:hAnsi="Cambria Math"/>
                </w:rPr>
                <m:t xml:space="preserve">var</m:t>
              </m:r>
              <m:sSub>
                <m:e>
                  <m:d>
                    <m:dPr>
                      <m:begChr m:val="("/>
                      <m:endChr m:val=")"/>
                    </m:dPr>
                    <m:e>
                      <m:sSub>
                        <m:e>
                          <m:r>
                            <w:rPr>
                              <w:rFonts w:ascii="Cambria Math" w:hAnsi="Cambria Math"/>
                            </w:rPr>
                            <m:t xml:space="preserve">u</m:t>
                          </m:r>
                        </m:e>
                        <m:sub>
                          <m:r>
                            <w:rPr>
                              <w:rFonts w:ascii="Cambria Math" w:hAnsi="Cambria Math"/>
                            </w:rPr>
                            <m:t xml:space="preserve">0</m:t>
                          </m:r>
                        </m:sub>
                      </m:sSub>
                    </m:e>
                  </m:d>
                </m:e>
                <m:sub>
                  <m:r>
                    <w:rPr>
                      <w:rFonts w:ascii="Cambria Math" w:hAnsi="Cambria Math"/>
                    </w:rPr>
                    <m:t xml:space="preserve">m</m:t>
                  </m:r>
                </m:sub>
              </m:sSub>
            </m:num>
            <m:den>
              <m:r>
                <w:rPr>
                  <w:rFonts w:ascii="Cambria Math" w:hAnsi="Cambria Math"/>
                </w:rPr>
                <m:t xml:space="preserve">var</m:t>
              </m:r>
              <m:sSub>
                <m:e>
                  <m:d>
                    <m:dPr>
                      <m:begChr m:val="("/>
                      <m:endChr m:val=")"/>
                    </m:dPr>
                    <m:e>
                      <m:sSub>
                        <m:e>
                          <m:r>
                            <w:rPr>
                              <w:rFonts w:ascii="Cambria Math" w:hAnsi="Cambria Math"/>
                            </w:rPr>
                            <m:t xml:space="preserve">u</m:t>
                          </m:r>
                        </m:e>
                        <m:sub>
                          <m:r>
                            <w:rPr>
                              <w:rFonts w:ascii="Cambria Math" w:hAnsi="Cambria Math"/>
                            </w:rPr>
                            <m:t xml:space="preserve">0</m:t>
                          </m:r>
                        </m:sub>
                      </m:sSub>
                    </m:e>
                  </m:d>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0,1445278</m:t>
              </m:r>
              <m:r>
                <w:rPr>
                  <w:rFonts w:ascii="Cambria Math" w:hAnsi="Cambria Math"/>
                </w:rPr>
                <m:t xml:space="preserve">−</m:t>
              </m:r>
              <m:r>
                <w:rPr>
                  <w:rFonts w:ascii="Cambria Math" w:hAnsi="Cambria Math"/>
                </w:rPr>
                <m:t xml:space="preserve">0,1155436</m:t>
              </m:r>
            </m:num>
            <m:den>
              <m:r>
                <w:rPr>
                  <w:rFonts w:ascii="Cambria Math" w:hAnsi="Cambria Math"/>
                </w:rPr>
                <m:t xml:space="preserve">0,1445278</m:t>
              </m:r>
            </m:den>
          </m:f>
          <m:r>
            <w:rPr>
              <w:rFonts w:ascii="Cambria Math" w:hAnsi="Cambria Math"/>
            </w:rPr>
            <m:t xml:space="preserve">=</m:t>
          </m:r>
          <m:r>
            <w:rPr>
              <w:rFonts w:ascii="Cambria Math" w:hAnsi="Cambria Math"/>
            </w:rPr>
            <m:t xml:space="preserve">0,200</m:t>
          </m:r>
        </m:oMath>
      </m:oMathPara>
    </w:p>
    <w:p>
      <w:pPr>
        <w:pStyle w:val="Normal"/>
        <w:spacing w:lineRule="auto" w:line="360"/>
        <w:rPr>
          <w:rFonts w:cs="Times New Roman"/>
          <w:szCs w:val="24"/>
          <w:shd w:fill="FFFFFF" w:val="clear"/>
        </w:rPr>
      </w:pPr>
      <w:r>
        <w:rPr>
          <w:rFonts w:cs="Times New Roman"/>
          <w:szCs w:val="24"/>
          <w:shd w:fill="FFFFFF" w:val="clear"/>
        </w:rPr>
        <w:t>Modell 3 viser at politisk undertrykte grupper assosieres med lavere politisk tillit i maktdelingsland, signifikant på 1%-nivå. Videre ser vi at undertrykte grupper er assosiert med lavere politisk tillit dersom landet ikke har hatt politisk maktdeling. Leddet som viser effekt av land uten maktdeling og politisk dominante grupper er ikke signifikant. De øvrige funnene gjenspeiler de tidligere modellene.</w:t>
      </w:r>
    </w:p>
    <w:p>
      <w:pPr>
        <w:pStyle w:val="Normal"/>
        <w:spacing w:lineRule="auto" w:line="360"/>
        <w:rPr>
          <w:rFonts w:cs="Times New Roman"/>
          <w:szCs w:val="24"/>
          <w:shd w:fill="FFFFFF" w:val="clear"/>
          <w:lang w:val="en-US"/>
        </w:rPr>
      </w:pPr>
      <w:r>
        <w:rPr>
          <w:rFonts w:cs="Times New Roman"/>
          <w:szCs w:val="24"/>
          <w:shd w:fill="FFFFFF" w:val="clear"/>
          <w:lang w:val="en-US"/>
        </w:rPr>
      </w:r>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var</m:t>
              </m:r>
              <m:sSub>
                <m:e>
                  <m:d>
                    <m:dPr>
                      <m:begChr m:val="("/>
                      <m:endChr m:val=")"/>
                    </m:dPr>
                    <m:e>
                      <m:r>
                        <w:rPr>
                          <w:rFonts w:ascii="Cambria Math" w:hAnsi="Cambria Math"/>
                        </w:rPr>
                        <m:t xml:space="preserve">e</m:t>
                      </m:r>
                    </m:e>
                  </m:d>
                </m:e>
                <m:sub>
                  <m:r>
                    <w:rPr>
                      <w:rFonts w:ascii="Cambria Math" w:hAnsi="Cambria Math"/>
                    </w:rPr>
                    <m:t xml:space="preserve">b</m:t>
                  </m:r>
                </m:sub>
              </m:sSub>
              <m:r>
                <w:rPr>
                  <w:rFonts w:ascii="Cambria Math" w:hAnsi="Cambria Math"/>
                </w:rPr>
                <m:t xml:space="preserve">−</m:t>
              </m:r>
              <m:r>
                <w:rPr>
                  <w:rFonts w:ascii="Cambria Math" w:hAnsi="Cambria Math"/>
                </w:rPr>
                <m:t xml:space="preserve">var</m:t>
              </m:r>
              <m:sSub>
                <m:e>
                  <m:d>
                    <m:dPr>
                      <m:begChr m:val="("/>
                      <m:endChr m:val=")"/>
                    </m:dPr>
                    <m:e>
                      <m:r>
                        <w:rPr>
                          <w:rFonts w:ascii="Cambria Math" w:hAnsi="Cambria Math"/>
                        </w:rPr>
                        <m:t xml:space="preserve">e</m:t>
                      </m:r>
                    </m:e>
                  </m:d>
                </m:e>
                <m:sub>
                  <m:r>
                    <w:rPr>
                      <w:rFonts w:ascii="Cambria Math" w:hAnsi="Cambria Math"/>
                    </w:rPr>
                    <m:t xml:space="preserve">m</m:t>
                  </m:r>
                </m:sub>
              </m:sSub>
            </m:num>
            <m:den>
              <m:r>
                <w:rPr>
                  <w:rFonts w:ascii="Cambria Math" w:hAnsi="Cambria Math"/>
                </w:rPr>
                <m:t xml:space="preserve">var</m:t>
              </m:r>
              <m:sSub>
                <m:e>
                  <m:d>
                    <m:dPr>
                      <m:begChr m:val="("/>
                      <m:endChr m:val=")"/>
                    </m:dPr>
                    <m:e>
                      <m:r>
                        <w:rPr>
                          <w:rFonts w:ascii="Cambria Math" w:hAnsi="Cambria Math"/>
                        </w:rPr>
                        <m:t xml:space="preserve">e</m:t>
                      </m:r>
                    </m:e>
                  </m:d>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0,8769764</m:t>
              </m:r>
              <m:r>
                <w:rPr>
                  <w:rFonts w:ascii="Cambria Math" w:hAnsi="Cambria Math"/>
                </w:rPr>
                <m:t xml:space="preserve">−</m:t>
              </m:r>
              <m:r>
                <w:rPr>
                  <w:rFonts w:ascii="Cambria Math" w:hAnsi="Cambria Math"/>
                </w:rPr>
                <m:t xml:space="preserve">0,8642984</m:t>
              </m:r>
            </m:num>
            <m:den>
              <m:r>
                <w:rPr>
                  <w:rFonts w:ascii="Cambria Math" w:hAnsi="Cambria Math"/>
                </w:rPr>
                <m:t xml:space="preserve">0,8769764</m:t>
              </m:r>
            </m:den>
          </m:f>
          <m:r>
            <w:rPr>
              <w:rFonts w:ascii="Cambria Math" w:hAnsi="Cambria Math"/>
            </w:rPr>
            <m:t xml:space="preserve">=</m:t>
          </m:r>
          <m:r>
            <w:rPr>
              <w:rFonts w:ascii="Cambria Math" w:hAnsi="Cambria Math"/>
            </w:rPr>
            <m:t xml:space="preserve">0,014</m:t>
          </m:r>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var</m:t>
              </m:r>
              <m:sSub>
                <m:e>
                  <m:d>
                    <m:dPr>
                      <m:begChr m:val="("/>
                      <m:endChr m:val=")"/>
                    </m:dPr>
                    <m:e>
                      <m:sSub>
                        <m:e>
                          <m:r>
                            <w:rPr>
                              <w:rFonts w:ascii="Cambria Math" w:hAnsi="Cambria Math"/>
                            </w:rPr>
                            <m:t xml:space="preserve">u</m:t>
                          </m:r>
                        </m:e>
                        <m:sub>
                          <m:r>
                            <w:rPr>
                              <w:rFonts w:ascii="Cambria Math" w:hAnsi="Cambria Math"/>
                            </w:rPr>
                            <m:t xml:space="preserve">0</m:t>
                          </m:r>
                        </m:sub>
                      </m:sSub>
                    </m:e>
                  </m:d>
                </m:e>
                <m:sub>
                  <m:r>
                    <w:rPr>
                      <w:rFonts w:ascii="Cambria Math" w:hAnsi="Cambria Math"/>
                    </w:rPr>
                    <m:t xml:space="preserve">b</m:t>
                  </m:r>
                </m:sub>
              </m:sSub>
              <m:r>
                <w:rPr>
                  <w:rFonts w:ascii="Cambria Math" w:hAnsi="Cambria Math"/>
                </w:rPr>
                <m:t xml:space="preserve">−</m:t>
              </m:r>
              <m:r>
                <w:rPr>
                  <w:rFonts w:ascii="Cambria Math" w:hAnsi="Cambria Math"/>
                </w:rPr>
                <m:t xml:space="preserve">var</m:t>
              </m:r>
              <m:sSub>
                <m:e>
                  <m:d>
                    <m:dPr>
                      <m:begChr m:val="("/>
                      <m:endChr m:val=")"/>
                    </m:dPr>
                    <m:e>
                      <m:sSub>
                        <m:e>
                          <m:r>
                            <w:rPr>
                              <w:rFonts w:ascii="Cambria Math" w:hAnsi="Cambria Math"/>
                            </w:rPr>
                            <m:t xml:space="preserve">u</m:t>
                          </m:r>
                        </m:e>
                        <m:sub>
                          <m:r>
                            <w:rPr>
                              <w:rFonts w:ascii="Cambria Math" w:hAnsi="Cambria Math"/>
                            </w:rPr>
                            <m:t xml:space="preserve">0</m:t>
                          </m:r>
                        </m:sub>
                      </m:sSub>
                    </m:e>
                  </m:d>
                </m:e>
                <m:sub>
                  <m:r>
                    <w:rPr>
                      <w:rFonts w:ascii="Cambria Math" w:hAnsi="Cambria Math"/>
                    </w:rPr>
                    <m:t xml:space="preserve">m</m:t>
                  </m:r>
                </m:sub>
              </m:sSub>
            </m:num>
            <m:den>
              <m:r>
                <w:rPr>
                  <w:rFonts w:ascii="Cambria Math" w:hAnsi="Cambria Math"/>
                </w:rPr>
                <m:t xml:space="preserve">var</m:t>
              </m:r>
              <m:sSub>
                <m:e>
                  <m:d>
                    <m:dPr>
                      <m:begChr m:val="("/>
                      <m:endChr m:val=")"/>
                    </m:dPr>
                    <m:e>
                      <m:sSub>
                        <m:e>
                          <m:r>
                            <w:rPr>
                              <w:rFonts w:ascii="Cambria Math" w:hAnsi="Cambria Math"/>
                            </w:rPr>
                            <m:t xml:space="preserve">u</m:t>
                          </m:r>
                        </m:e>
                        <m:sub>
                          <m:r>
                            <w:rPr>
                              <w:rFonts w:ascii="Cambria Math" w:hAnsi="Cambria Math"/>
                            </w:rPr>
                            <m:t xml:space="preserve">0</m:t>
                          </m:r>
                        </m:sub>
                      </m:sSub>
                    </m:e>
                  </m:d>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0,1445278</m:t>
              </m:r>
              <m:r>
                <w:rPr>
                  <w:rFonts w:ascii="Cambria Math" w:hAnsi="Cambria Math"/>
                </w:rPr>
                <m:t xml:space="preserve">−</m:t>
              </m:r>
              <m:r>
                <w:rPr>
                  <w:rFonts w:ascii="Cambria Math" w:hAnsi="Cambria Math"/>
                </w:rPr>
                <m:t xml:space="preserve">0,1390169</m:t>
              </m:r>
            </m:num>
            <m:den>
              <m:r>
                <w:rPr>
                  <w:rFonts w:ascii="Cambria Math" w:hAnsi="Cambria Math"/>
                </w:rPr>
                <m:t xml:space="preserve">0,1445278</m:t>
              </m:r>
            </m:den>
          </m:f>
          <m:r>
            <w:rPr>
              <w:rFonts w:ascii="Cambria Math" w:hAnsi="Cambria Math"/>
            </w:rPr>
            <m:t xml:space="preserve">=</m:t>
          </m:r>
          <m:r>
            <w:rPr>
              <w:rFonts w:ascii="Cambria Math" w:hAnsi="Cambria Math"/>
            </w:rPr>
            <m:t xml:space="preserve">0,038</m:t>
          </m:r>
        </m:oMath>
      </m:oMathPara>
    </w:p>
    <w:p>
      <w:pPr>
        <w:pStyle w:val="Normal"/>
        <w:spacing w:lineRule="auto" w:line="360"/>
        <w:rPr/>
      </w:pPr>
      <w:r>
        <w:rPr>
          <w:rFonts w:cs="Times New Roman"/>
          <w:szCs w:val="24"/>
          <w:shd w:fill="FFFFFF" w:val="clear"/>
        </w:rPr>
        <w:t>Modell 4 i tabell 18 er tillagt et samspillsledd mellom maktdelingsland og kvinner, og samspillsleddet mellom maktdelingsland og undertrykte grupper er fjernet. Det eneste av de tre leddene som oppnår statistisk signifikans er der hvor begge variablene er kodet 1. Den negative koeffisienten tilsier at kvinner er assosiert med lavere politisk tillit i land med politisk maktdeling. Samspillene for menn i maktdelingsland og kvinner i ikke-maktdelingsland er ikke signifikante. Vi ser av R</w:t>
      </w:r>
      <w:r>
        <w:rPr>
          <w:rFonts w:cs="Times New Roman"/>
          <w:szCs w:val="24"/>
          <w:shd w:fill="FFFFFF" w:val="clear"/>
          <w:vertAlign w:val="superscript"/>
        </w:rPr>
        <w:t>2</w:t>
      </w:r>
      <w:r>
        <w:rPr>
          <w:rFonts w:cs="Times New Roman"/>
          <w:szCs w:val="24"/>
          <w:shd w:fill="FFFFFF" w:val="clear"/>
        </w:rPr>
        <w:t>-verdien at modell 4 forklarer variansen i politisk tillit dårligere enn modell 3 både på individ- og landnivå (henholdsvis 1,4% og 3,8% i modell 4). Det antyder at politisk undertrykkelse er en faktor av større betydning enn kjønn for å forklare varians i politisk tillit.</w:t>
      </w:r>
    </w:p>
    <w:p>
      <w:pPr>
        <w:pStyle w:val="Normal"/>
        <w:spacing w:lineRule="auto" w:line="360"/>
        <w:rPr/>
      </w:pPr>
      <w:r>
        <w:rPr>
          <w:color w:val="000000"/>
          <w:shd w:fill="FFFFFF" w:val="clear"/>
        </w:rPr>
        <w:t xml:space="preserve">I tabell 5 ser vi at tre av maktdelingsavtalene inkluderer kvinners rettigheter. Modellene som er presentert frem til nå er basert på en antagelse om at </w:t>
      </w:r>
      <w:r>
        <w:rPr>
          <w:rFonts w:cs="Times New Roman"/>
          <w:i/>
          <w:iCs/>
          <w:szCs w:val="24"/>
          <w:shd w:fill="FFFFFF" w:val="clear"/>
        </w:rPr>
        <w:t>X</w:t>
      </w:r>
      <w:r>
        <w:rPr>
          <w:rFonts w:cs="Times New Roman"/>
          <w:szCs w:val="24"/>
          <w:shd w:fill="FFFFFF" w:val="clear"/>
        </w:rPr>
        <w:t xml:space="preserve">-variablene på individnivå har de samme effektene i alle de inkluderte landene (Mehmetoglu &amp; Jakobsen, 2017, s. 205). For å sjekke hvorvidt dette er tilfelle, må det tas forbehold for muligheten om at effekten av kjønn på politisk tillit varierer mellom land. Ved å tillegge modellene en </w:t>
      </w:r>
      <w:r>
        <w:rPr>
          <w:rFonts w:cs="Times New Roman"/>
          <w:i/>
          <w:iCs/>
          <w:szCs w:val="24"/>
          <w:shd w:fill="FFFFFF" w:val="clear"/>
        </w:rPr>
        <w:t>random</w:t>
      </w:r>
      <w:r>
        <w:rPr>
          <w:rFonts w:cs="Times New Roman"/>
          <w:szCs w:val="24"/>
          <w:shd w:fill="FFFFFF" w:val="clear"/>
        </w:rPr>
        <w:t xml:space="preserve"> koeffisient (random slope), vil effekten tillates å variere mellom de ulike landene (Mehmetoglu &amp; Jakobsen, 2017, s. 211).</w:t>
      </w:r>
      <w:r>
        <w:rPr>
          <w:color w:val="000000"/>
          <w:shd w:fill="FFFFFF" w:val="clear"/>
        </w:rPr>
        <w:t xml:space="preserve"> </w:t>
      </w:r>
      <w:r>
        <w:rPr>
          <w:shd w:fill="FFFFFF" w:val="clear"/>
        </w:rPr>
        <w:t>Da en random koeffisient tillegger modellen større kompleksitet, bør den ikke vektlegges med mindre den tilbyr en signifikant forbedring av modellen (Mehmetoglu &amp; Jakobsen, 2017, s. 212). Dette ble forsøkt testet, men ettersom en random koeffisient ikke kunne tilby en signifikant forbedring av modellen, ses dette bort i fra</w:t>
      </w:r>
      <w:r>
        <w:rPr>
          <w:rStyle w:val="FootnoteAnchor"/>
          <w:shd w:fill="FFFFFF" w:val="clear"/>
        </w:rPr>
        <w:footnoteReference w:id="32"/>
      </w:r>
      <w:r>
        <w:rPr>
          <w:shd w:fill="FFFFFF" w:val="clear"/>
        </w:rPr>
        <w:t>. Det ble også foretatt en logistisk regresjon for å undersøke om resultatene endres ved å se på politisk tillit som to definerte holdepunkter fremfor en kontinuerlig skala. Da det ikke er åpenbare teoretiske grunner til å foreta en logistisk regresjon i denne oppgaven, ble dette gjort som robusthetssjekk</w:t>
      </w:r>
      <w:r>
        <w:rPr>
          <w:rStyle w:val="FootnoteAnchor"/>
          <w:shd w:fill="FFFFFF" w:val="clear"/>
        </w:rPr>
        <w:footnoteReference w:id="33"/>
      </w:r>
      <w:r>
        <w:rPr>
          <w:shd w:fill="FFFFFF" w:val="clear"/>
        </w:rPr>
        <w:t>. Ingen funn fra den logistiske regresjonen skiller seg ut fra funn som allerede er avdekket.</w:t>
      </w:r>
    </w:p>
    <w:p>
      <w:pPr>
        <w:pStyle w:val="Normal"/>
        <w:spacing w:lineRule="auto" w:line="360"/>
        <w:rPr>
          <w:shd w:fill="FFFFFF" w:val="clear"/>
        </w:rPr>
      </w:pPr>
      <w:r>
        <w:rPr>
          <w:shd w:fill="FFFFFF" w:val="clear"/>
        </w:rPr>
      </w:r>
    </w:p>
    <w:p>
      <w:pPr>
        <w:pStyle w:val="Normal"/>
        <w:spacing w:lineRule="auto" w:line="360"/>
        <w:rPr>
          <w:shd w:fill="FFFFFF" w:val="clear"/>
        </w:rPr>
      </w:pPr>
      <w:r>
        <w:rPr>
          <w:shd w:fill="FFFFFF" w:val="clear"/>
        </w:rPr>
      </w:r>
    </w:p>
    <w:p>
      <w:pPr>
        <w:pStyle w:val="Normal"/>
        <w:spacing w:lineRule="auto" w:line="360"/>
        <w:rPr>
          <w:shd w:fill="FFFFFF" w:val="clear"/>
        </w:rPr>
      </w:pPr>
      <w:r>
        <w:rPr>
          <w:shd w:fill="FFFFFF" w:val="clear"/>
        </w:rPr>
      </w:r>
    </w:p>
    <w:p>
      <w:pPr>
        <w:pStyle w:val="Normal"/>
        <w:spacing w:lineRule="auto" w:line="360"/>
        <w:rPr>
          <w:shd w:fill="FFFFFF" w:val="clear"/>
        </w:rPr>
      </w:pPr>
      <w:r>
        <w:rPr>
          <w:shd w:fill="FFFFFF" w:val="clear"/>
        </w:rPr>
      </w:r>
    </w:p>
    <w:p>
      <w:pPr>
        <w:pStyle w:val="Normal"/>
        <w:spacing w:lineRule="auto" w:line="360"/>
        <w:rPr>
          <w:shd w:fill="FFFFFF" w:val="clear"/>
        </w:rPr>
      </w:pPr>
      <w:r>
        <w:rPr>
          <w:shd w:fill="FFFFFF" w:val="clear"/>
        </w:rPr>
      </w:r>
    </w:p>
    <w:p>
      <w:pPr>
        <w:pStyle w:val="Normal"/>
        <w:spacing w:lineRule="auto" w:line="360"/>
        <w:rPr>
          <w:shd w:fill="FFFFFF" w:val="clear"/>
        </w:rPr>
      </w:pPr>
      <w:r>
        <w:rPr>
          <w:shd w:fill="FFFFFF" w:val="clear"/>
        </w:rPr>
      </w:r>
    </w:p>
    <w:p>
      <w:pPr>
        <w:pStyle w:val="Normal"/>
        <w:spacing w:lineRule="auto" w:line="360"/>
        <w:rPr>
          <w:shd w:fill="FFFFFF" w:val="clear"/>
        </w:rPr>
      </w:pPr>
      <w:r>
        <w:rPr>
          <w:shd w:fill="FFFFFF" w:val="clear"/>
        </w:rPr>
      </w:r>
    </w:p>
    <w:p>
      <w:pPr>
        <w:pStyle w:val="Normal"/>
        <w:spacing w:lineRule="auto" w:line="360"/>
        <w:rPr>
          <w:shd w:fill="FFFFFF" w:val="clear"/>
        </w:rPr>
      </w:pPr>
      <w:r>
        <w:rPr>
          <w:shd w:fill="FFFFFF" w:val="clear"/>
        </w:rPr>
      </w:r>
    </w:p>
    <w:p>
      <w:pPr>
        <w:pStyle w:val="Normal"/>
        <w:spacing w:lineRule="auto" w:line="360"/>
        <w:rPr>
          <w:shd w:fill="FFFFFF" w:val="clear"/>
        </w:rPr>
      </w:pPr>
      <w:r>
        <w:rPr>
          <w:shd w:fill="FFFFFF" w:val="clear"/>
        </w:rPr>
      </w:r>
    </w:p>
    <w:p>
      <w:pPr>
        <w:pStyle w:val="Normal"/>
        <w:spacing w:lineRule="auto" w:line="360"/>
        <w:rPr>
          <w:shd w:fill="FFFFFF" w:val="clear"/>
        </w:rPr>
      </w:pPr>
      <w:r>
        <w:rPr>
          <w:shd w:fill="FFFFFF" w:val="clear"/>
        </w:rPr>
      </w:r>
    </w:p>
    <w:p>
      <w:pPr>
        <w:pStyle w:val="Normal"/>
        <w:spacing w:lineRule="auto" w:line="360"/>
        <w:rPr>
          <w:shd w:fill="FFFFFF" w:val="clear"/>
        </w:rPr>
      </w:pPr>
      <w:r>
        <w:rPr>
          <w:shd w:fill="FFFFFF" w:val="clear"/>
        </w:rPr>
      </w:r>
    </w:p>
    <w:p>
      <w:pPr>
        <w:pStyle w:val="Normal"/>
        <w:spacing w:lineRule="auto" w:line="360"/>
        <w:rPr>
          <w:shd w:fill="FFFFFF" w:val="clear"/>
        </w:rPr>
      </w:pPr>
      <w:r>
        <w:rPr>
          <w:shd w:fill="FFFFFF" w:val="clear"/>
        </w:rPr>
      </w:r>
    </w:p>
    <w:p>
      <w:pPr>
        <w:pStyle w:val="Heading2"/>
        <w:spacing w:lineRule="auto" w:line="360"/>
        <w:rPr>
          <w:shd w:fill="FFFFFF" w:val="clear"/>
        </w:rPr>
      </w:pPr>
      <w:bookmarkStart w:id="92" w:name="_Toc72502757"/>
      <w:bookmarkStart w:id="93" w:name="_Toc71923041"/>
      <w:r>
        <w:rPr>
          <w:shd w:fill="FFFFFF" w:val="clear"/>
        </w:rPr>
        <w:t>8.3.</w:t>
        <w:tab/>
        <w:t>Flernivåanalyse (vektet)</w:t>
      </w:r>
      <w:bookmarkEnd w:id="92"/>
      <w:bookmarkEnd w:id="93"/>
    </w:p>
    <w:p>
      <w:pPr>
        <w:pStyle w:val="Normal"/>
        <w:spacing w:lineRule="auto" w:line="360"/>
        <w:rPr/>
      </w:pPr>
      <w:r>
        <w:rPr>
          <w:rFonts w:cs="Times New Roman"/>
        </w:rPr>
        <w:t>I flernivåanalyse har gruppestørrelse en innvirkning på effekter for variablene på individnivå (Mehmetoglu &amp; Jakobsen, 2017, s. 221). Dersom vi ser på antall observasjoner innad i de ulike landene, ser vi at enkelte land er representert i større grad enn andre. Dersom ujevnheten i antall observasjoner gjenspeiler faktiske ujevnheter i innbyggertall mellom land er ikke dette noe problem, og som vi ser i tabell 19 gir antall observasjoner stort sett teoretisk mening. Det er likevel noen land som skiller seg ut, eksempelvis Elfenbenskysten, Ghana, Sierra Leone og Uganda som er overrepresentert, og Mali som er underrepresentert. For å undersøke om dette påvirker funnene som er gjort i de tidligere modellene, vil samspillsmodellene bli kjørt på nytt med vektede enheter. Afrobarometer tilbyr en vektingsvariabel (</w:t>
      </w:r>
      <w:r>
        <w:rPr>
          <w:rFonts w:cs="Times New Roman"/>
          <w:i/>
          <w:iCs/>
        </w:rPr>
        <w:t>combinwt</w:t>
      </w:r>
      <w:r>
        <w:rPr>
          <w:rFonts w:cs="Times New Roman"/>
        </w:rPr>
        <w:t xml:space="preserve">) som standardiserer hvert nasjonale utvalg som om de var like i størrelse (Afrobarometer, 2019). </w:t>
      </w:r>
    </w:p>
    <w:p>
      <w:pPr>
        <w:pStyle w:val="Normal"/>
        <w:spacing w:lineRule="auto" w:line="240"/>
        <w:rPr>
          <w:rFonts w:cs="Times New Roman"/>
          <w:i/>
          <w:i/>
          <w:iCs/>
          <w:sz w:val="22"/>
          <w:szCs w:val="20"/>
        </w:rPr>
      </w:pPr>
      <w:r>
        <w:rPr>
          <w:rFonts w:cs="Times New Roman"/>
          <w:i/>
          <w:iCs/>
          <w:sz w:val="22"/>
          <w:szCs w:val="20"/>
        </w:rPr>
        <w:t>Tabell 19: Observasjoner i datasettet i forhold til faktisk innbyggertall (Afrobarometer, år; Verdensbanken, år)</w:t>
      </w:r>
    </w:p>
    <w:tbl>
      <w:tblPr>
        <w:tblW w:w="6516" w:type="dxa"/>
        <w:jc w:val="left"/>
        <w:tblInd w:w="0" w:type="dxa"/>
        <w:tblLayout w:type="fixed"/>
        <w:tblCellMar>
          <w:top w:w="0" w:type="dxa"/>
          <w:left w:w="108" w:type="dxa"/>
          <w:bottom w:w="0" w:type="dxa"/>
          <w:right w:w="108" w:type="dxa"/>
        </w:tblCellMar>
      </w:tblPr>
      <w:tblGrid>
        <w:gridCol w:w="2122"/>
        <w:gridCol w:w="1841"/>
        <w:gridCol w:w="2553"/>
      </w:tblGrid>
      <w:tr>
        <w:trPr/>
        <w:tc>
          <w:tcPr>
            <w:tcW w:w="2122" w:type="dxa"/>
            <w:tcBorders>
              <w:top w:val="single" w:sz="4" w:space="0" w:color="000000"/>
              <w:left w:val="single" w:sz="4" w:space="0" w:color="000000"/>
              <w:bottom w:val="single" w:sz="4" w:space="0" w:color="000000"/>
              <w:right w:val="single" w:sz="4" w:space="0" w:color="000000"/>
            </w:tcBorders>
            <w:shd w:fill="E7E6E6" w:val="clear"/>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Land</w:t>
            </w:r>
          </w:p>
        </w:tc>
        <w:tc>
          <w:tcPr>
            <w:tcW w:w="1841" w:type="dxa"/>
            <w:tcBorders>
              <w:top w:val="single" w:sz="4" w:space="0" w:color="000000"/>
              <w:left w:val="single" w:sz="4" w:space="0" w:color="000000"/>
              <w:bottom w:val="single" w:sz="4" w:space="0" w:color="000000"/>
              <w:right w:val="single" w:sz="4" w:space="0" w:color="000000"/>
            </w:tcBorders>
            <w:shd w:fill="E7E6E6" w:val="clear"/>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Observasjoner i datasettet</w:t>
            </w:r>
          </w:p>
        </w:tc>
        <w:tc>
          <w:tcPr>
            <w:tcW w:w="2553" w:type="dxa"/>
            <w:tcBorders>
              <w:top w:val="single" w:sz="4" w:space="0" w:color="000000"/>
              <w:left w:val="single" w:sz="4" w:space="0" w:color="000000"/>
              <w:bottom w:val="single" w:sz="4" w:space="0" w:color="000000"/>
              <w:right w:val="single" w:sz="4" w:space="0" w:color="000000"/>
            </w:tcBorders>
            <w:shd w:fill="E7E6E6" w:val="clear"/>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Innbyggertall (rundet av til nærmeste million)</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Algerie</w:t>
            </w:r>
          </w:p>
        </w:tc>
        <w:tc>
          <w:tcPr>
            <w:tcW w:w="184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622</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43</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Burkina Faso</w:t>
            </w:r>
          </w:p>
        </w:tc>
        <w:tc>
          <w:tcPr>
            <w:tcW w:w="184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622</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20</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Elfenbenskysten*</w:t>
            </w:r>
          </w:p>
        </w:tc>
        <w:tc>
          <w:tcPr>
            <w:tcW w:w="184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1166</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26</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Ghana</w:t>
            </w:r>
          </w:p>
        </w:tc>
        <w:tc>
          <w:tcPr>
            <w:tcW w:w="184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1153</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30</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Guinea</w:t>
            </w:r>
          </w:p>
        </w:tc>
        <w:tc>
          <w:tcPr>
            <w:tcW w:w="184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730</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13</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Kenya*</w:t>
            </w:r>
          </w:p>
        </w:tc>
        <w:tc>
          <w:tcPr>
            <w:tcW w:w="184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979</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53</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Liberia*</w:t>
            </w:r>
          </w:p>
        </w:tc>
        <w:tc>
          <w:tcPr>
            <w:tcW w:w="184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192</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5</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Mali</w:t>
            </w:r>
          </w:p>
        </w:tc>
        <w:tc>
          <w:tcPr>
            <w:tcW w:w="184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133</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20</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Mosambik*</w:t>
            </w:r>
          </w:p>
        </w:tc>
        <w:tc>
          <w:tcPr>
            <w:tcW w:w="184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259</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30</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 xml:space="preserve">Niger </w:t>
            </w:r>
          </w:p>
        </w:tc>
        <w:tc>
          <w:tcPr>
            <w:tcW w:w="184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954</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23</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Nigeria</w:t>
            </w:r>
          </w:p>
        </w:tc>
        <w:tc>
          <w:tcPr>
            <w:tcW w:w="184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1655</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201</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Senegal</w:t>
            </w:r>
          </w:p>
        </w:tc>
        <w:tc>
          <w:tcPr>
            <w:tcW w:w="184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293</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16</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Sierra Leone</w:t>
            </w:r>
          </w:p>
        </w:tc>
        <w:tc>
          <w:tcPr>
            <w:tcW w:w="184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807</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8</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Sør-Afrika*</w:t>
            </w:r>
          </w:p>
        </w:tc>
        <w:tc>
          <w:tcPr>
            <w:tcW w:w="184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830</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39</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Uganda</w:t>
            </w:r>
          </w:p>
        </w:tc>
        <w:tc>
          <w:tcPr>
            <w:tcW w:w="184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1273</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44</w:t>
            </w:r>
          </w:p>
        </w:tc>
      </w:tr>
      <w:tr>
        <w:trPr/>
        <w:tc>
          <w:tcPr>
            <w:tcW w:w="21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Zimbabwe*</w:t>
            </w:r>
          </w:p>
        </w:tc>
        <w:tc>
          <w:tcPr>
            <w:tcW w:w="184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1273</w:t>
            </w:r>
          </w:p>
        </w:tc>
        <w:tc>
          <w:tcPr>
            <w:tcW w:w="255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rPr>
                <w:rFonts w:eastAsia="Calibri" w:cs="Times New Roman"/>
                <w:kern w:val="0"/>
                <w:szCs w:val="22"/>
                <w:lang w:val="nb-NO" w:eastAsia="en-US" w:bidi="ar-SA"/>
              </w:rPr>
            </w:pPr>
            <w:r>
              <w:rPr>
                <w:rFonts w:eastAsia="Calibri" w:cs="Times New Roman"/>
                <w:kern w:val="0"/>
                <w:szCs w:val="22"/>
                <w:lang w:val="nb-NO" w:eastAsia="en-US" w:bidi="ar-SA"/>
              </w:rPr>
              <w:t>15</w:t>
            </w:r>
          </w:p>
        </w:tc>
      </w:tr>
    </w:tbl>
    <w:p>
      <w:pPr>
        <w:pStyle w:val="Normal"/>
        <w:spacing w:lineRule="auto" w:line="360"/>
        <w:rPr>
          <w:rFonts w:cs="Times New Roman"/>
          <w:sz w:val="22"/>
          <w:szCs w:val="20"/>
        </w:rPr>
      </w:pPr>
      <w:r>
        <w:rPr>
          <w:rFonts w:cs="Times New Roman"/>
          <w:sz w:val="22"/>
          <w:szCs w:val="20"/>
        </w:rPr>
        <w:t>*Land med politisk maktdeling</w:t>
      </w:r>
    </w:p>
    <w:p>
      <w:pPr>
        <w:pStyle w:val="Normal"/>
        <w:spacing w:lineRule="auto" w:line="360"/>
        <w:rPr>
          <w:rFonts w:cs="Times New Roman"/>
          <w:sz w:val="22"/>
          <w:szCs w:val="20"/>
        </w:rPr>
      </w:pPr>
      <w:r>
        <w:rPr>
          <w:rFonts w:cs="Times New Roman"/>
          <w:sz w:val="22"/>
          <w:szCs w:val="20"/>
        </w:rPr>
      </w:r>
    </w:p>
    <w:p>
      <w:pPr>
        <w:pStyle w:val="Normal"/>
        <w:spacing w:lineRule="auto" w:line="360"/>
        <w:rPr/>
      </w:pPr>
      <w:r>
        <w:rPr>
          <w:rFonts w:cs="Times New Roman"/>
        </w:rPr>
        <w:t>For at R</w:t>
      </w:r>
      <w:r>
        <w:rPr>
          <w:rFonts w:cs="Times New Roman"/>
          <w:vertAlign w:val="superscript"/>
        </w:rPr>
        <w:t>2</w:t>
      </w:r>
      <w:r>
        <w:rPr>
          <w:rFonts w:cs="Times New Roman"/>
        </w:rPr>
        <w:t xml:space="preserve"> skal kunne regnes ut for de vektede modellene kjører vi en vektet nullmodell. </w:t>
      </w:r>
    </w:p>
    <w:p>
      <w:pPr>
        <w:pStyle w:val="Normal"/>
        <w:rPr>
          <w:rFonts w:cs="Times New Roman"/>
          <w:i/>
          <w:i/>
          <w:iCs/>
          <w:sz w:val="20"/>
          <w:szCs w:val="20"/>
        </w:rPr>
      </w:pPr>
      <w:r>
        <w:rPr>
          <w:rFonts w:cs="Times New Roman"/>
          <w:i/>
          <w:iCs/>
          <w:sz w:val="20"/>
          <w:szCs w:val="20"/>
        </w:rPr>
        <w:t>Tabell 20: Nullmodell (vektet)</w:t>
      </w:r>
    </w:p>
    <w:tbl>
      <w:tblPr>
        <w:tblW w:w="2908" w:type="dxa"/>
        <w:jc w:val="left"/>
        <w:tblInd w:w="0" w:type="dxa"/>
        <w:tblLayout w:type="fixed"/>
        <w:tblCellMar>
          <w:top w:w="0" w:type="dxa"/>
          <w:left w:w="108" w:type="dxa"/>
          <w:bottom w:w="0" w:type="dxa"/>
          <w:right w:w="108" w:type="dxa"/>
        </w:tblCellMar>
      </w:tblPr>
      <w:tblGrid>
        <w:gridCol w:w="1700"/>
        <w:gridCol w:w="1208"/>
      </w:tblGrid>
      <w:tr>
        <w:trPr/>
        <w:tc>
          <w:tcPr>
            <w:tcW w:w="1700" w:type="dxa"/>
            <w:tcBorders>
              <w:top w:val="single" w:sz="4" w:space="0" w:color="000000"/>
              <w:bottom w:val="single" w:sz="8" w:space="0" w:color="000000"/>
            </w:tcBorders>
          </w:tcPr>
          <w:p>
            <w:pPr>
              <w:pStyle w:val="Normal"/>
              <w:widowControl w:val="false"/>
              <w:spacing w:before="0" w:after="160"/>
              <w:rPr>
                <w:rFonts w:cs="Times New Roman"/>
                <w:sz w:val="20"/>
                <w:szCs w:val="20"/>
              </w:rPr>
            </w:pPr>
            <w:r>
              <w:rPr>
                <w:rFonts w:cs="Times New Roman"/>
                <w:sz w:val="20"/>
                <w:szCs w:val="20"/>
              </w:rPr>
              <w:t xml:space="preserve"> </w:t>
            </w:r>
            <w:r>
              <w:rPr>
                <w:rFonts w:cs="Times New Roman"/>
                <w:sz w:val="20"/>
                <w:szCs w:val="20"/>
                <w:lang w:val="en-US"/>
              </w:rPr>
              <w:t>Variabler</w:t>
            </w:r>
          </w:p>
        </w:tc>
        <w:tc>
          <w:tcPr>
            <w:tcW w:w="1208" w:type="dxa"/>
            <w:tcBorders>
              <w:top w:val="single" w:sz="4" w:space="0" w:color="000000"/>
              <w:bottom w:val="single" w:sz="8" w:space="0" w:color="000000"/>
            </w:tcBorders>
          </w:tcPr>
          <w:p>
            <w:pPr>
              <w:pStyle w:val="Normal"/>
              <w:widowControl w:val="false"/>
              <w:spacing w:before="0" w:after="160"/>
              <w:rPr>
                <w:rFonts w:cs="Times New Roman"/>
                <w:sz w:val="20"/>
                <w:szCs w:val="20"/>
                <w:lang w:val="en-US"/>
              </w:rPr>
            </w:pPr>
            <w:r>
              <w:rPr>
                <w:rFonts w:cs="Times New Roman"/>
                <w:sz w:val="20"/>
                <w:szCs w:val="20"/>
                <w:lang w:val="en-US"/>
              </w:rPr>
              <w:t>politisktillit</w:t>
            </w:r>
          </w:p>
        </w:tc>
      </w:tr>
      <w:tr>
        <w:trPr>
          <w:trHeight w:val="1412" w:hRule="atLeast"/>
        </w:trPr>
        <w:tc>
          <w:tcPr>
            <w:tcW w:w="1700" w:type="dxa"/>
            <w:tcBorders/>
          </w:tcPr>
          <w:p>
            <w:pPr>
              <w:pStyle w:val="Normal"/>
              <w:widowControl w:val="false"/>
              <w:rPr>
                <w:rFonts w:cs="Times New Roman"/>
                <w:sz w:val="20"/>
                <w:szCs w:val="20"/>
                <w:lang w:val="en-US"/>
              </w:rPr>
            </w:pPr>
            <w:r>
              <w:rPr>
                <w:rFonts w:cs="Times New Roman"/>
                <w:sz w:val="20"/>
                <w:szCs w:val="20"/>
                <w:lang w:val="en-US"/>
              </w:rPr>
              <w:t>Constant</w:t>
            </w:r>
          </w:p>
          <w:p>
            <w:pPr>
              <w:pStyle w:val="Normal"/>
              <w:widowControl w:val="false"/>
              <w:rPr>
                <w:rFonts w:cs="Times New Roman"/>
                <w:sz w:val="20"/>
                <w:szCs w:val="20"/>
                <w:lang w:val="en-US"/>
              </w:rPr>
            </w:pPr>
            <w:r>
              <w:rPr>
                <w:rFonts w:cs="Times New Roman"/>
                <w:sz w:val="20"/>
                <w:szCs w:val="20"/>
                <w:lang w:val="en-US"/>
              </w:rPr>
            </w:r>
          </w:p>
          <w:p>
            <w:pPr>
              <w:pStyle w:val="Normal"/>
              <w:widowControl w:val="false"/>
              <w:rPr>
                <w:rFonts w:cs="Times New Roman"/>
                <w:sz w:val="20"/>
                <w:szCs w:val="20"/>
                <w:lang w:val="en-US"/>
              </w:rPr>
            </w:pPr>
            <w:r>
              <w:rPr>
                <w:rFonts w:cs="Times New Roman"/>
                <w:sz w:val="20"/>
                <w:szCs w:val="20"/>
                <w:lang w:val="en-US"/>
              </w:rPr>
              <w:t>N1</w:t>
            </w:r>
          </w:p>
          <w:p>
            <w:pPr>
              <w:pStyle w:val="Normal"/>
              <w:widowControl w:val="false"/>
              <w:spacing w:before="0" w:after="160"/>
              <w:rPr>
                <w:rFonts w:cs="Times New Roman"/>
                <w:sz w:val="20"/>
                <w:szCs w:val="20"/>
                <w:lang w:val="en-US"/>
              </w:rPr>
            </w:pPr>
            <w:r>
              <w:rPr>
                <w:rFonts w:cs="Times New Roman"/>
                <w:sz w:val="20"/>
                <w:szCs w:val="20"/>
                <w:lang w:val="en-US"/>
              </w:rPr>
              <w:t>N2</w:t>
            </w:r>
          </w:p>
        </w:tc>
        <w:tc>
          <w:tcPr>
            <w:tcW w:w="1208" w:type="dxa"/>
            <w:tcBorders/>
          </w:tcPr>
          <w:p>
            <w:pPr>
              <w:pStyle w:val="Normal"/>
              <w:widowControl w:val="false"/>
              <w:rPr>
                <w:rFonts w:cs="Times New Roman"/>
                <w:sz w:val="20"/>
                <w:szCs w:val="20"/>
                <w:lang w:val="en-US"/>
              </w:rPr>
            </w:pPr>
            <w:r>
              <w:rPr>
                <w:rFonts w:cs="Times New Roman"/>
                <w:sz w:val="20"/>
                <w:szCs w:val="20"/>
                <w:lang w:val="en-US"/>
              </w:rPr>
              <w:t xml:space="preserve"> </w:t>
            </w:r>
            <w:r>
              <w:rPr>
                <w:rFonts w:cs="Times New Roman"/>
                <w:sz w:val="20"/>
                <w:szCs w:val="20"/>
                <w:lang w:val="en-US"/>
              </w:rPr>
              <w:t>2.576</w:t>
            </w:r>
          </w:p>
          <w:p>
            <w:pPr>
              <w:pStyle w:val="Normal"/>
              <w:widowControl w:val="false"/>
              <w:rPr>
                <w:rFonts w:cs="Times New Roman"/>
                <w:sz w:val="20"/>
                <w:szCs w:val="20"/>
                <w:lang w:val="en-US"/>
              </w:rPr>
            </w:pPr>
            <w:r>
              <w:rPr>
                <w:rFonts w:cs="Times New Roman"/>
                <w:sz w:val="20"/>
                <w:szCs w:val="20"/>
                <w:lang w:val="en-US"/>
              </w:rPr>
              <w:t>(0.100)</w:t>
            </w:r>
          </w:p>
          <w:p>
            <w:pPr>
              <w:pStyle w:val="Normal"/>
              <w:widowControl w:val="false"/>
              <w:rPr>
                <w:rFonts w:cs="Times New Roman"/>
                <w:sz w:val="20"/>
                <w:szCs w:val="20"/>
                <w:lang w:val="en-US"/>
              </w:rPr>
            </w:pPr>
            <w:r>
              <w:rPr>
                <w:rFonts w:cs="Times New Roman"/>
                <w:sz w:val="20"/>
                <w:szCs w:val="20"/>
                <w:lang w:val="en-US"/>
              </w:rPr>
              <w:t>12,781</w:t>
            </w:r>
          </w:p>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16</w:t>
            </w:r>
          </w:p>
        </w:tc>
      </w:tr>
    </w:tbl>
    <w:p>
      <w:pPr>
        <w:pStyle w:val="Normal"/>
        <w:spacing w:lineRule="auto" w:line="240"/>
        <w:rPr/>
      </w:pPr>
      <w:r>
        <w:rPr/>
        <w:t>_________________________</w:t>
      </w:r>
    </w:p>
    <w:p>
      <w:pPr>
        <w:pStyle w:val="Normal"/>
        <w:spacing w:lineRule="auto" w:line="240"/>
        <w:rPr/>
      </w:pPr>
      <w:r>
        <w:rPr>
          <w:rFonts w:cs="Times New Roman"/>
          <w:sz w:val="20"/>
          <w:szCs w:val="20"/>
          <w:lang w:val="en-US"/>
        </w:rPr>
        <w:t>Robuste standardfeil i parentes</w:t>
      </w:r>
      <w:r>
        <w:rPr>
          <w:rFonts w:cs="Times New Roman"/>
          <w:i/>
          <w:iCs/>
          <w:sz w:val="20"/>
          <w:szCs w:val="20"/>
          <w:lang w:val="en-US"/>
        </w:rPr>
        <w:t xml:space="preserve"> | *** p&lt;.01, ** p&lt;.05, * p&lt;.1</w:t>
      </w:r>
    </w:p>
    <w:p>
      <w:pPr>
        <w:pStyle w:val="Normal"/>
        <w:spacing w:lineRule="auto" w:line="240"/>
        <w:rPr>
          <w:rFonts w:cs="Times New Roman"/>
          <w:i/>
          <w:i/>
          <w:iCs/>
          <w:sz w:val="20"/>
          <w:szCs w:val="20"/>
          <w:lang w:val="en-US"/>
        </w:rPr>
      </w:pPr>
      <w:r>
        <w:rPr>
          <w:rFonts w:cs="Times New Roman"/>
          <w:i/>
          <w:iCs/>
          <w:sz w:val="20"/>
          <w:szCs w:val="20"/>
          <w:lang w:val="en-US"/>
        </w:rPr>
      </w:r>
    </w:p>
    <w:p>
      <w:pPr>
        <w:pStyle w:val="Normal"/>
        <w:spacing w:lineRule="auto" w:line="240"/>
        <w:rPr/>
      </w:pPr>
      <w:r>
        <w:rPr/>
      </w:r>
    </w:p>
    <w:p>
      <w:pPr>
        <w:pStyle w:val="Normal"/>
        <w:rPr>
          <w:rFonts w:cs="Times New Roman"/>
          <w:i/>
          <w:i/>
          <w:iCs/>
          <w:sz w:val="22"/>
          <w:szCs w:val="20"/>
        </w:rPr>
      </w:pPr>
      <w:r>
        <w:rPr>
          <w:rFonts w:cs="Times New Roman"/>
          <w:i/>
          <w:iCs/>
          <w:sz w:val="22"/>
          <w:szCs w:val="20"/>
        </w:rPr>
        <w:t>Tabell 21: Parametere for nullmodell (vektet)</w:t>
      </w:r>
    </w:p>
    <w:tbl>
      <w:tblPr>
        <w:tblW w:w="8858" w:type="dxa"/>
        <w:jc w:val="left"/>
        <w:tblInd w:w="0" w:type="dxa"/>
        <w:tblLayout w:type="fixed"/>
        <w:tblCellMar>
          <w:top w:w="0" w:type="dxa"/>
          <w:left w:w="108" w:type="dxa"/>
          <w:bottom w:w="0" w:type="dxa"/>
          <w:right w:w="108" w:type="dxa"/>
        </w:tblCellMar>
      </w:tblPr>
      <w:tblGrid>
        <w:gridCol w:w="8858"/>
      </w:tblGrid>
      <w:tr>
        <w:trPr/>
        <w:tc>
          <w:tcPr>
            <w:tcW w:w="8858" w:type="dxa"/>
            <w:tcBorders>
              <w:top w:val="single" w:sz="6" w:space="0" w:color="000000"/>
            </w:tcBorders>
          </w:tcPr>
          <w:p>
            <w:pPr>
              <w:pStyle w:val="Normal"/>
              <w:widowControl w:val="false"/>
              <w:spacing w:before="0" w:after="160"/>
              <w:rPr>
                <w:sz w:val="22"/>
                <w:szCs w:val="20"/>
                <w:lang w:val="en-US"/>
              </w:rPr>
            </w:pPr>
            <w:r>
              <w:rPr>
                <w:sz w:val="22"/>
                <w:szCs w:val="20"/>
                <w:lang w:val="en-US"/>
              </w:rPr>
              <w:t xml:space="preserve">Random-effects Parameters                 Estimate       Robust Std. Err.           [95% Conf. Interval] ______________________________________________________________________________                                                                                                       </w:t>
            </w:r>
          </w:p>
        </w:tc>
      </w:tr>
      <w:tr>
        <w:trPr/>
        <w:tc>
          <w:tcPr>
            <w:tcW w:w="8858" w:type="dxa"/>
            <w:tcBorders/>
          </w:tcPr>
          <w:p>
            <w:pPr>
              <w:pStyle w:val="Normal"/>
              <w:widowControl w:val="false"/>
              <w:rPr>
                <w:sz w:val="22"/>
                <w:szCs w:val="20"/>
                <w:lang w:val="en-US"/>
              </w:rPr>
            </w:pPr>
            <w:r>
              <w:rPr>
                <w:sz w:val="22"/>
                <w:szCs w:val="20"/>
                <w:lang w:val="en-US"/>
              </w:rPr>
              <w:t xml:space="preserve">COUNTRY: Identity                                                              </w:t>
            </w:r>
          </w:p>
          <w:p>
            <w:pPr>
              <w:pStyle w:val="Normal"/>
              <w:widowControl w:val="false"/>
              <w:rPr>
                <w:lang w:val="en-US"/>
              </w:rPr>
            </w:pPr>
            <w:r>
              <w:rPr>
                <w:sz w:val="22"/>
                <w:szCs w:val="20"/>
                <w:lang w:val="en-US"/>
              </w:rPr>
              <w:t xml:space="preserve">                                </w:t>
            </w:r>
            <w:r>
              <w:rPr>
                <w:sz w:val="22"/>
                <w:szCs w:val="20"/>
                <w:lang w:val="en-US"/>
              </w:rPr>
              <w:t>var(_cons)            .</w:t>
            </w:r>
            <w:r>
              <w:rPr>
                <w:szCs w:val="20"/>
                <w:lang w:val="en-US"/>
              </w:rPr>
              <w:t>1483399</w:t>
            </w:r>
            <w:r>
              <w:rPr>
                <w:sz w:val="22"/>
                <w:szCs w:val="20"/>
                <w:lang w:val="en-US"/>
              </w:rPr>
              <w:t xml:space="preserve">        .</w:t>
            </w:r>
            <w:r>
              <w:rPr>
                <w:lang w:val="en-US"/>
              </w:rPr>
              <w:t>0408775</w:t>
            </w:r>
            <w:r>
              <w:rPr>
                <w:sz w:val="22"/>
                <w:szCs w:val="20"/>
                <w:lang w:val="en-US"/>
              </w:rPr>
              <w:t xml:space="preserve">                 .</w:t>
            </w:r>
            <w:r>
              <w:rPr>
                <w:lang w:val="en-US"/>
              </w:rPr>
              <w:t>0864362</w:t>
            </w:r>
            <w:r>
              <w:rPr>
                <w:sz w:val="22"/>
                <w:szCs w:val="20"/>
                <w:lang w:val="en-US"/>
              </w:rPr>
              <w:t xml:space="preserve">   .</w:t>
            </w:r>
            <w:r>
              <w:rPr>
                <w:szCs w:val="20"/>
                <w:lang w:val="en-US"/>
              </w:rPr>
              <w:t>2545778</w:t>
            </w:r>
            <w:r>
              <w:rPr>
                <w:sz w:val="22"/>
                <w:szCs w:val="20"/>
                <w:lang w:val="en-US"/>
              </w:rPr>
              <w:t xml:space="preserve"> ______________________________________________________________________________</w:t>
            </w:r>
          </w:p>
          <w:p>
            <w:pPr>
              <w:pStyle w:val="Normal"/>
              <w:widowControl w:val="false"/>
              <w:rPr>
                <w:lang w:val="en-US"/>
              </w:rPr>
            </w:pPr>
            <w:r>
              <w:rPr>
                <w:sz w:val="22"/>
                <w:szCs w:val="20"/>
                <w:lang w:val="en-US"/>
              </w:rPr>
              <w:t xml:space="preserve">                                </w:t>
            </w:r>
            <w:r>
              <w:rPr>
                <w:sz w:val="22"/>
                <w:szCs w:val="20"/>
                <w:lang w:val="en-US"/>
              </w:rPr>
              <w:t>var(Residual)       .</w:t>
            </w:r>
            <w:r>
              <w:rPr>
                <w:lang w:val="en-US"/>
              </w:rPr>
              <w:t xml:space="preserve">9023312 </w:t>
            </w:r>
            <w:r>
              <w:rPr>
                <w:sz w:val="22"/>
                <w:szCs w:val="20"/>
                <w:lang w:val="en-US"/>
              </w:rPr>
              <w:t xml:space="preserve">       .</w:t>
            </w:r>
            <w:r>
              <w:rPr>
                <w:lang w:val="en-US"/>
              </w:rPr>
              <w:t>0579324</w:t>
            </w:r>
            <w:r>
              <w:rPr>
                <w:sz w:val="22"/>
                <w:szCs w:val="20"/>
                <w:lang w:val="en-US"/>
              </w:rPr>
              <w:t xml:space="preserve">                 .</w:t>
            </w:r>
            <w:r>
              <w:rPr>
                <w:lang w:val="en-US"/>
              </w:rPr>
              <w:t>7956393</w:t>
            </w:r>
            <w:r>
              <w:rPr>
                <w:sz w:val="22"/>
                <w:szCs w:val="20"/>
                <w:lang w:val="en-US"/>
              </w:rPr>
              <w:t xml:space="preserve">   1 .</w:t>
            </w:r>
            <w:r>
              <w:rPr>
                <w:lang w:val="en-US"/>
              </w:rPr>
              <w:t>02333</w:t>
            </w:r>
            <w:r>
              <w:rPr>
                <w:sz w:val="22"/>
                <w:szCs w:val="20"/>
                <w:lang w:val="en-US"/>
              </w:rPr>
              <w:t xml:space="preserve"> ______________________________________________________________________________                                                                                                                           </w:t>
            </w:r>
          </w:p>
          <w:p>
            <w:pPr>
              <w:pStyle w:val="Normal"/>
              <w:widowControl w:val="false"/>
              <w:spacing w:before="0" w:after="160"/>
              <w:rPr>
                <w:sz w:val="22"/>
                <w:szCs w:val="20"/>
                <w:lang w:val="en-US"/>
              </w:rPr>
            </w:pPr>
            <w:r>
              <w:rPr>
                <w:sz w:val="22"/>
                <w:szCs w:val="20"/>
                <w:lang w:val="en-US"/>
              </w:rPr>
              <w:t xml:space="preserve">               </w:t>
            </w:r>
          </w:p>
        </w:tc>
      </w:tr>
    </w:tbl>
    <w:p>
      <w:pPr>
        <w:pStyle w:val="Normal"/>
        <w:spacing w:lineRule="auto" w:line="360"/>
        <w:rPr>
          <w:lang w:val="en-US"/>
        </w:rPr>
      </w:pPr>
      <w:r>
        <w:rPr>
          <w:lang w:val="en-US"/>
        </w:rPr>
      </w:r>
    </w:p>
    <w:p>
      <w:pPr>
        <w:pStyle w:val="Normal"/>
        <w:spacing w:lineRule="auto" w:line="360"/>
        <w:rPr/>
      </w:pPr>
      <w:r>
        <w:rPr>
          <w:lang w:val="en-US"/>
        </w:rPr>
        <w:t xml:space="preserve">Tabell 22 vil ta for seg både politisk maktdeling og land med closed-list PR som institusjonsform. For at sistnevnte skal kunne måles, må variabelen for undertrykte grupper ekskluderes fra regresjonen. Tabellen viser fire ulike modeller. Modell 5 inkluderer politisk maktdeling som frittstående variabel, og vil måle hypotese 1: </w:t>
      </w:r>
      <w:r>
        <w:rPr>
          <w:i/>
          <w:iCs/>
          <w:lang w:val="en-US"/>
        </w:rPr>
        <w:t xml:space="preserve">Den generelle politiske tilliten er høyere i pk-land med politisk maktdeling sammenlignet med pk-land uten politisk maktdeling. </w:t>
      </w:r>
      <w:r>
        <w:rPr>
          <w:color w:val="000000"/>
        </w:rPr>
        <w:t>Modell 6 inkluderer closed-list PR som frittstående variabel, og vil måle hypotese 3a:</w:t>
      </w:r>
      <w:r>
        <w:rPr>
          <w:i/>
          <w:iCs/>
        </w:rPr>
        <w:t xml:space="preserve"> Den generelle politiske tilliten er høyere i land med closed-list PR sammenlignet med land uten closed-list PR.</w:t>
      </w:r>
      <w:r>
        <w:rPr>
          <w:color w:val="000000"/>
        </w:rPr>
        <w:t xml:space="preserve"> Modell 7 inkluderer et samspillsledd mellom politisk maktdeling og kvinner, og vil måle hypotese 2b: </w:t>
      </w:r>
      <w:r>
        <w:rPr>
          <w:i/>
          <w:iCs/>
        </w:rPr>
        <w:t>Kvinner har høyere politisk tillit i maktdelingsland sammenlignet med kvinner i land uten maktdeling</w:t>
      </w:r>
      <w:r>
        <w:rPr>
          <w:color w:val="000000"/>
        </w:rPr>
        <w:t>.</w:t>
      </w:r>
      <w:r>
        <w:rPr>
          <w:color w:val="FF0000"/>
        </w:rPr>
        <w:t xml:space="preserve"> </w:t>
      </w:r>
      <w:r>
        <w:rPr>
          <w:color w:val="000000"/>
        </w:rPr>
        <w:t>Modell 8 inkluderer et samspillsledd mellom closed-list PR, og vil måle hypotese 3b:</w:t>
      </w:r>
      <w:r>
        <w:rPr>
          <w:i/>
          <w:iCs/>
        </w:rPr>
        <w:t xml:space="preserve"> Kvinner har høyere politisk tillit i land med closed-list PR sammenlignet med kvinner i land uten closed-list PR</w:t>
      </w:r>
      <w:r>
        <w:rPr>
          <w:color w:val="000000"/>
        </w:rPr>
        <w:t>.</w:t>
      </w:r>
    </w:p>
    <w:p>
      <w:pPr>
        <w:pStyle w:val="Normal"/>
        <w:spacing w:lineRule="auto" w:line="360"/>
        <w:rPr>
          <w:i/>
          <w:i/>
          <w:iCs/>
        </w:rPr>
      </w:pPr>
      <w:r>
        <w:rPr>
          <w:i/>
          <w:iCs/>
        </w:rPr>
        <w:t>Tabell 22: Flernivåregresjon uten undertrykte grupper (vektet)</w:t>
      </w:r>
    </w:p>
    <w:tbl>
      <w:tblPr>
        <w:tblW w:w="9291" w:type="dxa"/>
        <w:jc w:val="center"/>
        <w:tblInd w:w="0" w:type="dxa"/>
        <w:tblLayout w:type="fixed"/>
        <w:tblCellMar>
          <w:top w:w="0" w:type="dxa"/>
          <w:left w:w="75" w:type="dxa"/>
          <w:bottom w:w="0" w:type="dxa"/>
          <w:right w:w="75" w:type="dxa"/>
        </w:tblCellMar>
      </w:tblPr>
      <w:tblGrid>
        <w:gridCol w:w="2523"/>
        <w:gridCol w:w="2159"/>
        <w:gridCol w:w="1440"/>
        <w:gridCol w:w="1584"/>
        <w:gridCol w:w="1585"/>
      </w:tblGrid>
      <w:tr>
        <w:trPr/>
        <w:tc>
          <w:tcPr>
            <w:tcW w:w="2523" w:type="dxa"/>
            <w:tcBorders>
              <w:top w:val="single" w:sz="6" w:space="0" w:color="000000"/>
            </w:tcBorders>
          </w:tcPr>
          <w:p>
            <w:pPr>
              <w:pStyle w:val="Normal"/>
              <w:widowControl w:val="false"/>
              <w:spacing w:lineRule="auto" w:line="240" w:before="0" w:after="0"/>
              <w:rPr>
                <w:rFonts w:cs="Times New Roman"/>
                <w:sz w:val="22"/>
              </w:rPr>
            </w:pPr>
            <w:r>
              <w:rPr>
                <w:rFonts w:cs="Times New Roman"/>
                <w:sz w:val="22"/>
              </w:rPr>
            </w:r>
          </w:p>
        </w:tc>
        <w:tc>
          <w:tcPr>
            <w:tcW w:w="2159" w:type="dxa"/>
            <w:tcBorders>
              <w:top w:val="single" w:sz="6" w:space="0" w:color="000000"/>
            </w:tcBorders>
          </w:tcPr>
          <w:p>
            <w:pPr>
              <w:pStyle w:val="Normal"/>
              <w:widowControl w:val="false"/>
              <w:spacing w:lineRule="auto" w:line="240" w:before="0" w:after="0"/>
              <w:jc w:val="center"/>
              <w:rPr>
                <w:rFonts w:cs="Times New Roman"/>
                <w:sz w:val="22"/>
              </w:rPr>
            </w:pPr>
            <w:r>
              <w:rPr>
                <w:rFonts w:cs="Times New Roman"/>
                <w:sz w:val="22"/>
              </w:rPr>
              <w:t>(5)</w:t>
            </w:r>
          </w:p>
        </w:tc>
        <w:tc>
          <w:tcPr>
            <w:tcW w:w="1440" w:type="dxa"/>
            <w:tcBorders>
              <w:top w:val="single" w:sz="6" w:space="0" w:color="000000"/>
            </w:tcBorders>
          </w:tcPr>
          <w:p>
            <w:pPr>
              <w:pStyle w:val="Normal"/>
              <w:widowControl w:val="false"/>
              <w:spacing w:lineRule="auto" w:line="240" w:before="0" w:after="0"/>
              <w:jc w:val="center"/>
              <w:rPr>
                <w:rFonts w:cs="Times New Roman"/>
                <w:sz w:val="22"/>
              </w:rPr>
            </w:pPr>
            <w:r>
              <w:rPr>
                <w:rFonts w:cs="Times New Roman"/>
                <w:sz w:val="22"/>
              </w:rPr>
              <w:t>(6)</w:t>
            </w:r>
          </w:p>
        </w:tc>
        <w:tc>
          <w:tcPr>
            <w:tcW w:w="1584" w:type="dxa"/>
            <w:tcBorders>
              <w:top w:val="single" w:sz="6" w:space="0" w:color="000000"/>
            </w:tcBorders>
          </w:tcPr>
          <w:p>
            <w:pPr>
              <w:pStyle w:val="Normal"/>
              <w:widowControl w:val="false"/>
              <w:spacing w:lineRule="auto" w:line="240" w:before="0" w:after="0"/>
              <w:jc w:val="center"/>
              <w:rPr>
                <w:rFonts w:cs="Times New Roman"/>
                <w:sz w:val="22"/>
              </w:rPr>
            </w:pPr>
            <w:r>
              <w:rPr>
                <w:rFonts w:cs="Times New Roman"/>
                <w:sz w:val="22"/>
              </w:rPr>
              <w:t>(7)</w:t>
            </w:r>
          </w:p>
        </w:tc>
        <w:tc>
          <w:tcPr>
            <w:tcW w:w="1585" w:type="dxa"/>
            <w:tcBorders>
              <w:top w:val="single" w:sz="6" w:space="0" w:color="000000"/>
            </w:tcBorders>
          </w:tcPr>
          <w:p>
            <w:pPr>
              <w:pStyle w:val="Normal"/>
              <w:widowControl w:val="false"/>
              <w:spacing w:lineRule="auto" w:line="240" w:before="0" w:after="0"/>
              <w:jc w:val="center"/>
              <w:rPr>
                <w:rFonts w:cs="Times New Roman"/>
                <w:sz w:val="22"/>
              </w:rPr>
            </w:pPr>
            <w:r>
              <w:rPr>
                <w:rFonts w:cs="Times New Roman"/>
                <w:sz w:val="22"/>
              </w:rPr>
              <w:t>(8)</w:t>
            </w:r>
          </w:p>
        </w:tc>
      </w:tr>
      <w:tr>
        <w:trPr/>
        <w:tc>
          <w:tcPr>
            <w:tcW w:w="2523" w:type="dxa"/>
            <w:tcBorders>
              <w:bottom w:val="single" w:sz="6" w:space="0" w:color="000000"/>
            </w:tcBorders>
          </w:tcPr>
          <w:p>
            <w:pPr>
              <w:pStyle w:val="Normal"/>
              <w:widowControl w:val="false"/>
              <w:spacing w:lineRule="auto" w:line="240" w:before="0" w:after="0"/>
              <w:rPr>
                <w:rFonts w:cs="Times New Roman"/>
                <w:sz w:val="22"/>
              </w:rPr>
            </w:pPr>
            <w:r>
              <w:rPr>
                <w:rFonts w:cs="Times New Roman"/>
                <w:sz w:val="22"/>
              </w:rPr>
              <w:t>VARIABLER</w:t>
            </w:r>
          </w:p>
        </w:tc>
        <w:tc>
          <w:tcPr>
            <w:tcW w:w="2159" w:type="dxa"/>
            <w:tcBorders>
              <w:bottom w:val="single" w:sz="6" w:space="0" w:color="000000"/>
            </w:tcBorders>
          </w:tcPr>
          <w:p>
            <w:pPr>
              <w:pStyle w:val="Normal"/>
              <w:widowControl w:val="false"/>
              <w:spacing w:lineRule="auto" w:line="240" w:before="0" w:after="0"/>
              <w:jc w:val="center"/>
              <w:rPr>
                <w:rFonts w:cs="Times New Roman"/>
                <w:sz w:val="22"/>
              </w:rPr>
            </w:pPr>
            <w:r>
              <w:rPr>
                <w:rFonts w:cs="Times New Roman"/>
                <w:sz w:val="22"/>
              </w:rPr>
              <w:t>politisktillit</w:t>
            </w:r>
          </w:p>
        </w:tc>
        <w:tc>
          <w:tcPr>
            <w:tcW w:w="1440" w:type="dxa"/>
            <w:tcBorders>
              <w:bottom w:val="single" w:sz="6" w:space="0" w:color="000000"/>
            </w:tcBorders>
          </w:tcPr>
          <w:p>
            <w:pPr>
              <w:pStyle w:val="Normal"/>
              <w:widowControl w:val="false"/>
              <w:spacing w:lineRule="auto" w:line="240" w:before="0" w:after="0"/>
              <w:jc w:val="center"/>
              <w:rPr>
                <w:rFonts w:cs="Times New Roman"/>
                <w:sz w:val="22"/>
              </w:rPr>
            </w:pPr>
            <w:r>
              <w:rPr>
                <w:rFonts w:cs="Times New Roman"/>
                <w:sz w:val="22"/>
              </w:rPr>
              <w:t>politisktillit</w:t>
            </w:r>
          </w:p>
        </w:tc>
        <w:tc>
          <w:tcPr>
            <w:tcW w:w="1584" w:type="dxa"/>
            <w:tcBorders>
              <w:bottom w:val="single" w:sz="6" w:space="0" w:color="000000"/>
            </w:tcBorders>
          </w:tcPr>
          <w:p>
            <w:pPr>
              <w:pStyle w:val="Normal"/>
              <w:widowControl w:val="false"/>
              <w:spacing w:lineRule="auto" w:line="240" w:before="0" w:after="0"/>
              <w:jc w:val="center"/>
              <w:rPr>
                <w:rFonts w:cs="Times New Roman"/>
                <w:sz w:val="22"/>
              </w:rPr>
            </w:pPr>
            <w:r>
              <w:rPr>
                <w:rFonts w:cs="Times New Roman"/>
                <w:sz w:val="22"/>
              </w:rPr>
              <w:t>politisktillit</w:t>
            </w:r>
          </w:p>
        </w:tc>
        <w:tc>
          <w:tcPr>
            <w:tcW w:w="1585" w:type="dxa"/>
            <w:tcBorders>
              <w:bottom w:val="single" w:sz="6" w:space="0" w:color="000000"/>
            </w:tcBorders>
          </w:tcPr>
          <w:p>
            <w:pPr>
              <w:pStyle w:val="Normal"/>
              <w:widowControl w:val="false"/>
              <w:spacing w:lineRule="auto" w:line="240" w:before="0" w:after="0"/>
              <w:jc w:val="center"/>
              <w:rPr>
                <w:rFonts w:cs="Times New Roman"/>
                <w:sz w:val="22"/>
              </w:rPr>
            </w:pPr>
            <w:r>
              <w:rPr>
                <w:rFonts w:cs="Times New Roman"/>
                <w:sz w:val="22"/>
              </w:rPr>
              <w:t>politisktillit</w:t>
            </w:r>
          </w:p>
        </w:tc>
      </w:tr>
      <w:tr>
        <w:trPr/>
        <w:tc>
          <w:tcPr>
            <w:tcW w:w="2523" w:type="dxa"/>
            <w:tcBorders/>
          </w:tcPr>
          <w:p>
            <w:pPr>
              <w:pStyle w:val="Normal"/>
              <w:widowControl w:val="false"/>
              <w:spacing w:lineRule="auto" w:line="240" w:before="0" w:after="0"/>
              <w:rPr>
                <w:rFonts w:cs="Times New Roman"/>
                <w:sz w:val="22"/>
              </w:rPr>
            </w:pPr>
            <w:r>
              <w:rPr>
                <w:rFonts w:cs="Times New Roman"/>
                <w:sz w:val="22"/>
              </w:rPr>
            </w:r>
          </w:p>
        </w:tc>
        <w:tc>
          <w:tcPr>
            <w:tcW w:w="2159" w:type="dxa"/>
            <w:tcBorders/>
          </w:tcPr>
          <w:p>
            <w:pPr>
              <w:pStyle w:val="Normal"/>
              <w:widowControl w:val="false"/>
              <w:spacing w:lineRule="auto" w:line="240" w:before="0" w:after="0"/>
              <w:jc w:val="center"/>
              <w:rPr>
                <w:rFonts w:cs="Times New Roman"/>
                <w:sz w:val="22"/>
              </w:rPr>
            </w:pPr>
            <w:r>
              <w:rPr>
                <w:rFonts w:cs="Times New Roman"/>
                <w:sz w:val="22"/>
              </w:rPr>
            </w:r>
          </w:p>
        </w:tc>
        <w:tc>
          <w:tcPr>
            <w:tcW w:w="1440" w:type="dxa"/>
            <w:tcBorders/>
          </w:tcPr>
          <w:p>
            <w:pPr>
              <w:pStyle w:val="Normal"/>
              <w:widowControl w:val="false"/>
              <w:spacing w:lineRule="auto" w:line="240" w:before="0" w:after="0"/>
              <w:jc w:val="center"/>
              <w:rPr>
                <w:rFonts w:cs="Times New Roman"/>
                <w:sz w:val="22"/>
              </w:rPr>
            </w:pPr>
            <w:r>
              <w:rPr>
                <w:rFonts w:cs="Times New Roman"/>
                <w:sz w:val="22"/>
              </w:rPr>
            </w:r>
          </w:p>
        </w:tc>
        <w:tc>
          <w:tcPr>
            <w:tcW w:w="1584" w:type="dxa"/>
            <w:tcBorders/>
          </w:tcPr>
          <w:p>
            <w:pPr>
              <w:pStyle w:val="Normal"/>
              <w:widowControl w:val="false"/>
              <w:spacing w:lineRule="auto" w:line="240" w:before="0" w:after="0"/>
              <w:jc w:val="center"/>
              <w:rPr>
                <w:rFonts w:cs="Times New Roman"/>
                <w:sz w:val="22"/>
              </w:rPr>
            </w:pPr>
            <w:r>
              <w:rPr>
                <w:rFonts w:cs="Times New Roman"/>
                <w:sz w:val="22"/>
              </w:rPr>
            </w:r>
          </w:p>
        </w:tc>
        <w:tc>
          <w:tcPr>
            <w:tcW w:w="1585" w:type="dxa"/>
            <w:tcBorders/>
          </w:tcPr>
          <w:p>
            <w:pPr>
              <w:pStyle w:val="Normal"/>
              <w:widowControl w:val="false"/>
              <w:spacing w:lineRule="auto" w:line="240" w:before="0" w:after="0"/>
              <w:jc w:val="center"/>
              <w:rPr>
                <w:rFonts w:cs="Times New Roman"/>
                <w:sz w:val="22"/>
              </w:rPr>
            </w:pPr>
            <w:r>
              <w:rPr>
                <w:rFonts w:cs="Times New Roman"/>
                <w:sz w:val="22"/>
              </w:rPr>
            </w:r>
          </w:p>
        </w:tc>
      </w:tr>
      <w:tr>
        <w:trPr/>
        <w:tc>
          <w:tcPr>
            <w:tcW w:w="2523" w:type="dxa"/>
            <w:tcBorders/>
          </w:tcPr>
          <w:p>
            <w:pPr>
              <w:pStyle w:val="Normal"/>
              <w:widowControl w:val="false"/>
              <w:spacing w:lineRule="auto" w:line="240" w:before="0" w:after="0"/>
              <w:rPr>
                <w:rFonts w:cs="Times New Roman"/>
              </w:rPr>
            </w:pPr>
            <w:r>
              <w:rPr>
                <w:rFonts w:cs="Times New Roman"/>
                <w:sz w:val="22"/>
              </w:rPr>
              <w:t>polps</w:t>
            </w:r>
            <w:r>
              <w:rPr>
                <w:rFonts w:cs="Times New Roman"/>
                <w:sz w:val="22"/>
                <w:vertAlign w:val="superscript"/>
              </w:rPr>
              <w:t>a</w:t>
            </w:r>
          </w:p>
          <w:p>
            <w:pPr>
              <w:pStyle w:val="Normal"/>
              <w:widowControl w:val="false"/>
              <w:spacing w:lineRule="auto" w:line="240" w:before="0" w:after="0"/>
              <w:rPr>
                <w:rFonts w:cs="Times New Roman"/>
                <w:sz w:val="22"/>
              </w:rPr>
            </w:pPr>
            <w:r>
              <w:rPr>
                <w:rFonts w:cs="Times New Roman"/>
                <w:sz w:val="22"/>
              </w:rPr>
            </w:r>
          </w:p>
          <w:p>
            <w:pPr>
              <w:pStyle w:val="Normal"/>
              <w:widowControl w:val="false"/>
              <w:spacing w:lineRule="auto" w:line="240" w:before="0" w:after="0"/>
              <w:rPr>
                <w:rFonts w:cs="Times New Roman"/>
                <w:sz w:val="22"/>
              </w:rPr>
            </w:pPr>
            <w:r>
              <w:rPr>
                <w:rFonts w:cs="Times New Roman"/>
                <w:sz w:val="22"/>
              </w:rPr>
            </w:r>
          </w:p>
          <w:p>
            <w:pPr>
              <w:pStyle w:val="Normal"/>
              <w:widowControl w:val="false"/>
              <w:spacing w:lineRule="auto" w:line="240" w:before="0" w:after="0"/>
              <w:rPr>
                <w:rFonts w:cs="Times New Roman"/>
              </w:rPr>
            </w:pPr>
            <w:r>
              <w:rPr>
                <w:rFonts w:cs="Times New Roman"/>
                <w:sz w:val="22"/>
              </w:rPr>
              <w:t>closedpr</w:t>
            </w:r>
            <w:r>
              <w:rPr>
                <w:rFonts w:cs="Times New Roman"/>
                <w:sz w:val="22"/>
                <w:vertAlign w:val="superscript"/>
              </w:rPr>
              <w:t>a</w:t>
            </w:r>
          </w:p>
          <w:p>
            <w:pPr>
              <w:pStyle w:val="Normal"/>
              <w:widowControl w:val="false"/>
              <w:spacing w:lineRule="auto" w:line="240" w:before="0" w:after="0"/>
              <w:rPr>
                <w:rFonts w:cs="Times New Roman"/>
                <w:sz w:val="22"/>
              </w:rPr>
            </w:pPr>
            <w:r>
              <w:rPr>
                <w:rFonts w:cs="Times New Roman"/>
                <w:sz w:val="22"/>
              </w:rPr>
            </w:r>
          </w:p>
        </w:tc>
        <w:tc>
          <w:tcPr>
            <w:tcW w:w="2159" w:type="dxa"/>
            <w:tcBorders/>
          </w:tcPr>
          <w:p>
            <w:pPr>
              <w:pStyle w:val="Normal"/>
              <w:widowControl w:val="false"/>
              <w:spacing w:lineRule="auto" w:line="240" w:before="0" w:after="0"/>
              <w:jc w:val="center"/>
              <w:rPr>
                <w:rFonts w:cs="Times New Roman"/>
                <w:sz w:val="22"/>
              </w:rPr>
            </w:pPr>
            <w:r>
              <w:rPr>
                <w:rFonts w:cs="Times New Roman"/>
                <w:sz w:val="22"/>
              </w:rPr>
              <w:t>-0.0286</w:t>
            </w:r>
          </w:p>
          <w:p>
            <w:pPr>
              <w:pStyle w:val="Normal"/>
              <w:widowControl w:val="false"/>
              <w:spacing w:lineRule="auto" w:line="240" w:before="0" w:after="0"/>
              <w:jc w:val="center"/>
              <w:rPr>
                <w:rFonts w:cs="Times New Roman"/>
                <w:sz w:val="22"/>
              </w:rPr>
            </w:pPr>
            <w:r>
              <w:rPr>
                <w:rFonts w:cs="Times New Roman"/>
                <w:sz w:val="22"/>
              </w:rPr>
              <w:t>(0.152)</w:t>
            </w:r>
          </w:p>
        </w:tc>
        <w:tc>
          <w:tcPr>
            <w:tcW w:w="1440" w:type="dxa"/>
            <w:tcBorders/>
          </w:tcPr>
          <w:p>
            <w:pPr>
              <w:pStyle w:val="Normal"/>
              <w:widowControl w:val="false"/>
              <w:spacing w:lineRule="auto" w:line="240" w:before="0" w:after="0"/>
              <w:jc w:val="center"/>
              <w:rPr>
                <w:rFonts w:cs="Times New Roman"/>
                <w:sz w:val="22"/>
              </w:rPr>
            </w:pPr>
            <w:r>
              <w:rPr>
                <w:rFonts w:cs="Times New Roman"/>
                <w:sz w:val="22"/>
              </w:rPr>
            </w:r>
          </w:p>
          <w:p>
            <w:pPr>
              <w:pStyle w:val="Normal"/>
              <w:widowControl w:val="false"/>
              <w:spacing w:lineRule="auto" w:line="240" w:before="0" w:after="0"/>
              <w:jc w:val="center"/>
              <w:rPr>
                <w:rFonts w:cs="Times New Roman"/>
                <w:sz w:val="22"/>
              </w:rPr>
            </w:pPr>
            <w:r>
              <w:rPr>
                <w:rFonts w:cs="Times New Roman"/>
                <w:sz w:val="22"/>
              </w:rPr>
            </w:r>
          </w:p>
          <w:p>
            <w:pPr>
              <w:pStyle w:val="Normal"/>
              <w:widowControl w:val="false"/>
              <w:spacing w:lineRule="auto" w:line="240" w:before="0" w:after="0"/>
              <w:jc w:val="center"/>
              <w:rPr>
                <w:rFonts w:cs="Times New Roman"/>
                <w:sz w:val="22"/>
              </w:rPr>
            </w:pPr>
            <w:r>
              <w:rPr>
                <w:rFonts w:cs="Times New Roman"/>
                <w:sz w:val="22"/>
              </w:rPr>
            </w:r>
          </w:p>
          <w:p>
            <w:pPr>
              <w:pStyle w:val="Normal"/>
              <w:widowControl w:val="false"/>
              <w:spacing w:lineRule="auto" w:line="240" w:before="0" w:after="0"/>
              <w:jc w:val="center"/>
              <w:rPr>
                <w:rFonts w:cs="Times New Roman"/>
                <w:sz w:val="22"/>
              </w:rPr>
            </w:pPr>
            <w:r>
              <w:rPr>
                <w:rFonts w:cs="Times New Roman"/>
                <w:sz w:val="22"/>
              </w:rPr>
              <w:t>-0.00668</w:t>
            </w:r>
          </w:p>
          <w:p>
            <w:pPr>
              <w:pStyle w:val="Normal"/>
              <w:widowControl w:val="false"/>
              <w:spacing w:lineRule="auto" w:line="240" w:before="0" w:after="0"/>
              <w:jc w:val="center"/>
              <w:rPr>
                <w:rFonts w:cs="Times New Roman"/>
                <w:sz w:val="22"/>
              </w:rPr>
            </w:pPr>
            <w:r>
              <w:rPr>
                <w:rFonts w:cs="Times New Roman"/>
                <w:sz w:val="22"/>
              </w:rPr>
              <w:t>(0.178)</w:t>
            </w:r>
          </w:p>
        </w:tc>
        <w:tc>
          <w:tcPr>
            <w:tcW w:w="1584" w:type="dxa"/>
            <w:tcBorders/>
          </w:tcPr>
          <w:p>
            <w:pPr>
              <w:pStyle w:val="Normal"/>
              <w:widowControl w:val="false"/>
              <w:spacing w:lineRule="auto" w:line="240" w:before="0" w:after="0"/>
              <w:jc w:val="center"/>
              <w:rPr>
                <w:rFonts w:cs="Times New Roman"/>
                <w:sz w:val="22"/>
              </w:rPr>
            </w:pPr>
            <w:r>
              <w:rPr>
                <w:rFonts w:cs="Times New Roman"/>
                <w:sz w:val="22"/>
              </w:rPr>
              <w:t>-0.0405</w:t>
            </w:r>
          </w:p>
          <w:p>
            <w:pPr>
              <w:pStyle w:val="Normal"/>
              <w:widowControl w:val="false"/>
              <w:spacing w:lineRule="auto" w:line="240" w:before="0" w:after="0"/>
              <w:jc w:val="center"/>
              <w:rPr>
                <w:rFonts w:cs="Times New Roman"/>
                <w:sz w:val="22"/>
              </w:rPr>
            </w:pPr>
            <w:r>
              <w:rPr>
                <w:rFonts w:cs="Times New Roman"/>
                <w:sz w:val="22"/>
              </w:rPr>
              <w:t>(0.149)</w:t>
            </w:r>
          </w:p>
          <w:p>
            <w:pPr>
              <w:pStyle w:val="Normal"/>
              <w:widowControl w:val="false"/>
              <w:spacing w:lineRule="auto" w:line="240" w:before="0" w:after="0"/>
              <w:jc w:val="center"/>
              <w:rPr>
                <w:rFonts w:cs="Times New Roman"/>
                <w:sz w:val="22"/>
              </w:rPr>
            </w:pPr>
            <w:r>
              <w:rPr>
                <w:rFonts w:cs="Times New Roman"/>
                <w:sz w:val="22"/>
              </w:rPr>
            </w:r>
          </w:p>
          <w:p>
            <w:pPr>
              <w:pStyle w:val="Normal"/>
              <w:widowControl w:val="false"/>
              <w:spacing w:lineRule="auto" w:line="240" w:before="0" w:after="0"/>
              <w:jc w:val="center"/>
              <w:rPr>
                <w:rFonts w:cs="Times New Roman"/>
                <w:sz w:val="22"/>
              </w:rPr>
            </w:pPr>
            <w:r>
              <w:rPr>
                <w:rFonts w:cs="Times New Roman"/>
                <w:sz w:val="22"/>
              </w:rPr>
            </w:r>
          </w:p>
        </w:tc>
        <w:tc>
          <w:tcPr>
            <w:tcW w:w="1585" w:type="dxa"/>
            <w:tcBorders/>
          </w:tcPr>
          <w:p>
            <w:pPr>
              <w:pStyle w:val="Normal"/>
              <w:widowControl w:val="false"/>
              <w:spacing w:lineRule="auto" w:line="240" w:before="0" w:after="0"/>
              <w:jc w:val="center"/>
              <w:rPr>
                <w:rFonts w:cs="Times New Roman"/>
                <w:sz w:val="22"/>
              </w:rPr>
            </w:pPr>
            <w:r>
              <w:rPr>
                <w:rFonts w:cs="Times New Roman"/>
                <w:sz w:val="22"/>
              </w:rPr>
            </w:r>
          </w:p>
          <w:p>
            <w:pPr>
              <w:pStyle w:val="Normal"/>
              <w:widowControl w:val="false"/>
              <w:spacing w:lineRule="auto" w:line="240" w:before="0" w:after="0"/>
              <w:jc w:val="center"/>
              <w:rPr>
                <w:rFonts w:cs="Times New Roman"/>
                <w:sz w:val="22"/>
              </w:rPr>
            </w:pPr>
            <w:r>
              <w:rPr>
                <w:rFonts w:cs="Times New Roman"/>
                <w:sz w:val="22"/>
              </w:rPr>
            </w:r>
          </w:p>
          <w:p>
            <w:pPr>
              <w:pStyle w:val="Normal"/>
              <w:widowControl w:val="false"/>
              <w:spacing w:lineRule="auto" w:line="240" w:before="0" w:after="0"/>
              <w:jc w:val="center"/>
              <w:rPr>
                <w:rFonts w:cs="Times New Roman"/>
                <w:sz w:val="22"/>
              </w:rPr>
            </w:pPr>
            <w:r>
              <w:rPr>
                <w:rFonts w:cs="Times New Roman"/>
                <w:sz w:val="22"/>
              </w:rPr>
            </w:r>
          </w:p>
          <w:p>
            <w:pPr>
              <w:pStyle w:val="Normal"/>
              <w:widowControl w:val="false"/>
              <w:spacing w:lineRule="auto" w:line="240" w:before="0" w:after="0"/>
              <w:jc w:val="center"/>
              <w:rPr>
                <w:rFonts w:cs="Times New Roman"/>
                <w:sz w:val="22"/>
              </w:rPr>
            </w:pPr>
            <w:r>
              <w:rPr>
                <w:rFonts w:cs="Times New Roman"/>
                <w:sz w:val="22"/>
              </w:rPr>
              <w:t>-0.0584</w:t>
            </w:r>
          </w:p>
          <w:p>
            <w:pPr>
              <w:pStyle w:val="Normal"/>
              <w:widowControl w:val="false"/>
              <w:spacing w:lineRule="auto" w:line="240" w:before="0" w:after="0"/>
              <w:jc w:val="center"/>
              <w:rPr>
                <w:rFonts w:cs="Times New Roman"/>
                <w:sz w:val="22"/>
              </w:rPr>
            </w:pPr>
            <w:r>
              <w:rPr>
                <w:rFonts w:cs="Times New Roman"/>
                <w:sz w:val="22"/>
              </w:rPr>
              <w:t>(0.170)</w:t>
            </w:r>
          </w:p>
        </w:tc>
      </w:tr>
      <w:tr>
        <w:trPr/>
        <w:tc>
          <w:tcPr>
            <w:tcW w:w="2523" w:type="dxa"/>
            <w:tcBorders/>
          </w:tcPr>
          <w:p>
            <w:pPr>
              <w:pStyle w:val="Normal"/>
              <w:widowControl w:val="false"/>
              <w:spacing w:lineRule="auto" w:line="240" w:before="0" w:after="0"/>
              <w:rPr>
                <w:rFonts w:cs="Times New Roman"/>
                <w:sz w:val="22"/>
              </w:rPr>
            </w:pPr>
            <w:r>
              <w:rPr>
                <w:rFonts w:cs="Times New Roman"/>
                <w:sz w:val="22"/>
              </w:rPr>
            </w:r>
          </w:p>
        </w:tc>
        <w:tc>
          <w:tcPr>
            <w:tcW w:w="2159" w:type="dxa"/>
            <w:tcBorders/>
          </w:tcPr>
          <w:p>
            <w:pPr>
              <w:pStyle w:val="Normal"/>
              <w:widowControl w:val="false"/>
              <w:spacing w:lineRule="auto" w:line="240" w:before="0" w:after="0"/>
              <w:jc w:val="center"/>
              <w:rPr>
                <w:rFonts w:cs="Times New Roman"/>
                <w:sz w:val="22"/>
              </w:rPr>
            </w:pPr>
            <w:r>
              <w:rPr>
                <w:rFonts w:cs="Times New Roman"/>
                <w:sz w:val="22"/>
              </w:rPr>
            </w:r>
          </w:p>
        </w:tc>
        <w:tc>
          <w:tcPr>
            <w:tcW w:w="1440" w:type="dxa"/>
            <w:tcBorders/>
          </w:tcPr>
          <w:p>
            <w:pPr>
              <w:pStyle w:val="Normal"/>
              <w:widowControl w:val="false"/>
              <w:spacing w:lineRule="auto" w:line="240" w:before="0" w:after="0"/>
              <w:jc w:val="center"/>
              <w:rPr>
                <w:rFonts w:cs="Times New Roman"/>
                <w:sz w:val="22"/>
              </w:rPr>
            </w:pPr>
            <w:r>
              <w:rPr>
                <w:rFonts w:cs="Times New Roman"/>
                <w:sz w:val="22"/>
              </w:rPr>
            </w:r>
          </w:p>
        </w:tc>
        <w:tc>
          <w:tcPr>
            <w:tcW w:w="1584" w:type="dxa"/>
            <w:tcBorders/>
          </w:tcPr>
          <w:p>
            <w:pPr>
              <w:pStyle w:val="Normal"/>
              <w:widowControl w:val="false"/>
              <w:spacing w:lineRule="auto" w:line="240" w:before="0" w:after="0"/>
              <w:jc w:val="center"/>
              <w:rPr>
                <w:rFonts w:cs="Times New Roman"/>
                <w:sz w:val="22"/>
              </w:rPr>
            </w:pPr>
            <w:r>
              <w:rPr>
                <w:rFonts w:cs="Times New Roman"/>
                <w:sz w:val="22"/>
              </w:rPr>
            </w:r>
          </w:p>
        </w:tc>
        <w:tc>
          <w:tcPr>
            <w:tcW w:w="1585" w:type="dxa"/>
            <w:tcBorders/>
          </w:tcPr>
          <w:p>
            <w:pPr>
              <w:pStyle w:val="Normal"/>
              <w:widowControl w:val="false"/>
              <w:spacing w:lineRule="auto" w:line="240" w:before="0" w:after="0"/>
              <w:jc w:val="center"/>
              <w:rPr>
                <w:rFonts w:cs="Times New Roman"/>
                <w:sz w:val="22"/>
              </w:rPr>
            </w:pPr>
            <w:r>
              <w:rPr>
                <w:rFonts w:cs="Times New Roman"/>
                <w:sz w:val="22"/>
              </w:rPr>
            </w:r>
          </w:p>
        </w:tc>
      </w:tr>
      <w:tr>
        <w:trPr/>
        <w:tc>
          <w:tcPr>
            <w:tcW w:w="2523" w:type="dxa"/>
            <w:tcBorders/>
          </w:tcPr>
          <w:p>
            <w:pPr>
              <w:pStyle w:val="Normal"/>
              <w:widowControl w:val="false"/>
              <w:spacing w:lineRule="auto" w:line="240" w:before="0" w:after="0"/>
              <w:rPr>
                <w:rFonts w:cs="Times New Roman"/>
                <w:sz w:val="22"/>
              </w:rPr>
            </w:pPr>
            <w:r>
              <w:rPr>
                <w:rFonts w:cs="Times New Roman"/>
                <w:sz w:val="22"/>
              </w:rPr>
              <w:t>kvinne</w:t>
            </w:r>
          </w:p>
          <w:p>
            <w:pPr>
              <w:pStyle w:val="Normal"/>
              <w:widowControl w:val="false"/>
              <w:spacing w:lineRule="auto" w:line="240" w:before="0" w:after="0"/>
              <w:rPr>
                <w:rFonts w:cs="Times New Roman"/>
                <w:sz w:val="22"/>
              </w:rPr>
            </w:pPr>
            <w:r>
              <w:rPr>
                <w:rFonts w:cs="Times New Roman"/>
                <w:sz w:val="22"/>
              </w:rPr>
            </w:r>
          </w:p>
          <w:p>
            <w:pPr>
              <w:pStyle w:val="Normal"/>
              <w:widowControl w:val="false"/>
              <w:spacing w:lineRule="auto" w:line="240" w:before="0" w:after="0"/>
              <w:rPr>
                <w:rFonts w:cs="Times New Roman"/>
                <w:sz w:val="22"/>
              </w:rPr>
            </w:pPr>
            <w:r>
              <w:rPr>
                <w:rFonts w:cs="Times New Roman"/>
                <w:sz w:val="22"/>
              </w:rPr>
            </w:r>
          </w:p>
          <w:p>
            <w:pPr>
              <w:pStyle w:val="Normal"/>
              <w:widowControl w:val="false"/>
              <w:spacing w:lineRule="auto" w:line="240" w:before="0" w:after="0"/>
              <w:rPr>
                <w:rFonts w:cs="Times New Roman"/>
              </w:rPr>
            </w:pPr>
            <w:r>
              <w:rPr>
                <w:rFonts w:cs="Times New Roman"/>
                <w:sz w:val="22"/>
              </w:rPr>
              <w:t>polps#kvinne</w:t>
            </w:r>
            <w:r>
              <w:rPr>
                <w:rFonts w:cs="Times New Roman"/>
                <w:sz w:val="22"/>
                <w:vertAlign w:val="superscript"/>
              </w:rPr>
              <w:t>b</w:t>
            </w:r>
          </w:p>
          <w:p>
            <w:pPr>
              <w:pStyle w:val="Normal"/>
              <w:widowControl w:val="false"/>
              <w:spacing w:lineRule="auto" w:line="240" w:before="0" w:after="0"/>
              <w:rPr>
                <w:rFonts w:cs="Times New Roman"/>
                <w:sz w:val="22"/>
              </w:rPr>
            </w:pPr>
            <w:r>
              <w:rPr>
                <w:rFonts w:cs="Times New Roman"/>
                <w:sz w:val="22"/>
              </w:rPr>
            </w:r>
          </w:p>
          <w:p>
            <w:pPr>
              <w:pStyle w:val="Normal"/>
              <w:widowControl w:val="false"/>
              <w:spacing w:lineRule="auto" w:line="240" w:before="0" w:after="0"/>
              <w:rPr>
                <w:rFonts w:cs="Times New Roman"/>
                <w:sz w:val="22"/>
              </w:rPr>
            </w:pPr>
            <w:r>
              <w:rPr>
                <w:rFonts w:cs="Times New Roman"/>
                <w:sz w:val="22"/>
              </w:rPr>
            </w:r>
          </w:p>
          <w:p>
            <w:pPr>
              <w:pStyle w:val="Normal"/>
              <w:widowControl w:val="false"/>
              <w:spacing w:lineRule="auto" w:line="240" w:before="0" w:after="0"/>
              <w:rPr>
                <w:rFonts w:cs="Times New Roman"/>
              </w:rPr>
            </w:pPr>
            <w:r>
              <w:rPr>
                <w:rFonts w:cs="Times New Roman"/>
                <w:sz w:val="22"/>
              </w:rPr>
              <w:t>closedpr#kvinne</w:t>
            </w:r>
            <w:r>
              <w:rPr>
                <w:rFonts w:cs="Times New Roman"/>
                <w:sz w:val="22"/>
                <w:vertAlign w:val="superscript"/>
              </w:rPr>
              <w:t>b</w:t>
            </w:r>
          </w:p>
          <w:p>
            <w:pPr>
              <w:pStyle w:val="Normal"/>
              <w:widowControl w:val="false"/>
              <w:spacing w:lineRule="auto" w:line="240" w:before="0" w:after="0"/>
              <w:rPr>
                <w:rFonts w:cs="Times New Roman"/>
                <w:sz w:val="22"/>
              </w:rPr>
            </w:pPr>
            <w:r>
              <w:rPr>
                <w:rFonts w:cs="Times New Roman"/>
                <w:sz w:val="22"/>
              </w:rPr>
            </w:r>
          </w:p>
        </w:tc>
        <w:tc>
          <w:tcPr>
            <w:tcW w:w="2159" w:type="dxa"/>
            <w:tcBorders/>
          </w:tcPr>
          <w:p>
            <w:pPr>
              <w:pStyle w:val="Normal"/>
              <w:widowControl w:val="false"/>
              <w:spacing w:lineRule="auto" w:line="240" w:before="0" w:after="0"/>
              <w:jc w:val="center"/>
              <w:rPr>
                <w:rFonts w:cs="Times New Roman"/>
                <w:sz w:val="22"/>
              </w:rPr>
            </w:pPr>
            <w:r>
              <w:rPr>
                <w:rFonts w:cs="Times New Roman"/>
                <w:sz w:val="22"/>
              </w:rPr>
              <w:t>-0.00574</w:t>
            </w:r>
          </w:p>
          <w:p>
            <w:pPr>
              <w:pStyle w:val="Normal"/>
              <w:widowControl w:val="false"/>
              <w:spacing w:lineRule="auto" w:line="240" w:before="0" w:after="0"/>
              <w:jc w:val="center"/>
              <w:rPr>
                <w:rFonts w:cs="Times New Roman"/>
                <w:sz w:val="22"/>
              </w:rPr>
            </w:pPr>
            <w:r>
              <w:rPr>
                <w:rFonts w:cs="Times New Roman"/>
                <w:sz w:val="22"/>
              </w:rPr>
              <w:t>(0.0282)</w:t>
            </w:r>
          </w:p>
        </w:tc>
        <w:tc>
          <w:tcPr>
            <w:tcW w:w="1440" w:type="dxa"/>
            <w:tcBorders/>
          </w:tcPr>
          <w:p>
            <w:pPr>
              <w:pStyle w:val="Normal"/>
              <w:widowControl w:val="false"/>
              <w:spacing w:lineRule="auto" w:line="240" w:before="0" w:after="0"/>
              <w:jc w:val="center"/>
              <w:rPr>
                <w:rFonts w:cs="Times New Roman"/>
                <w:sz w:val="22"/>
              </w:rPr>
            </w:pPr>
            <w:r>
              <w:rPr>
                <w:rFonts w:cs="Times New Roman"/>
                <w:sz w:val="22"/>
              </w:rPr>
              <w:t>-0.00575</w:t>
            </w:r>
          </w:p>
          <w:p>
            <w:pPr>
              <w:pStyle w:val="Normal"/>
              <w:widowControl w:val="false"/>
              <w:spacing w:lineRule="auto" w:line="240" w:before="0" w:after="0"/>
              <w:jc w:val="center"/>
              <w:rPr>
                <w:rFonts w:cs="Times New Roman"/>
                <w:sz w:val="22"/>
              </w:rPr>
            </w:pPr>
            <w:r>
              <w:rPr>
                <w:rFonts w:cs="Times New Roman"/>
                <w:sz w:val="22"/>
              </w:rPr>
              <w:t>(0.0282)</w:t>
            </w:r>
          </w:p>
          <w:p>
            <w:pPr>
              <w:pStyle w:val="Normal"/>
              <w:widowControl w:val="false"/>
              <w:spacing w:lineRule="auto" w:line="240" w:before="0" w:after="0"/>
              <w:jc w:val="center"/>
              <w:rPr>
                <w:rFonts w:cs="Times New Roman"/>
                <w:sz w:val="22"/>
              </w:rPr>
            </w:pPr>
            <w:r>
              <w:rPr>
                <w:rFonts w:cs="Times New Roman"/>
                <w:sz w:val="22"/>
              </w:rPr>
            </w:r>
          </w:p>
          <w:p>
            <w:pPr>
              <w:pStyle w:val="Normal"/>
              <w:widowControl w:val="false"/>
              <w:spacing w:lineRule="auto" w:line="240" w:before="0" w:after="0"/>
              <w:jc w:val="center"/>
              <w:rPr>
                <w:rFonts w:cs="Times New Roman"/>
                <w:sz w:val="22"/>
              </w:rPr>
            </w:pPr>
            <w:r>
              <w:rPr>
                <w:rFonts w:cs="Times New Roman"/>
                <w:sz w:val="22"/>
              </w:rPr>
            </w:r>
          </w:p>
          <w:p>
            <w:pPr>
              <w:pStyle w:val="Normal"/>
              <w:widowControl w:val="false"/>
              <w:spacing w:lineRule="auto" w:line="240" w:before="0" w:after="0"/>
              <w:jc w:val="center"/>
              <w:rPr>
                <w:rFonts w:cs="Times New Roman"/>
                <w:sz w:val="22"/>
              </w:rPr>
            </w:pPr>
            <w:r>
              <w:rPr>
                <w:rFonts w:cs="Times New Roman"/>
                <w:sz w:val="22"/>
              </w:rPr>
            </w:r>
          </w:p>
          <w:p>
            <w:pPr>
              <w:pStyle w:val="Normal"/>
              <w:widowControl w:val="false"/>
              <w:spacing w:lineRule="auto" w:line="240" w:before="0" w:after="0"/>
              <w:jc w:val="center"/>
              <w:rPr>
                <w:rFonts w:cs="Times New Roman"/>
                <w:sz w:val="22"/>
              </w:rPr>
            </w:pPr>
            <w:r>
              <w:rPr>
                <w:rFonts w:cs="Times New Roman"/>
                <w:sz w:val="22"/>
              </w:rPr>
            </w:r>
          </w:p>
          <w:p>
            <w:pPr>
              <w:pStyle w:val="Normal"/>
              <w:widowControl w:val="false"/>
              <w:spacing w:lineRule="auto" w:line="240" w:before="0" w:after="0"/>
              <w:jc w:val="center"/>
              <w:rPr>
                <w:rFonts w:cs="Times New Roman"/>
                <w:sz w:val="22"/>
              </w:rPr>
            </w:pPr>
            <w:r>
              <w:rPr>
                <w:rFonts w:cs="Times New Roman"/>
                <w:sz w:val="22"/>
              </w:rPr>
            </w:r>
          </w:p>
          <w:p>
            <w:pPr>
              <w:pStyle w:val="Normal"/>
              <w:widowControl w:val="false"/>
              <w:spacing w:lineRule="auto" w:line="240" w:before="0" w:after="0"/>
              <w:jc w:val="center"/>
              <w:rPr>
                <w:rFonts w:cs="Times New Roman"/>
                <w:sz w:val="22"/>
              </w:rPr>
            </w:pPr>
            <w:r>
              <w:rPr>
                <w:rFonts w:cs="Times New Roman"/>
                <w:sz w:val="22"/>
              </w:rPr>
            </w:r>
          </w:p>
        </w:tc>
        <w:tc>
          <w:tcPr>
            <w:tcW w:w="1584" w:type="dxa"/>
            <w:tcBorders/>
          </w:tcPr>
          <w:p>
            <w:pPr>
              <w:pStyle w:val="Normal"/>
              <w:widowControl w:val="false"/>
              <w:spacing w:lineRule="auto" w:line="240" w:before="0" w:after="0"/>
              <w:jc w:val="center"/>
              <w:rPr>
                <w:rFonts w:cs="Times New Roman"/>
                <w:sz w:val="22"/>
              </w:rPr>
            </w:pPr>
            <w:r>
              <w:rPr>
                <w:rFonts w:cs="Times New Roman"/>
                <w:sz w:val="22"/>
              </w:rPr>
              <w:t>-0.0167</w:t>
            </w:r>
          </w:p>
          <w:p>
            <w:pPr>
              <w:pStyle w:val="Normal"/>
              <w:widowControl w:val="false"/>
              <w:spacing w:lineRule="auto" w:line="240" w:before="0" w:after="0"/>
              <w:jc w:val="center"/>
              <w:rPr>
                <w:rFonts w:cs="Times New Roman"/>
                <w:sz w:val="22"/>
              </w:rPr>
            </w:pPr>
            <w:r>
              <w:rPr>
                <w:rFonts w:cs="Times New Roman"/>
                <w:sz w:val="22"/>
              </w:rPr>
              <w:t>(0.0388)</w:t>
            </w:r>
          </w:p>
          <w:p>
            <w:pPr>
              <w:pStyle w:val="Normal"/>
              <w:widowControl w:val="false"/>
              <w:spacing w:lineRule="auto" w:line="240" w:before="0" w:after="0"/>
              <w:jc w:val="center"/>
              <w:rPr>
                <w:rFonts w:cs="Times New Roman"/>
                <w:sz w:val="22"/>
              </w:rPr>
            </w:pPr>
            <w:r>
              <w:rPr>
                <w:rFonts w:cs="Times New Roman"/>
                <w:sz w:val="22"/>
              </w:rPr>
            </w:r>
          </w:p>
          <w:p>
            <w:pPr>
              <w:pStyle w:val="Normal"/>
              <w:widowControl w:val="false"/>
              <w:spacing w:lineRule="auto" w:line="240" w:before="0" w:after="0"/>
              <w:jc w:val="center"/>
              <w:rPr>
                <w:rFonts w:cs="Times New Roman"/>
                <w:sz w:val="22"/>
              </w:rPr>
            </w:pPr>
            <w:r>
              <w:rPr>
                <w:rFonts w:cs="Times New Roman"/>
                <w:sz w:val="22"/>
              </w:rPr>
              <w:t>0.0243</w:t>
            </w:r>
          </w:p>
          <w:p>
            <w:pPr>
              <w:pStyle w:val="Normal"/>
              <w:widowControl w:val="false"/>
              <w:spacing w:lineRule="auto" w:line="240" w:before="0" w:after="0"/>
              <w:jc w:val="center"/>
              <w:rPr>
                <w:rFonts w:cs="Times New Roman"/>
                <w:sz w:val="22"/>
              </w:rPr>
            </w:pPr>
            <w:r>
              <w:rPr>
                <w:rFonts w:cs="Times New Roman"/>
                <w:sz w:val="22"/>
              </w:rPr>
              <w:t>(0.0547)</w:t>
            </w:r>
          </w:p>
        </w:tc>
        <w:tc>
          <w:tcPr>
            <w:tcW w:w="1585" w:type="dxa"/>
            <w:tcBorders/>
          </w:tcPr>
          <w:p>
            <w:pPr>
              <w:pStyle w:val="Normal"/>
              <w:widowControl w:val="false"/>
              <w:spacing w:lineRule="auto" w:line="240" w:before="0" w:after="0"/>
              <w:jc w:val="center"/>
              <w:rPr>
                <w:rFonts w:cs="Times New Roman"/>
                <w:sz w:val="22"/>
              </w:rPr>
            </w:pPr>
            <w:r>
              <w:rPr>
                <w:rFonts w:cs="Times New Roman"/>
                <w:sz w:val="22"/>
              </w:rPr>
              <w:t>-0.0372</w:t>
            </w:r>
          </w:p>
          <w:p>
            <w:pPr>
              <w:pStyle w:val="Normal"/>
              <w:widowControl w:val="false"/>
              <w:spacing w:lineRule="auto" w:line="240" w:before="0" w:after="0"/>
              <w:jc w:val="center"/>
              <w:rPr>
                <w:rFonts w:cs="Times New Roman"/>
                <w:sz w:val="22"/>
              </w:rPr>
            </w:pPr>
            <w:r>
              <w:rPr>
                <w:rFonts w:cs="Times New Roman"/>
                <w:sz w:val="22"/>
              </w:rPr>
              <w:t>(0.0357)</w:t>
            </w:r>
          </w:p>
          <w:p>
            <w:pPr>
              <w:pStyle w:val="Normal"/>
              <w:widowControl w:val="false"/>
              <w:spacing w:lineRule="auto" w:line="240" w:before="0" w:after="0"/>
              <w:jc w:val="center"/>
              <w:rPr>
                <w:rFonts w:cs="Times New Roman"/>
                <w:sz w:val="22"/>
              </w:rPr>
            </w:pPr>
            <w:r>
              <w:rPr>
                <w:rFonts w:cs="Times New Roman"/>
                <w:sz w:val="22"/>
              </w:rPr>
            </w:r>
          </w:p>
          <w:p>
            <w:pPr>
              <w:pStyle w:val="Normal"/>
              <w:widowControl w:val="false"/>
              <w:spacing w:lineRule="auto" w:line="240" w:before="0" w:after="0"/>
              <w:jc w:val="center"/>
              <w:rPr>
                <w:rFonts w:cs="Times New Roman"/>
                <w:sz w:val="22"/>
              </w:rPr>
            </w:pPr>
            <w:r>
              <w:rPr>
                <w:rFonts w:cs="Times New Roman"/>
                <w:sz w:val="22"/>
              </w:rPr>
            </w:r>
          </w:p>
          <w:p>
            <w:pPr>
              <w:pStyle w:val="Normal"/>
              <w:widowControl w:val="false"/>
              <w:spacing w:lineRule="auto" w:line="240" w:before="0" w:after="0"/>
              <w:jc w:val="center"/>
              <w:rPr>
                <w:rFonts w:cs="Times New Roman"/>
                <w:sz w:val="22"/>
              </w:rPr>
            </w:pPr>
            <w:r>
              <w:rPr>
                <w:rFonts w:cs="Times New Roman"/>
                <w:sz w:val="22"/>
              </w:rPr>
            </w:r>
          </w:p>
          <w:p>
            <w:pPr>
              <w:pStyle w:val="Normal"/>
              <w:widowControl w:val="false"/>
              <w:spacing w:lineRule="auto" w:line="240" w:before="0" w:after="0"/>
              <w:jc w:val="center"/>
              <w:rPr>
                <w:rFonts w:cs="Times New Roman"/>
                <w:sz w:val="22"/>
              </w:rPr>
            </w:pPr>
            <w:r>
              <w:rPr>
                <w:rFonts w:cs="Times New Roman"/>
                <w:sz w:val="22"/>
              </w:rPr>
            </w:r>
          </w:p>
          <w:p>
            <w:pPr>
              <w:pStyle w:val="Normal"/>
              <w:widowControl w:val="false"/>
              <w:spacing w:lineRule="auto" w:line="240" w:before="0" w:after="0"/>
              <w:jc w:val="center"/>
              <w:rPr>
                <w:rFonts w:cs="Times New Roman"/>
                <w:sz w:val="22"/>
              </w:rPr>
            </w:pPr>
            <w:r>
              <w:rPr>
                <w:rFonts w:cs="Times New Roman"/>
                <w:sz w:val="22"/>
              </w:rPr>
              <w:t>0.105**</w:t>
            </w:r>
          </w:p>
          <w:p>
            <w:pPr>
              <w:pStyle w:val="Normal"/>
              <w:widowControl w:val="false"/>
              <w:spacing w:lineRule="auto" w:line="240" w:before="0" w:after="0"/>
              <w:jc w:val="center"/>
              <w:rPr>
                <w:rFonts w:cs="Times New Roman"/>
                <w:sz w:val="22"/>
              </w:rPr>
            </w:pPr>
            <w:r>
              <w:rPr>
                <w:rFonts w:cs="Times New Roman"/>
                <w:sz w:val="22"/>
              </w:rPr>
              <w:t>(0.0457)</w:t>
            </w:r>
          </w:p>
        </w:tc>
      </w:tr>
      <w:tr>
        <w:trPr/>
        <w:tc>
          <w:tcPr>
            <w:tcW w:w="2523" w:type="dxa"/>
            <w:tcBorders/>
          </w:tcPr>
          <w:p>
            <w:pPr>
              <w:pStyle w:val="Normal"/>
              <w:widowControl w:val="false"/>
              <w:spacing w:lineRule="auto" w:line="240" w:before="0" w:after="0"/>
              <w:rPr>
                <w:rFonts w:cs="Times New Roman"/>
                <w:sz w:val="22"/>
              </w:rPr>
            </w:pPr>
            <w:r>
              <w:rPr>
                <w:rFonts w:cs="Times New Roman"/>
                <w:sz w:val="22"/>
              </w:rPr>
            </w:r>
          </w:p>
        </w:tc>
        <w:tc>
          <w:tcPr>
            <w:tcW w:w="2159" w:type="dxa"/>
            <w:tcBorders/>
          </w:tcPr>
          <w:p>
            <w:pPr>
              <w:pStyle w:val="Normal"/>
              <w:widowControl w:val="false"/>
              <w:spacing w:lineRule="auto" w:line="240" w:before="0" w:after="0"/>
              <w:jc w:val="center"/>
              <w:rPr>
                <w:rFonts w:cs="Times New Roman"/>
                <w:sz w:val="22"/>
              </w:rPr>
            </w:pPr>
            <w:r>
              <w:rPr>
                <w:rFonts w:cs="Times New Roman"/>
                <w:sz w:val="22"/>
              </w:rPr>
            </w:r>
          </w:p>
        </w:tc>
        <w:tc>
          <w:tcPr>
            <w:tcW w:w="1440" w:type="dxa"/>
            <w:tcBorders/>
          </w:tcPr>
          <w:p>
            <w:pPr>
              <w:pStyle w:val="Normal"/>
              <w:widowControl w:val="false"/>
              <w:spacing w:lineRule="auto" w:line="240" w:before="0" w:after="0"/>
              <w:jc w:val="center"/>
              <w:rPr>
                <w:rFonts w:cs="Times New Roman"/>
                <w:sz w:val="22"/>
              </w:rPr>
            </w:pPr>
            <w:r>
              <w:rPr>
                <w:rFonts w:cs="Times New Roman"/>
                <w:sz w:val="22"/>
              </w:rPr>
            </w:r>
          </w:p>
        </w:tc>
        <w:tc>
          <w:tcPr>
            <w:tcW w:w="1584" w:type="dxa"/>
            <w:tcBorders/>
          </w:tcPr>
          <w:p>
            <w:pPr>
              <w:pStyle w:val="Normal"/>
              <w:widowControl w:val="false"/>
              <w:spacing w:lineRule="auto" w:line="240" w:before="0" w:after="0"/>
              <w:jc w:val="center"/>
              <w:rPr>
                <w:rFonts w:cs="Times New Roman"/>
                <w:sz w:val="22"/>
              </w:rPr>
            </w:pPr>
            <w:r>
              <w:rPr>
                <w:rFonts w:cs="Times New Roman"/>
                <w:sz w:val="22"/>
              </w:rPr>
            </w:r>
          </w:p>
        </w:tc>
        <w:tc>
          <w:tcPr>
            <w:tcW w:w="1585" w:type="dxa"/>
            <w:tcBorders/>
          </w:tcPr>
          <w:p>
            <w:pPr>
              <w:pStyle w:val="Normal"/>
              <w:widowControl w:val="false"/>
              <w:spacing w:lineRule="auto" w:line="240" w:before="0" w:after="0"/>
              <w:jc w:val="center"/>
              <w:rPr>
                <w:rFonts w:cs="Times New Roman"/>
                <w:sz w:val="22"/>
              </w:rPr>
            </w:pPr>
            <w:r>
              <w:rPr>
                <w:rFonts w:cs="Times New Roman"/>
                <w:sz w:val="22"/>
              </w:rPr>
            </w:r>
          </w:p>
        </w:tc>
      </w:tr>
      <w:tr>
        <w:trPr/>
        <w:tc>
          <w:tcPr>
            <w:tcW w:w="2523" w:type="dxa"/>
            <w:tcBorders/>
          </w:tcPr>
          <w:p>
            <w:pPr>
              <w:pStyle w:val="Normal"/>
              <w:widowControl w:val="false"/>
              <w:spacing w:lineRule="auto" w:line="240" w:before="0" w:after="0"/>
              <w:rPr>
                <w:rFonts w:cs="Times New Roman"/>
                <w:sz w:val="22"/>
              </w:rPr>
            </w:pPr>
            <w:r>
              <w:rPr>
                <w:rFonts w:cs="Times New Roman"/>
                <w:sz w:val="22"/>
              </w:rPr>
              <w:t>alder</w:t>
            </w:r>
          </w:p>
          <w:p>
            <w:pPr>
              <w:pStyle w:val="Normal"/>
              <w:widowControl w:val="false"/>
              <w:spacing w:lineRule="auto" w:line="240" w:before="0" w:after="0"/>
              <w:rPr>
                <w:rFonts w:cs="Times New Roman"/>
                <w:sz w:val="22"/>
              </w:rPr>
            </w:pPr>
            <w:r>
              <w:rPr>
                <w:rFonts w:cs="Times New Roman"/>
                <w:sz w:val="22"/>
              </w:rPr>
            </w:r>
          </w:p>
        </w:tc>
        <w:tc>
          <w:tcPr>
            <w:tcW w:w="2159" w:type="dxa"/>
            <w:tcBorders/>
          </w:tcPr>
          <w:p>
            <w:pPr>
              <w:pStyle w:val="Normal"/>
              <w:widowControl w:val="false"/>
              <w:spacing w:lineRule="auto" w:line="240" w:before="0" w:after="0"/>
              <w:jc w:val="center"/>
              <w:rPr>
                <w:rFonts w:cs="Times New Roman"/>
                <w:sz w:val="22"/>
              </w:rPr>
            </w:pPr>
            <w:r>
              <w:rPr>
                <w:rFonts w:cs="Times New Roman"/>
                <w:sz w:val="22"/>
              </w:rPr>
              <w:t>0.00325***</w:t>
            </w:r>
          </w:p>
          <w:p>
            <w:pPr>
              <w:pStyle w:val="Normal"/>
              <w:widowControl w:val="false"/>
              <w:spacing w:lineRule="auto" w:line="240" w:before="0" w:after="0"/>
              <w:jc w:val="center"/>
              <w:rPr>
                <w:rFonts w:cs="Times New Roman"/>
                <w:sz w:val="22"/>
              </w:rPr>
            </w:pPr>
            <w:r>
              <w:rPr>
                <w:rFonts w:cs="Times New Roman"/>
                <w:sz w:val="22"/>
              </w:rPr>
              <w:t>(0.000834)</w:t>
            </w:r>
          </w:p>
        </w:tc>
        <w:tc>
          <w:tcPr>
            <w:tcW w:w="1440" w:type="dxa"/>
            <w:tcBorders/>
          </w:tcPr>
          <w:p>
            <w:pPr>
              <w:pStyle w:val="Normal"/>
              <w:widowControl w:val="false"/>
              <w:spacing w:lineRule="auto" w:line="240" w:before="0" w:after="0"/>
              <w:jc w:val="center"/>
              <w:rPr>
                <w:rFonts w:cs="Times New Roman"/>
                <w:sz w:val="22"/>
              </w:rPr>
            </w:pPr>
            <w:r>
              <w:rPr>
                <w:rFonts w:cs="Times New Roman"/>
                <w:sz w:val="22"/>
              </w:rPr>
              <w:t>0.00325***</w:t>
            </w:r>
          </w:p>
          <w:p>
            <w:pPr>
              <w:pStyle w:val="Normal"/>
              <w:widowControl w:val="false"/>
              <w:spacing w:lineRule="auto" w:line="240" w:before="0" w:after="0"/>
              <w:jc w:val="center"/>
              <w:rPr>
                <w:rFonts w:cs="Times New Roman"/>
                <w:sz w:val="22"/>
              </w:rPr>
            </w:pPr>
            <w:r>
              <w:rPr>
                <w:rFonts w:cs="Times New Roman"/>
                <w:sz w:val="22"/>
              </w:rPr>
              <w:t>(0.000834)</w:t>
            </w:r>
          </w:p>
        </w:tc>
        <w:tc>
          <w:tcPr>
            <w:tcW w:w="1584" w:type="dxa"/>
            <w:tcBorders/>
          </w:tcPr>
          <w:p>
            <w:pPr>
              <w:pStyle w:val="Normal"/>
              <w:widowControl w:val="false"/>
              <w:spacing w:lineRule="auto" w:line="240" w:before="0" w:after="0"/>
              <w:jc w:val="center"/>
              <w:rPr>
                <w:rFonts w:cs="Times New Roman"/>
                <w:sz w:val="22"/>
              </w:rPr>
            </w:pPr>
            <w:r>
              <w:rPr>
                <w:rFonts w:cs="Times New Roman"/>
                <w:sz w:val="22"/>
              </w:rPr>
              <w:t>0.00324***</w:t>
            </w:r>
          </w:p>
          <w:p>
            <w:pPr>
              <w:pStyle w:val="Normal"/>
              <w:widowControl w:val="false"/>
              <w:spacing w:lineRule="auto" w:line="240" w:before="0" w:after="0"/>
              <w:jc w:val="center"/>
              <w:rPr>
                <w:rFonts w:cs="Times New Roman"/>
                <w:sz w:val="22"/>
              </w:rPr>
            </w:pPr>
            <w:r>
              <w:rPr>
                <w:rFonts w:cs="Times New Roman"/>
                <w:sz w:val="22"/>
              </w:rPr>
              <w:t>(0.000839)</w:t>
            </w:r>
          </w:p>
        </w:tc>
        <w:tc>
          <w:tcPr>
            <w:tcW w:w="1585" w:type="dxa"/>
            <w:tcBorders/>
          </w:tcPr>
          <w:p>
            <w:pPr>
              <w:pStyle w:val="Normal"/>
              <w:widowControl w:val="false"/>
              <w:spacing w:lineRule="auto" w:line="240" w:before="0" w:after="0"/>
              <w:jc w:val="center"/>
              <w:rPr>
                <w:rFonts w:cs="Times New Roman"/>
                <w:sz w:val="22"/>
              </w:rPr>
            </w:pPr>
            <w:r>
              <w:rPr>
                <w:rFonts w:cs="Times New Roman"/>
                <w:sz w:val="22"/>
              </w:rPr>
              <w:t>0.00316***</w:t>
            </w:r>
          </w:p>
          <w:p>
            <w:pPr>
              <w:pStyle w:val="Normal"/>
              <w:widowControl w:val="false"/>
              <w:spacing w:lineRule="auto" w:line="240" w:before="0" w:after="0"/>
              <w:jc w:val="center"/>
              <w:rPr>
                <w:rFonts w:cs="Times New Roman"/>
                <w:sz w:val="22"/>
              </w:rPr>
            </w:pPr>
            <w:r>
              <w:rPr>
                <w:rFonts w:cs="Times New Roman"/>
                <w:sz w:val="22"/>
              </w:rPr>
              <w:t>(0.000859)</w:t>
            </w:r>
          </w:p>
        </w:tc>
      </w:tr>
      <w:tr>
        <w:trPr/>
        <w:tc>
          <w:tcPr>
            <w:tcW w:w="2523" w:type="dxa"/>
            <w:tcBorders/>
          </w:tcPr>
          <w:p>
            <w:pPr>
              <w:pStyle w:val="Normal"/>
              <w:widowControl w:val="false"/>
              <w:spacing w:lineRule="auto" w:line="240" w:before="0" w:after="0"/>
              <w:rPr>
                <w:rFonts w:cs="Times New Roman"/>
                <w:sz w:val="22"/>
              </w:rPr>
            </w:pPr>
            <w:r>
              <w:rPr>
                <w:rFonts w:cs="Times New Roman"/>
                <w:sz w:val="22"/>
              </w:rPr>
            </w:r>
          </w:p>
        </w:tc>
        <w:tc>
          <w:tcPr>
            <w:tcW w:w="2159" w:type="dxa"/>
            <w:tcBorders/>
          </w:tcPr>
          <w:p>
            <w:pPr>
              <w:pStyle w:val="Normal"/>
              <w:widowControl w:val="false"/>
              <w:spacing w:lineRule="auto" w:line="240" w:before="0" w:after="0"/>
              <w:jc w:val="center"/>
              <w:rPr>
                <w:rFonts w:cs="Times New Roman"/>
                <w:sz w:val="22"/>
              </w:rPr>
            </w:pPr>
            <w:r>
              <w:rPr>
                <w:rFonts w:cs="Times New Roman"/>
                <w:sz w:val="22"/>
              </w:rPr>
            </w:r>
          </w:p>
        </w:tc>
        <w:tc>
          <w:tcPr>
            <w:tcW w:w="1440" w:type="dxa"/>
            <w:tcBorders/>
          </w:tcPr>
          <w:p>
            <w:pPr>
              <w:pStyle w:val="Normal"/>
              <w:widowControl w:val="false"/>
              <w:spacing w:lineRule="auto" w:line="240" w:before="0" w:after="0"/>
              <w:jc w:val="center"/>
              <w:rPr>
                <w:rFonts w:cs="Times New Roman"/>
                <w:sz w:val="22"/>
              </w:rPr>
            </w:pPr>
            <w:r>
              <w:rPr>
                <w:rFonts w:cs="Times New Roman"/>
                <w:sz w:val="22"/>
              </w:rPr>
            </w:r>
          </w:p>
        </w:tc>
        <w:tc>
          <w:tcPr>
            <w:tcW w:w="1584" w:type="dxa"/>
            <w:tcBorders/>
          </w:tcPr>
          <w:p>
            <w:pPr>
              <w:pStyle w:val="Normal"/>
              <w:widowControl w:val="false"/>
              <w:spacing w:lineRule="auto" w:line="240" w:before="0" w:after="0"/>
              <w:jc w:val="center"/>
              <w:rPr>
                <w:rFonts w:cs="Times New Roman"/>
                <w:sz w:val="22"/>
              </w:rPr>
            </w:pPr>
            <w:r>
              <w:rPr>
                <w:rFonts w:cs="Times New Roman"/>
                <w:sz w:val="22"/>
              </w:rPr>
            </w:r>
          </w:p>
        </w:tc>
        <w:tc>
          <w:tcPr>
            <w:tcW w:w="1585" w:type="dxa"/>
            <w:tcBorders/>
          </w:tcPr>
          <w:p>
            <w:pPr>
              <w:pStyle w:val="Normal"/>
              <w:widowControl w:val="false"/>
              <w:spacing w:lineRule="auto" w:line="240" w:before="0" w:after="0"/>
              <w:jc w:val="center"/>
              <w:rPr>
                <w:rFonts w:cs="Times New Roman"/>
                <w:sz w:val="22"/>
              </w:rPr>
            </w:pPr>
            <w:r>
              <w:rPr>
                <w:rFonts w:cs="Times New Roman"/>
                <w:sz w:val="22"/>
              </w:rPr>
            </w:r>
          </w:p>
        </w:tc>
      </w:tr>
      <w:tr>
        <w:trPr/>
        <w:tc>
          <w:tcPr>
            <w:tcW w:w="2523" w:type="dxa"/>
            <w:tcBorders/>
          </w:tcPr>
          <w:p>
            <w:pPr>
              <w:pStyle w:val="Normal"/>
              <w:widowControl w:val="false"/>
              <w:spacing w:lineRule="auto" w:line="240" w:before="0" w:after="0"/>
              <w:rPr>
                <w:rFonts w:cs="Times New Roman"/>
                <w:sz w:val="22"/>
              </w:rPr>
            </w:pPr>
            <w:r>
              <w:rPr>
                <w:rFonts w:cs="Times New Roman"/>
                <w:sz w:val="22"/>
              </w:rPr>
              <w:t>uteninntekt</w:t>
            </w:r>
          </w:p>
          <w:p>
            <w:pPr>
              <w:pStyle w:val="Normal"/>
              <w:widowControl w:val="false"/>
              <w:spacing w:lineRule="auto" w:line="240" w:before="0" w:after="0"/>
              <w:rPr>
                <w:rFonts w:cs="Times New Roman"/>
              </w:rPr>
            </w:pPr>
            <w:r>
              <w:rPr>
                <w:rFonts w:cs="Times New Roman"/>
              </w:rPr>
            </w:r>
          </w:p>
          <w:p>
            <w:pPr>
              <w:pStyle w:val="Normal"/>
              <w:widowControl w:val="false"/>
              <w:spacing w:lineRule="auto" w:line="240" w:before="0" w:after="0"/>
              <w:rPr>
                <w:rFonts w:cs="Times New Roman"/>
                <w:sz w:val="22"/>
              </w:rPr>
            </w:pPr>
            <w:r>
              <w:rPr>
                <w:rFonts w:cs="Times New Roman"/>
                <w:sz w:val="22"/>
              </w:rPr>
            </w:r>
          </w:p>
          <w:p>
            <w:pPr>
              <w:pStyle w:val="Normal"/>
              <w:widowControl w:val="false"/>
              <w:spacing w:lineRule="auto" w:line="240" w:before="0" w:after="0"/>
              <w:rPr>
                <w:rFonts w:cs="Times New Roman"/>
                <w:b/>
                <w:b/>
                <w:bCs/>
              </w:rPr>
            </w:pPr>
            <w:r>
              <w:rPr>
                <w:rFonts w:cs="Times New Roman"/>
                <w:b/>
                <w:bCs/>
                <w:sz w:val="22"/>
              </w:rPr>
              <w:t>Utdanning</w:t>
            </w:r>
            <w:r>
              <w:rPr>
                <w:rFonts w:cs="Times New Roman"/>
                <w:b/>
                <w:bCs/>
                <w:sz w:val="22"/>
                <w:vertAlign w:val="superscript"/>
              </w:rPr>
              <w:t>c</w:t>
            </w:r>
          </w:p>
        </w:tc>
        <w:tc>
          <w:tcPr>
            <w:tcW w:w="2159" w:type="dxa"/>
            <w:tcBorders/>
          </w:tcPr>
          <w:p>
            <w:pPr>
              <w:pStyle w:val="Normal"/>
              <w:widowControl w:val="false"/>
              <w:spacing w:lineRule="auto" w:line="240" w:before="0" w:after="0"/>
              <w:jc w:val="center"/>
              <w:rPr>
                <w:rFonts w:cs="Times New Roman"/>
                <w:sz w:val="22"/>
              </w:rPr>
            </w:pPr>
            <w:r>
              <w:rPr>
                <w:rFonts w:cs="Times New Roman"/>
                <w:sz w:val="22"/>
              </w:rPr>
              <w:t>-0.170***</w:t>
            </w:r>
          </w:p>
          <w:p>
            <w:pPr>
              <w:pStyle w:val="Normal"/>
              <w:widowControl w:val="false"/>
              <w:spacing w:lineRule="auto" w:line="240" w:before="0" w:after="0"/>
              <w:jc w:val="center"/>
              <w:rPr>
                <w:rFonts w:cs="Times New Roman"/>
                <w:sz w:val="22"/>
              </w:rPr>
            </w:pPr>
            <w:r>
              <w:rPr>
                <w:rFonts w:cs="Times New Roman"/>
                <w:sz w:val="22"/>
              </w:rPr>
              <w:t>(0.0334)</w:t>
            </w:r>
          </w:p>
        </w:tc>
        <w:tc>
          <w:tcPr>
            <w:tcW w:w="1440" w:type="dxa"/>
            <w:tcBorders/>
          </w:tcPr>
          <w:p>
            <w:pPr>
              <w:pStyle w:val="Normal"/>
              <w:widowControl w:val="false"/>
              <w:spacing w:lineRule="auto" w:line="240" w:before="0" w:after="0"/>
              <w:jc w:val="center"/>
              <w:rPr>
                <w:rFonts w:cs="Times New Roman"/>
                <w:sz w:val="22"/>
              </w:rPr>
            </w:pPr>
            <w:r>
              <w:rPr>
                <w:rFonts w:cs="Times New Roman"/>
                <w:sz w:val="22"/>
              </w:rPr>
              <w:t>-0.170***</w:t>
            </w:r>
          </w:p>
          <w:p>
            <w:pPr>
              <w:pStyle w:val="Normal"/>
              <w:widowControl w:val="false"/>
              <w:spacing w:lineRule="auto" w:line="240" w:before="0" w:after="0"/>
              <w:jc w:val="center"/>
              <w:rPr>
                <w:rFonts w:cs="Times New Roman"/>
                <w:sz w:val="22"/>
              </w:rPr>
            </w:pPr>
            <w:r>
              <w:rPr>
                <w:rFonts w:cs="Times New Roman"/>
                <w:sz w:val="22"/>
              </w:rPr>
              <w:t>(0.0334)</w:t>
            </w:r>
          </w:p>
        </w:tc>
        <w:tc>
          <w:tcPr>
            <w:tcW w:w="1584" w:type="dxa"/>
            <w:tcBorders/>
          </w:tcPr>
          <w:p>
            <w:pPr>
              <w:pStyle w:val="Normal"/>
              <w:widowControl w:val="false"/>
              <w:spacing w:lineRule="auto" w:line="240" w:before="0" w:after="0"/>
              <w:jc w:val="center"/>
              <w:rPr>
                <w:rFonts w:cs="Times New Roman"/>
                <w:sz w:val="22"/>
              </w:rPr>
            </w:pPr>
            <w:r>
              <w:rPr>
                <w:rFonts w:cs="Times New Roman"/>
                <w:sz w:val="22"/>
              </w:rPr>
              <w:t>-0.170***</w:t>
            </w:r>
          </w:p>
          <w:p>
            <w:pPr>
              <w:pStyle w:val="Normal"/>
              <w:widowControl w:val="false"/>
              <w:spacing w:lineRule="auto" w:line="240" w:before="0" w:after="0"/>
              <w:jc w:val="center"/>
              <w:rPr>
                <w:rFonts w:cs="Times New Roman"/>
                <w:sz w:val="22"/>
              </w:rPr>
            </w:pPr>
            <w:r>
              <w:rPr>
                <w:rFonts w:cs="Times New Roman"/>
                <w:sz w:val="22"/>
              </w:rPr>
              <w:t>(0.0334)</w:t>
            </w:r>
          </w:p>
        </w:tc>
        <w:tc>
          <w:tcPr>
            <w:tcW w:w="1585" w:type="dxa"/>
            <w:tcBorders/>
          </w:tcPr>
          <w:p>
            <w:pPr>
              <w:pStyle w:val="Normal"/>
              <w:widowControl w:val="false"/>
              <w:spacing w:lineRule="auto" w:line="240" w:before="0" w:after="0"/>
              <w:jc w:val="center"/>
              <w:rPr>
                <w:rFonts w:cs="Times New Roman"/>
                <w:sz w:val="22"/>
              </w:rPr>
            </w:pPr>
            <w:r>
              <w:rPr>
                <w:rFonts w:cs="Times New Roman"/>
                <w:sz w:val="22"/>
              </w:rPr>
              <w:t>-0.170***</w:t>
            </w:r>
          </w:p>
          <w:p>
            <w:pPr>
              <w:pStyle w:val="Normal"/>
              <w:widowControl w:val="false"/>
              <w:spacing w:lineRule="auto" w:line="240" w:before="0" w:after="0"/>
              <w:jc w:val="center"/>
              <w:rPr>
                <w:rFonts w:cs="Times New Roman"/>
                <w:sz w:val="22"/>
              </w:rPr>
            </w:pPr>
            <w:r>
              <w:rPr>
                <w:rFonts w:cs="Times New Roman"/>
                <w:sz w:val="22"/>
              </w:rPr>
              <w:t>(0.0333)</w:t>
            </w:r>
          </w:p>
        </w:tc>
      </w:tr>
      <w:tr>
        <w:trPr/>
        <w:tc>
          <w:tcPr>
            <w:tcW w:w="2523" w:type="dxa"/>
            <w:tcBorders/>
          </w:tcPr>
          <w:p>
            <w:pPr>
              <w:pStyle w:val="Normal"/>
              <w:widowControl w:val="false"/>
              <w:spacing w:lineRule="auto" w:line="240" w:before="0" w:after="0"/>
              <w:rPr>
                <w:rFonts w:cs="Times New Roman"/>
                <w:sz w:val="22"/>
              </w:rPr>
            </w:pPr>
            <w:r>
              <w:rPr>
                <w:rFonts w:cs="Times New Roman"/>
                <w:sz w:val="22"/>
              </w:rPr>
            </w:r>
          </w:p>
        </w:tc>
        <w:tc>
          <w:tcPr>
            <w:tcW w:w="2159" w:type="dxa"/>
            <w:tcBorders/>
          </w:tcPr>
          <w:p>
            <w:pPr>
              <w:pStyle w:val="Normal"/>
              <w:widowControl w:val="false"/>
              <w:spacing w:lineRule="auto" w:line="240" w:before="0" w:after="0"/>
              <w:jc w:val="center"/>
              <w:rPr>
                <w:rFonts w:cs="Times New Roman"/>
                <w:sz w:val="22"/>
              </w:rPr>
            </w:pPr>
            <w:r>
              <w:rPr>
                <w:rFonts w:cs="Times New Roman"/>
                <w:sz w:val="22"/>
              </w:rPr>
            </w:r>
          </w:p>
        </w:tc>
        <w:tc>
          <w:tcPr>
            <w:tcW w:w="1440" w:type="dxa"/>
            <w:tcBorders/>
          </w:tcPr>
          <w:p>
            <w:pPr>
              <w:pStyle w:val="Normal"/>
              <w:widowControl w:val="false"/>
              <w:spacing w:lineRule="auto" w:line="240" w:before="0" w:after="0"/>
              <w:jc w:val="center"/>
              <w:rPr>
                <w:rFonts w:cs="Times New Roman"/>
                <w:sz w:val="22"/>
              </w:rPr>
            </w:pPr>
            <w:r>
              <w:rPr>
                <w:rFonts w:cs="Times New Roman"/>
                <w:sz w:val="22"/>
              </w:rPr>
            </w:r>
          </w:p>
        </w:tc>
        <w:tc>
          <w:tcPr>
            <w:tcW w:w="1584" w:type="dxa"/>
            <w:tcBorders/>
          </w:tcPr>
          <w:p>
            <w:pPr>
              <w:pStyle w:val="Normal"/>
              <w:widowControl w:val="false"/>
              <w:spacing w:lineRule="auto" w:line="240" w:before="0" w:after="0"/>
              <w:jc w:val="center"/>
              <w:rPr>
                <w:rFonts w:cs="Times New Roman"/>
                <w:sz w:val="22"/>
              </w:rPr>
            </w:pPr>
            <w:r>
              <w:rPr>
                <w:rFonts w:cs="Times New Roman"/>
                <w:sz w:val="22"/>
              </w:rPr>
            </w:r>
          </w:p>
        </w:tc>
        <w:tc>
          <w:tcPr>
            <w:tcW w:w="1585" w:type="dxa"/>
            <w:tcBorders/>
          </w:tcPr>
          <w:p>
            <w:pPr>
              <w:pStyle w:val="Normal"/>
              <w:widowControl w:val="false"/>
              <w:spacing w:lineRule="auto" w:line="240" w:before="0" w:after="0"/>
              <w:jc w:val="center"/>
              <w:rPr>
                <w:rFonts w:cs="Times New Roman"/>
                <w:sz w:val="22"/>
              </w:rPr>
            </w:pPr>
            <w:r>
              <w:rPr>
                <w:rFonts w:cs="Times New Roman"/>
                <w:sz w:val="22"/>
              </w:rPr>
            </w:r>
          </w:p>
        </w:tc>
      </w:tr>
      <w:tr>
        <w:trPr/>
        <w:tc>
          <w:tcPr>
            <w:tcW w:w="2523" w:type="dxa"/>
            <w:tcBorders/>
          </w:tcPr>
          <w:p>
            <w:pPr>
              <w:pStyle w:val="Normal"/>
              <w:widowControl w:val="false"/>
              <w:spacing w:lineRule="auto" w:line="240" w:before="0" w:after="0"/>
              <w:rPr>
                <w:rFonts w:cs="Times New Roman"/>
                <w:sz w:val="22"/>
              </w:rPr>
            </w:pPr>
            <w:r>
              <w:rPr>
                <w:rFonts w:cs="Times New Roman"/>
                <w:sz w:val="22"/>
              </w:rPr>
              <w:t>Primær</w:t>
            </w:r>
          </w:p>
        </w:tc>
        <w:tc>
          <w:tcPr>
            <w:tcW w:w="2159" w:type="dxa"/>
            <w:tcBorders/>
          </w:tcPr>
          <w:p>
            <w:pPr>
              <w:pStyle w:val="Normal"/>
              <w:widowControl w:val="false"/>
              <w:spacing w:lineRule="auto" w:line="240" w:before="0" w:after="0"/>
              <w:jc w:val="center"/>
              <w:rPr>
                <w:rFonts w:cs="Times New Roman"/>
                <w:sz w:val="22"/>
              </w:rPr>
            </w:pPr>
            <w:r>
              <w:rPr>
                <w:rFonts w:cs="Times New Roman"/>
                <w:sz w:val="22"/>
              </w:rPr>
              <w:t>-0.118***</w:t>
            </w:r>
          </w:p>
        </w:tc>
        <w:tc>
          <w:tcPr>
            <w:tcW w:w="1440" w:type="dxa"/>
            <w:tcBorders/>
          </w:tcPr>
          <w:p>
            <w:pPr>
              <w:pStyle w:val="Normal"/>
              <w:widowControl w:val="false"/>
              <w:spacing w:lineRule="auto" w:line="240" w:before="0" w:after="0"/>
              <w:jc w:val="center"/>
              <w:rPr>
                <w:rFonts w:cs="Times New Roman"/>
                <w:sz w:val="22"/>
              </w:rPr>
            </w:pPr>
            <w:r>
              <w:rPr>
                <w:rFonts w:cs="Times New Roman"/>
                <w:sz w:val="22"/>
              </w:rPr>
              <w:t>-0.118***</w:t>
            </w:r>
          </w:p>
        </w:tc>
        <w:tc>
          <w:tcPr>
            <w:tcW w:w="1584" w:type="dxa"/>
            <w:tcBorders/>
          </w:tcPr>
          <w:p>
            <w:pPr>
              <w:pStyle w:val="Normal"/>
              <w:widowControl w:val="false"/>
              <w:spacing w:lineRule="auto" w:line="240" w:before="0" w:after="0"/>
              <w:jc w:val="center"/>
              <w:rPr>
                <w:rFonts w:cs="Times New Roman"/>
                <w:sz w:val="22"/>
              </w:rPr>
            </w:pPr>
            <w:r>
              <w:rPr>
                <w:rFonts w:cs="Times New Roman"/>
                <w:sz w:val="22"/>
              </w:rPr>
              <w:t>-0.119***</w:t>
            </w:r>
          </w:p>
        </w:tc>
        <w:tc>
          <w:tcPr>
            <w:tcW w:w="1585" w:type="dxa"/>
            <w:tcBorders/>
          </w:tcPr>
          <w:p>
            <w:pPr>
              <w:pStyle w:val="Normal"/>
              <w:widowControl w:val="false"/>
              <w:spacing w:lineRule="auto" w:line="240" w:before="0" w:after="0"/>
              <w:jc w:val="center"/>
              <w:rPr>
                <w:rFonts w:cs="Times New Roman"/>
                <w:sz w:val="22"/>
              </w:rPr>
            </w:pPr>
            <w:r>
              <w:rPr>
                <w:rFonts w:cs="Times New Roman"/>
                <w:sz w:val="22"/>
              </w:rPr>
              <w:t>-0.119***</w:t>
            </w:r>
          </w:p>
        </w:tc>
      </w:tr>
      <w:tr>
        <w:trPr/>
        <w:tc>
          <w:tcPr>
            <w:tcW w:w="2523" w:type="dxa"/>
            <w:tcBorders/>
          </w:tcPr>
          <w:p>
            <w:pPr>
              <w:pStyle w:val="Normal"/>
              <w:widowControl w:val="false"/>
              <w:spacing w:lineRule="auto" w:line="240" w:before="0" w:after="0"/>
              <w:rPr>
                <w:rFonts w:cs="Times New Roman"/>
                <w:sz w:val="22"/>
              </w:rPr>
            </w:pPr>
            <w:r>
              <w:rPr>
                <w:rFonts w:cs="Times New Roman"/>
                <w:sz w:val="22"/>
              </w:rPr>
            </w:r>
          </w:p>
        </w:tc>
        <w:tc>
          <w:tcPr>
            <w:tcW w:w="2159" w:type="dxa"/>
            <w:tcBorders/>
          </w:tcPr>
          <w:p>
            <w:pPr>
              <w:pStyle w:val="Normal"/>
              <w:widowControl w:val="false"/>
              <w:spacing w:lineRule="auto" w:line="240" w:before="0" w:after="0"/>
              <w:jc w:val="center"/>
              <w:rPr>
                <w:rFonts w:cs="Times New Roman"/>
                <w:sz w:val="22"/>
              </w:rPr>
            </w:pPr>
            <w:r>
              <w:rPr>
                <w:rFonts w:cs="Times New Roman"/>
                <w:sz w:val="22"/>
              </w:rPr>
              <w:t>(0.0398)</w:t>
            </w:r>
          </w:p>
        </w:tc>
        <w:tc>
          <w:tcPr>
            <w:tcW w:w="1440" w:type="dxa"/>
            <w:tcBorders/>
          </w:tcPr>
          <w:p>
            <w:pPr>
              <w:pStyle w:val="Normal"/>
              <w:widowControl w:val="false"/>
              <w:spacing w:lineRule="auto" w:line="240" w:before="0" w:after="0"/>
              <w:jc w:val="center"/>
              <w:rPr>
                <w:rFonts w:cs="Times New Roman"/>
                <w:sz w:val="22"/>
              </w:rPr>
            </w:pPr>
            <w:r>
              <w:rPr>
                <w:rFonts w:cs="Times New Roman"/>
                <w:sz w:val="22"/>
              </w:rPr>
              <w:t>(0.0397)</w:t>
            </w:r>
          </w:p>
        </w:tc>
        <w:tc>
          <w:tcPr>
            <w:tcW w:w="1584" w:type="dxa"/>
            <w:tcBorders/>
          </w:tcPr>
          <w:p>
            <w:pPr>
              <w:pStyle w:val="Normal"/>
              <w:widowControl w:val="false"/>
              <w:spacing w:lineRule="auto" w:line="240" w:before="0" w:after="0"/>
              <w:jc w:val="center"/>
              <w:rPr>
                <w:rFonts w:cs="Times New Roman"/>
                <w:sz w:val="22"/>
              </w:rPr>
            </w:pPr>
            <w:r>
              <w:rPr>
                <w:rFonts w:cs="Times New Roman"/>
                <w:sz w:val="22"/>
              </w:rPr>
              <w:t>(0.0399)</w:t>
            </w:r>
          </w:p>
        </w:tc>
        <w:tc>
          <w:tcPr>
            <w:tcW w:w="1585" w:type="dxa"/>
            <w:tcBorders/>
          </w:tcPr>
          <w:p>
            <w:pPr>
              <w:pStyle w:val="Normal"/>
              <w:widowControl w:val="false"/>
              <w:spacing w:lineRule="auto" w:line="240" w:before="0" w:after="0"/>
              <w:jc w:val="center"/>
              <w:rPr>
                <w:rFonts w:cs="Times New Roman"/>
                <w:sz w:val="22"/>
              </w:rPr>
            </w:pPr>
            <w:r>
              <w:rPr>
                <w:rFonts w:cs="Times New Roman"/>
                <w:sz w:val="22"/>
              </w:rPr>
              <w:t>(0.0394)</w:t>
            </w:r>
          </w:p>
        </w:tc>
      </w:tr>
      <w:tr>
        <w:trPr/>
        <w:tc>
          <w:tcPr>
            <w:tcW w:w="2523" w:type="dxa"/>
            <w:tcBorders/>
          </w:tcPr>
          <w:p>
            <w:pPr>
              <w:pStyle w:val="Normal"/>
              <w:widowControl w:val="false"/>
              <w:spacing w:lineRule="auto" w:line="240" w:before="0" w:after="0"/>
              <w:rPr>
                <w:rFonts w:cs="Times New Roman"/>
                <w:sz w:val="22"/>
              </w:rPr>
            </w:pPr>
            <w:r>
              <w:rPr>
                <w:rFonts w:cs="Times New Roman"/>
                <w:sz w:val="22"/>
              </w:rPr>
              <w:t>Sekundær</w:t>
            </w:r>
          </w:p>
        </w:tc>
        <w:tc>
          <w:tcPr>
            <w:tcW w:w="2159" w:type="dxa"/>
            <w:tcBorders/>
          </w:tcPr>
          <w:p>
            <w:pPr>
              <w:pStyle w:val="Normal"/>
              <w:widowControl w:val="false"/>
              <w:spacing w:lineRule="auto" w:line="240" w:before="0" w:after="0"/>
              <w:jc w:val="center"/>
              <w:rPr>
                <w:rFonts w:cs="Times New Roman"/>
                <w:sz w:val="22"/>
              </w:rPr>
            </w:pPr>
            <w:r>
              <w:rPr>
                <w:rFonts w:cs="Times New Roman"/>
                <w:sz w:val="22"/>
              </w:rPr>
              <w:t>-0.200***</w:t>
            </w:r>
          </w:p>
        </w:tc>
        <w:tc>
          <w:tcPr>
            <w:tcW w:w="1440" w:type="dxa"/>
            <w:tcBorders/>
          </w:tcPr>
          <w:p>
            <w:pPr>
              <w:pStyle w:val="Normal"/>
              <w:widowControl w:val="false"/>
              <w:spacing w:lineRule="auto" w:line="240" w:before="0" w:after="0"/>
              <w:jc w:val="center"/>
              <w:rPr>
                <w:rFonts w:cs="Times New Roman"/>
                <w:sz w:val="22"/>
              </w:rPr>
            </w:pPr>
            <w:r>
              <w:rPr>
                <w:rFonts w:cs="Times New Roman"/>
                <w:sz w:val="22"/>
              </w:rPr>
              <w:t>-0.200***</w:t>
            </w:r>
          </w:p>
        </w:tc>
        <w:tc>
          <w:tcPr>
            <w:tcW w:w="1584" w:type="dxa"/>
            <w:tcBorders/>
          </w:tcPr>
          <w:p>
            <w:pPr>
              <w:pStyle w:val="Normal"/>
              <w:widowControl w:val="false"/>
              <w:spacing w:lineRule="auto" w:line="240" w:before="0" w:after="0"/>
              <w:jc w:val="center"/>
              <w:rPr>
                <w:rFonts w:cs="Times New Roman"/>
                <w:sz w:val="22"/>
              </w:rPr>
            </w:pPr>
            <w:r>
              <w:rPr>
                <w:rFonts w:cs="Times New Roman"/>
                <w:sz w:val="22"/>
              </w:rPr>
              <w:t>-0.201***</w:t>
            </w:r>
          </w:p>
        </w:tc>
        <w:tc>
          <w:tcPr>
            <w:tcW w:w="1585" w:type="dxa"/>
            <w:tcBorders/>
          </w:tcPr>
          <w:p>
            <w:pPr>
              <w:pStyle w:val="Normal"/>
              <w:widowControl w:val="false"/>
              <w:spacing w:lineRule="auto" w:line="240" w:before="0" w:after="0"/>
              <w:jc w:val="center"/>
              <w:rPr>
                <w:rFonts w:cs="Times New Roman"/>
                <w:sz w:val="22"/>
              </w:rPr>
            </w:pPr>
            <w:r>
              <w:rPr>
                <w:rFonts w:cs="Times New Roman"/>
                <w:sz w:val="22"/>
              </w:rPr>
              <w:t>-0.203***</w:t>
            </w:r>
          </w:p>
        </w:tc>
      </w:tr>
      <w:tr>
        <w:trPr/>
        <w:tc>
          <w:tcPr>
            <w:tcW w:w="2523" w:type="dxa"/>
            <w:tcBorders/>
          </w:tcPr>
          <w:p>
            <w:pPr>
              <w:pStyle w:val="Normal"/>
              <w:widowControl w:val="false"/>
              <w:spacing w:lineRule="auto" w:line="240" w:before="0" w:after="0"/>
              <w:rPr>
                <w:rFonts w:cs="Times New Roman"/>
                <w:sz w:val="22"/>
              </w:rPr>
            </w:pPr>
            <w:r>
              <w:rPr>
                <w:rFonts w:cs="Times New Roman"/>
                <w:sz w:val="22"/>
              </w:rPr>
            </w:r>
          </w:p>
        </w:tc>
        <w:tc>
          <w:tcPr>
            <w:tcW w:w="2159" w:type="dxa"/>
            <w:tcBorders/>
          </w:tcPr>
          <w:p>
            <w:pPr>
              <w:pStyle w:val="Normal"/>
              <w:widowControl w:val="false"/>
              <w:spacing w:lineRule="auto" w:line="240" w:before="0" w:after="0"/>
              <w:jc w:val="center"/>
              <w:rPr>
                <w:rFonts w:cs="Times New Roman"/>
                <w:sz w:val="22"/>
              </w:rPr>
            </w:pPr>
            <w:r>
              <w:rPr>
                <w:rFonts w:cs="Times New Roman"/>
                <w:sz w:val="22"/>
              </w:rPr>
              <w:t>(0.0621)</w:t>
            </w:r>
          </w:p>
        </w:tc>
        <w:tc>
          <w:tcPr>
            <w:tcW w:w="1440" w:type="dxa"/>
            <w:tcBorders/>
          </w:tcPr>
          <w:p>
            <w:pPr>
              <w:pStyle w:val="Normal"/>
              <w:widowControl w:val="false"/>
              <w:spacing w:lineRule="auto" w:line="240" w:before="0" w:after="0"/>
              <w:jc w:val="center"/>
              <w:rPr>
                <w:rFonts w:cs="Times New Roman"/>
                <w:sz w:val="22"/>
              </w:rPr>
            </w:pPr>
            <w:r>
              <w:rPr>
                <w:rFonts w:cs="Times New Roman"/>
                <w:sz w:val="22"/>
              </w:rPr>
              <w:t>(0.0621)</w:t>
            </w:r>
          </w:p>
        </w:tc>
        <w:tc>
          <w:tcPr>
            <w:tcW w:w="1584" w:type="dxa"/>
            <w:tcBorders/>
          </w:tcPr>
          <w:p>
            <w:pPr>
              <w:pStyle w:val="Normal"/>
              <w:widowControl w:val="false"/>
              <w:spacing w:lineRule="auto" w:line="240" w:before="0" w:after="0"/>
              <w:jc w:val="center"/>
              <w:rPr>
                <w:rFonts w:cs="Times New Roman"/>
                <w:sz w:val="22"/>
              </w:rPr>
            </w:pPr>
            <w:r>
              <w:rPr>
                <w:rFonts w:cs="Times New Roman"/>
                <w:sz w:val="22"/>
              </w:rPr>
              <w:t>(0.0621)</w:t>
            </w:r>
          </w:p>
        </w:tc>
        <w:tc>
          <w:tcPr>
            <w:tcW w:w="1585" w:type="dxa"/>
            <w:tcBorders/>
          </w:tcPr>
          <w:p>
            <w:pPr>
              <w:pStyle w:val="Normal"/>
              <w:widowControl w:val="false"/>
              <w:spacing w:lineRule="auto" w:line="240" w:before="0" w:after="0"/>
              <w:jc w:val="center"/>
              <w:rPr>
                <w:rFonts w:cs="Times New Roman"/>
                <w:sz w:val="22"/>
              </w:rPr>
            </w:pPr>
            <w:r>
              <w:rPr>
                <w:rFonts w:cs="Times New Roman"/>
                <w:sz w:val="22"/>
              </w:rPr>
              <w:t>(0.0619)</w:t>
            </w:r>
          </w:p>
        </w:tc>
      </w:tr>
      <w:tr>
        <w:trPr/>
        <w:tc>
          <w:tcPr>
            <w:tcW w:w="2523" w:type="dxa"/>
            <w:tcBorders/>
          </w:tcPr>
          <w:p>
            <w:pPr>
              <w:pStyle w:val="Normal"/>
              <w:widowControl w:val="false"/>
              <w:spacing w:lineRule="auto" w:line="240" w:before="0" w:after="0"/>
              <w:rPr>
                <w:rFonts w:cs="Times New Roman"/>
                <w:sz w:val="22"/>
              </w:rPr>
            </w:pPr>
            <w:r>
              <w:rPr>
                <w:rFonts w:cs="Times New Roman"/>
                <w:sz w:val="22"/>
              </w:rPr>
              <w:t>Post-sekundær</w:t>
            </w:r>
          </w:p>
        </w:tc>
        <w:tc>
          <w:tcPr>
            <w:tcW w:w="2159" w:type="dxa"/>
            <w:tcBorders/>
          </w:tcPr>
          <w:p>
            <w:pPr>
              <w:pStyle w:val="Normal"/>
              <w:widowControl w:val="false"/>
              <w:spacing w:lineRule="auto" w:line="240" w:before="0" w:after="0"/>
              <w:jc w:val="center"/>
              <w:rPr>
                <w:rFonts w:cs="Times New Roman"/>
                <w:sz w:val="22"/>
              </w:rPr>
            </w:pPr>
            <w:r>
              <w:rPr>
                <w:rFonts w:cs="Times New Roman"/>
                <w:sz w:val="22"/>
              </w:rPr>
              <w:t>-0.265***</w:t>
            </w:r>
          </w:p>
        </w:tc>
        <w:tc>
          <w:tcPr>
            <w:tcW w:w="1440" w:type="dxa"/>
            <w:tcBorders/>
          </w:tcPr>
          <w:p>
            <w:pPr>
              <w:pStyle w:val="Normal"/>
              <w:widowControl w:val="false"/>
              <w:spacing w:lineRule="auto" w:line="240" w:before="0" w:after="0"/>
              <w:jc w:val="center"/>
              <w:rPr>
                <w:rFonts w:cs="Times New Roman"/>
                <w:sz w:val="22"/>
              </w:rPr>
            </w:pPr>
            <w:r>
              <w:rPr>
                <w:rFonts w:cs="Times New Roman"/>
                <w:sz w:val="22"/>
              </w:rPr>
              <w:t>-0.265***</w:t>
            </w:r>
          </w:p>
        </w:tc>
        <w:tc>
          <w:tcPr>
            <w:tcW w:w="1584" w:type="dxa"/>
            <w:tcBorders/>
          </w:tcPr>
          <w:p>
            <w:pPr>
              <w:pStyle w:val="Normal"/>
              <w:widowControl w:val="false"/>
              <w:spacing w:lineRule="auto" w:line="240" w:before="0" w:after="0"/>
              <w:jc w:val="center"/>
              <w:rPr>
                <w:rFonts w:cs="Times New Roman"/>
                <w:sz w:val="22"/>
              </w:rPr>
            </w:pPr>
            <w:r>
              <w:rPr>
                <w:rFonts w:cs="Times New Roman"/>
                <w:sz w:val="22"/>
              </w:rPr>
              <w:t>-0.266***</w:t>
            </w:r>
          </w:p>
        </w:tc>
        <w:tc>
          <w:tcPr>
            <w:tcW w:w="1585" w:type="dxa"/>
            <w:tcBorders/>
          </w:tcPr>
          <w:p>
            <w:pPr>
              <w:pStyle w:val="Normal"/>
              <w:widowControl w:val="false"/>
              <w:spacing w:lineRule="auto" w:line="240" w:before="0" w:after="0"/>
              <w:jc w:val="center"/>
              <w:rPr>
                <w:rFonts w:cs="Times New Roman"/>
                <w:sz w:val="22"/>
              </w:rPr>
            </w:pPr>
            <w:r>
              <w:rPr>
                <w:rFonts w:cs="Times New Roman"/>
                <w:sz w:val="22"/>
              </w:rPr>
              <w:t>-0.269***</w:t>
            </w:r>
          </w:p>
        </w:tc>
      </w:tr>
      <w:tr>
        <w:trPr/>
        <w:tc>
          <w:tcPr>
            <w:tcW w:w="2523" w:type="dxa"/>
            <w:tcBorders/>
          </w:tcPr>
          <w:p>
            <w:pPr>
              <w:pStyle w:val="Normal"/>
              <w:widowControl w:val="false"/>
              <w:spacing w:lineRule="auto" w:line="240" w:before="0" w:after="0"/>
              <w:rPr>
                <w:rFonts w:cs="Times New Roman"/>
                <w:sz w:val="22"/>
              </w:rPr>
            </w:pPr>
            <w:r>
              <w:rPr>
                <w:rFonts w:cs="Times New Roman"/>
                <w:sz w:val="22"/>
              </w:rPr>
            </w:r>
          </w:p>
        </w:tc>
        <w:tc>
          <w:tcPr>
            <w:tcW w:w="2159" w:type="dxa"/>
            <w:tcBorders/>
          </w:tcPr>
          <w:p>
            <w:pPr>
              <w:pStyle w:val="Normal"/>
              <w:widowControl w:val="false"/>
              <w:spacing w:lineRule="auto" w:line="240" w:before="0" w:after="0"/>
              <w:jc w:val="center"/>
              <w:rPr>
                <w:rFonts w:cs="Times New Roman"/>
                <w:sz w:val="22"/>
              </w:rPr>
            </w:pPr>
            <w:r>
              <w:rPr>
                <w:rFonts w:cs="Times New Roman"/>
                <w:sz w:val="22"/>
              </w:rPr>
              <w:t>(0.0792)</w:t>
            </w:r>
          </w:p>
        </w:tc>
        <w:tc>
          <w:tcPr>
            <w:tcW w:w="1440" w:type="dxa"/>
            <w:tcBorders/>
          </w:tcPr>
          <w:p>
            <w:pPr>
              <w:pStyle w:val="Normal"/>
              <w:widowControl w:val="false"/>
              <w:spacing w:lineRule="auto" w:line="240" w:before="0" w:after="0"/>
              <w:jc w:val="center"/>
              <w:rPr>
                <w:rFonts w:cs="Times New Roman"/>
                <w:sz w:val="22"/>
              </w:rPr>
            </w:pPr>
            <w:r>
              <w:rPr>
                <w:rFonts w:cs="Times New Roman"/>
                <w:sz w:val="22"/>
              </w:rPr>
              <w:t>(0.0793)</w:t>
            </w:r>
          </w:p>
        </w:tc>
        <w:tc>
          <w:tcPr>
            <w:tcW w:w="1584" w:type="dxa"/>
            <w:tcBorders/>
          </w:tcPr>
          <w:p>
            <w:pPr>
              <w:pStyle w:val="Normal"/>
              <w:widowControl w:val="false"/>
              <w:spacing w:lineRule="auto" w:line="240" w:before="0" w:after="0"/>
              <w:jc w:val="center"/>
              <w:rPr>
                <w:rFonts w:cs="Times New Roman"/>
                <w:sz w:val="22"/>
              </w:rPr>
            </w:pPr>
            <w:r>
              <w:rPr>
                <w:rFonts w:cs="Times New Roman"/>
                <w:sz w:val="22"/>
              </w:rPr>
              <w:t>(0.0797)</w:t>
            </w:r>
          </w:p>
        </w:tc>
        <w:tc>
          <w:tcPr>
            <w:tcW w:w="1585" w:type="dxa"/>
            <w:tcBorders/>
          </w:tcPr>
          <w:p>
            <w:pPr>
              <w:pStyle w:val="Normal"/>
              <w:widowControl w:val="false"/>
              <w:spacing w:lineRule="auto" w:line="240" w:before="0" w:after="0"/>
              <w:jc w:val="center"/>
              <w:rPr>
                <w:rFonts w:cs="Times New Roman"/>
                <w:sz w:val="22"/>
              </w:rPr>
            </w:pPr>
            <w:r>
              <w:rPr>
                <w:rFonts w:cs="Times New Roman"/>
                <w:sz w:val="22"/>
              </w:rPr>
              <w:t>(0.0801)</w:t>
            </w:r>
          </w:p>
        </w:tc>
      </w:tr>
      <w:tr>
        <w:trPr/>
        <w:tc>
          <w:tcPr>
            <w:tcW w:w="2523" w:type="dxa"/>
            <w:tcBorders/>
          </w:tcPr>
          <w:p>
            <w:pPr>
              <w:pStyle w:val="Normal"/>
              <w:widowControl w:val="false"/>
              <w:spacing w:lineRule="auto" w:line="240" w:before="0" w:after="0"/>
              <w:rPr>
                <w:rFonts w:cs="Times New Roman"/>
                <w:sz w:val="22"/>
              </w:rPr>
            </w:pPr>
            <w:r>
              <w:rPr>
                <w:rFonts w:cs="Times New Roman"/>
                <w:sz w:val="22"/>
              </w:rPr>
              <w:t>Constant</w:t>
            </w:r>
          </w:p>
        </w:tc>
        <w:tc>
          <w:tcPr>
            <w:tcW w:w="2159" w:type="dxa"/>
            <w:tcBorders/>
          </w:tcPr>
          <w:p>
            <w:pPr>
              <w:pStyle w:val="Normal"/>
              <w:widowControl w:val="false"/>
              <w:spacing w:lineRule="auto" w:line="240" w:before="0" w:after="0"/>
              <w:jc w:val="center"/>
              <w:rPr>
                <w:rFonts w:cs="Times New Roman"/>
                <w:sz w:val="22"/>
              </w:rPr>
            </w:pPr>
            <w:r>
              <w:rPr>
                <w:rFonts w:cs="Times New Roman"/>
                <w:sz w:val="22"/>
              </w:rPr>
              <w:t>2.747***</w:t>
            </w:r>
          </w:p>
        </w:tc>
        <w:tc>
          <w:tcPr>
            <w:tcW w:w="1440" w:type="dxa"/>
            <w:tcBorders/>
          </w:tcPr>
          <w:p>
            <w:pPr>
              <w:pStyle w:val="Normal"/>
              <w:widowControl w:val="false"/>
              <w:spacing w:lineRule="auto" w:line="240" w:before="0" w:after="0"/>
              <w:jc w:val="center"/>
              <w:rPr>
                <w:rFonts w:cs="Times New Roman"/>
                <w:sz w:val="22"/>
              </w:rPr>
            </w:pPr>
            <w:r>
              <w:rPr>
                <w:rFonts w:cs="Times New Roman"/>
                <w:sz w:val="22"/>
              </w:rPr>
              <w:t>2.736***</w:t>
            </w:r>
          </w:p>
        </w:tc>
        <w:tc>
          <w:tcPr>
            <w:tcW w:w="1584" w:type="dxa"/>
            <w:tcBorders/>
          </w:tcPr>
          <w:p>
            <w:pPr>
              <w:pStyle w:val="Normal"/>
              <w:widowControl w:val="false"/>
              <w:spacing w:lineRule="auto" w:line="240" w:before="0" w:after="0"/>
              <w:jc w:val="center"/>
              <w:rPr>
                <w:rFonts w:cs="Times New Roman"/>
                <w:sz w:val="22"/>
              </w:rPr>
            </w:pPr>
            <w:r>
              <w:rPr>
                <w:rFonts w:cs="Times New Roman"/>
                <w:sz w:val="22"/>
              </w:rPr>
              <w:t>2.753***</w:t>
            </w:r>
          </w:p>
        </w:tc>
        <w:tc>
          <w:tcPr>
            <w:tcW w:w="1585" w:type="dxa"/>
            <w:tcBorders/>
          </w:tcPr>
          <w:p>
            <w:pPr>
              <w:pStyle w:val="Normal"/>
              <w:widowControl w:val="false"/>
              <w:spacing w:lineRule="auto" w:line="240" w:before="0" w:after="0"/>
              <w:jc w:val="center"/>
              <w:rPr>
                <w:rFonts w:cs="Times New Roman"/>
                <w:sz w:val="22"/>
              </w:rPr>
            </w:pPr>
            <w:r>
              <w:rPr>
                <w:rFonts w:cs="Times New Roman"/>
                <w:sz w:val="22"/>
              </w:rPr>
              <w:t>2.756***</w:t>
            </w:r>
          </w:p>
        </w:tc>
      </w:tr>
      <w:tr>
        <w:trPr/>
        <w:tc>
          <w:tcPr>
            <w:tcW w:w="2523" w:type="dxa"/>
            <w:tcBorders/>
          </w:tcPr>
          <w:p>
            <w:pPr>
              <w:pStyle w:val="Normal"/>
              <w:widowControl w:val="false"/>
              <w:spacing w:lineRule="auto" w:line="240" w:before="0" w:after="0"/>
              <w:rPr>
                <w:rFonts w:cs="Times New Roman"/>
                <w:sz w:val="22"/>
              </w:rPr>
            </w:pPr>
            <w:r>
              <w:rPr>
                <w:rFonts w:cs="Times New Roman"/>
                <w:sz w:val="22"/>
              </w:rPr>
            </w:r>
          </w:p>
        </w:tc>
        <w:tc>
          <w:tcPr>
            <w:tcW w:w="2159" w:type="dxa"/>
            <w:tcBorders/>
          </w:tcPr>
          <w:p>
            <w:pPr>
              <w:pStyle w:val="Normal"/>
              <w:widowControl w:val="false"/>
              <w:spacing w:lineRule="auto" w:line="240" w:before="0" w:after="0"/>
              <w:jc w:val="center"/>
              <w:rPr>
                <w:rFonts w:cs="Times New Roman"/>
                <w:sz w:val="22"/>
              </w:rPr>
            </w:pPr>
            <w:r>
              <w:rPr>
                <w:rFonts w:cs="Times New Roman"/>
                <w:sz w:val="22"/>
              </w:rPr>
              <w:t>(0.133)</w:t>
            </w:r>
          </w:p>
        </w:tc>
        <w:tc>
          <w:tcPr>
            <w:tcW w:w="1440" w:type="dxa"/>
            <w:tcBorders/>
          </w:tcPr>
          <w:p>
            <w:pPr>
              <w:pStyle w:val="Normal"/>
              <w:widowControl w:val="false"/>
              <w:spacing w:lineRule="auto" w:line="240" w:before="0" w:after="0"/>
              <w:jc w:val="center"/>
              <w:rPr>
                <w:rFonts w:cs="Times New Roman"/>
                <w:sz w:val="22"/>
              </w:rPr>
            </w:pPr>
            <w:r>
              <w:rPr>
                <w:rFonts w:cs="Times New Roman"/>
                <w:sz w:val="22"/>
              </w:rPr>
              <w:t>(0.116)</w:t>
            </w:r>
          </w:p>
        </w:tc>
        <w:tc>
          <w:tcPr>
            <w:tcW w:w="1584" w:type="dxa"/>
            <w:tcBorders/>
          </w:tcPr>
          <w:p>
            <w:pPr>
              <w:pStyle w:val="Normal"/>
              <w:widowControl w:val="false"/>
              <w:spacing w:lineRule="auto" w:line="240" w:before="0" w:after="0"/>
              <w:jc w:val="center"/>
              <w:rPr>
                <w:rFonts w:cs="Times New Roman"/>
                <w:sz w:val="22"/>
              </w:rPr>
            </w:pPr>
            <w:r>
              <w:rPr>
                <w:rFonts w:cs="Times New Roman"/>
                <w:sz w:val="22"/>
              </w:rPr>
              <w:t>(0.134)</w:t>
            </w:r>
          </w:p>
        </w:tc>
        <w:tc>
          <w:tcPr>
            <w:tcW w:w="1585" w:type="dxa"/>
            <w:tcBorders/>
          </w:tcPr>
          <w:p>
            <w:pPr>
              <w:pStyle w:val="Normal"/>
              <w:widowControl w:val="false"/>
              <w:spacing w:lineRule="auto" w:line="240" w:before="0" w:after="0"/>
              <w:jc w:val="center"/>
              <w:rPr>
                <w:rFonts w:cs="Times New Roman"/>
                <w:sz w:val="22"/>
              </w:rPr>
            </w:pPr>
            <w:r>
              <w:rPr>
                <w:rFonts w:cs="Times New Roman"/>
                <w:sz w:val="22"/>
              </w:rPr>
              <w:t>(0.118)</w:t>
            </w:r>
          </w:p>
        </w:tc>
      </w:tr>
      <w:tr>
        <w:trPr/>
        <w:tc>
          <w:tcPr>
            <w:tcW w:w="2523" w:type="dxa"/>
            <w:tcBorders/>
          </w:tcPr>
          <w:p>
            <w:pPr>
              <w:pStyle w:val="Normal"/>
              <w:widowControl w:val="false"/>
              <w:spacing w:lineRule="auto" w:line="240" w:before="0" w:after="0"/>
              <w:rPr>
                <w:rFonts w:cs="Times New Roman"/>
                <w:sz w:val="22"/>
              </w:rPr>
            </w:pPr>
            <w:r>
              <w:rPr>
                <w:rFonts w:cs="Times New Roman"/>
                <w:sz w:val="22"/>
              </w:rPr>
            </w:r>
          </w:p>
        </w:tc>
        <w:tc>
          <w:tcPr>
            <w:tcW w:w="2159" w:type="dxa"/>
            <w:tcBorders/>
          </w:tcPr>
          <w:p>
            <w:pPr>
              <w:pStyle w:val="Normal"/>
              <w:widowControl w:val="false"/>
              <w:spacing w:lineRule="auto" w:line="240" w:before="0" w:after="0"/>
              <w:jc w:val="center"/>
              <w:rPr>
                <w:rFonts w:cs="Times New Roman"/>
                <w:sz w:val="22"/>
              </w:rPr>
            </w:pPr>
            <w:r>
              <w:rPr>
                <w:rFonts w:cs="Times New Roman"/>
                <w:sz w:val="22"/>
              </w:rPr>
            </w:r>
          </w:p>
        </w:tc>
        <w:tc>
          <w:tcPr>
            <w:tcW w:w="1440" w:type="dxa"/>
            <w:tcBorders/>
          </w:tcPr>
          <w:p>
            <w:pPr>
              <w:pStyle w:val="Normal"/>
              <w:widowControl w:val="false"/>
              <w:spacing w:lineRule="auto" w:line="240" w:before="0" w:after="0"/>
              <w:jc w:val="center"/>
              <w:rPr>
                <w:rFonts w:cs="Times New Roman"/>
                <w:sz w:val="22"/>
              </w:rPr>
            </w:pPr>
            <w:r>
              <w:rPr>
                <w:rFonts w:cs="Times New Roman"/>
                <w:sz w:val="22"/>
              </w:rPr>
            </w:r>
          </w:p>
        </w:tc>
        <w:tc>
          <w:tcPr>
            <w:tcW w:w="1584" w:type="dxa"/>
            <w:tcBorders/>
          </w:tcPr>
          <w:p>
            <w:pPr>
              <w:pStyle w:val="Normal"/>
              <w:widowControl w:val="false"/>
              <w:spacing w:lineRule="auto" w:line="240" w:before="0" w:after="0"/>
              <w:jc w:val="center"/>
              <w:rPr>
                <w:rFonts w:cs="Times New Roman"/>
                <w:sz w:val="22"/>
              </w:rPr>
            </w:pPr>
            <w:r>
              <w:rPr>
                <w:rFonts w:cs="Times New Roman"/>
                <w:sz w:val="22"/>
              </w:rPr>
            </w:r>
          </w:p>
        </w:tc>
        <w:tc>
          <w:tcPr>
            <w:tcW w:w="1585" w:type="dxa"/>
            <w:tcBorders/>
          </w:tcPr>
          <w:p>
            <w:pPr>
              <w:pStyle w:val="Normal"/>
              <w:widowControl w:val="false"/>
              <w:spacing w:lineRule="auto" w:line="240" w:before="0" w:after="0"/>
              <w:jc w:val="center"/>
              <w:rPr>
                <w:rFonts w:cs="Times New Roman"/>
                <w:sz w:val="22"/>
              </w:rPr>
            </w:pPr>
            <w:r>
              <w:rPr>
                <w:rFonts w:cs="Times New Roman"/>
                <w:sz w:val="22"/>
              </w:rPr>
            </w:r>
          </w:p>
        </w:tc>
      </w:tr>
      <w:tr>
        <w:trPr/>
        <w:tc>
          <w:tcPr>
            <w:tcW w:w="2523" w:type="dxa"/>
            <w:tcBorders/>
          </w:tcPr>
          <w:p>
            <w:pPr>
              <w:pStyle w:val="Normal"/>
              <w:widowControl w:val="false"/>
              <w:spacing w:lineRule="auto" w:line="240" w:before="0" w:after="0"/>
              <w:rPr>
                <w:rFonts w:cs="Times New Roman"/>
                <w:sz w:val="22"/>
              </w:rPr>
            </w:pPr>
            <w:r>
              <w:rPr>
                <w:rFonts w:cs="Times New Roman"/>
                <w:sz w:val="22"/>
              </w:rPr>
              <w:t>N1</w:t>
            </w:r>
          </w:p>
        </w:tc>
        <w:tc>
          <w:tcPr>
            <w:tcW w:w="2159" w:type="dxa"/>
            <w:tcBorders/>
          </w:tcPr>
          <w:p>
            <w:pPr>
              <w:pStyle w:val="Normal"/>
              <w:widowControl w:val="false"/>
              <w:spacing w:lineRule="auto" w:line="240" w:before="0" w:after="0"/>
              <w:jc w:val="center"/>
              <w:rPr>
                <w:rFonts w:cs="Times New Roman"/>
                <w:sz w:val="22"/>
              </w:rPr>
            </w:pPr>
            <w:r>
              <w:rPr>
                <w:rFonts w:cs="Times New Roman"/>
                <w:sz w:val="22"/>
              </w:rPr>
              <w:t>29,485</w:t>
            </w:r>
          </w:p>
        </w:tc>
        <w:tc>
          <w:tcPr>
            <w:tcW w:w="1440" w:type="dxa"/>
            <w:tcBorders/>
          </w:tcPr>
          <w:p>
            <w:pPr>
              <w:pStyle w:val="Normal"/>
              <w:widowControl w:val="false"/>
              <w:spacing w:lineRule="auto" w:line="240" w:before="0" w:after="0"/>
              <w:jc w:val="center"/>
              <w:rPr>
                <w:rFonts w:cs="Times New Roman"/>
                <w:sz w:val="22"/>
              </w:rPr>
            </w:pPr>
            <w:r>
              <w:rPr>
                <w:rFonts w:cs="Times New Roman"/>
                <w:sz w:val="22"/>
              </w:rPr>
              <w:t>29,485</w:t>
            </w:r>
          </w:p>
        </w:tc>
        <w:tc>
          <w:tcPr>
            <w:tcW w:w="1584" w:type="dxa"/>
            <w:tcBorders/>
          </w:tcPr>
          <w:p>
            <w:pPr>
              <w:pStyle w:val="Normal"/>
              <w:widowControl w:val="false"/>
              <w:spacing w:lineRule="auto" w:line="240" w:before="0" w:after="0"/>
              <w:jc w:val="center"/>
              <w:rPr>
                <w:rFonts w:cs="Times New Roman"/>
                <w:sz w:val="22"/>
              </w:rPr>
            </w:pPr>
            <w:r>
              <w:rPr>
                <w:rFonts w:cs="Times New Roman"/>
                <w:sz w:val="22"/>
              </w:rPr>
              <w:t>29,485</w:t>
            </w:r>
          </w:p>
        </w:tc>
        <w:tc>
          <w:tcPr>
            <w:tcW w:w="1585" w:type="dxa"/>
            <w:tcBorders/>
          </w:tcPr>
          <w:p>
            <w:pPr>
              <w:pStyle w:val="Normal"/>
              <w:widowControl w:val="false"/>
              <w:spacing w:lineRule="auto" w:line="240" w:before="0" w:after="0"/>
              <w:jc w:val="center"/>
              <w:rPr>
                <w:rFonts w:cs="Times New Roman"/>
                <w:sz w:val="22"/>
              </w:rPr>
            </w:pPr>
            <w:r>
              <w:rPr>
                <w:rFonts w:cs="Times New Roman"/>
                <w:sz w:val="22"/>
              </w:rPr>
              <w:t>29,485</w:t>
            </w:r>
          </w:p>
        </w:tc>
      </w:tr>
      <w:tr>
        <w:trPr/>
        <w:tc>
          <w:tcPr>
            <w:tcW w:w="2523" w:type="dxa"/>
            <w:tcBorders>
              <w:bottom w:val="single" w:sz="6" w:space="0" w:color="000000"/>
            </w:tcBorders>
          </w:tcPr>
          <w:p>
            <w:pPr>
              <w:pStyle w:val="Normal"/>
              <w:widowControl w:val="false"/>
              <w:spacing w:lineRule="auto" w:line="240" w:before="0" w:after="0"/>
              <w:rPr>
                <w:rFonts w:cs="Times New Roman"/>
                <w:sz w:val="22"/>
              </w:rPr>
            </w:pPr>
            <w:r>
              <w:rPr>
                <w:rFonts w:cs="Times New Roman"/>
                <w:sz w:val="22"/>
              </w:rPr>
              <w:t>N2</w:t>
            </w:r>
          </w:p>
        </w:tc>
        <w:tc>
          <w:tcPr>
            <w:tcW w:w="2159" w:type="dxa"/>
            <w:tcBorders>
              <w:bottom w:val="single" w:sz="6" w:space="0" w:color="000000"/>
            </w:tcBorders>
          </w:tcPr>
          <w:p>
            <w:pPr>
              <w:pStyle w:val="Normal"/>
              <w:widowControl w:val="false"/>
              <w:spacing w:lineRule="auto" w:line="240" w:before="0" w:after="0"/>
              <w:jc w:val="center"/>
              <w:rPr>
                <w:rFonts w:cs="Times New Roman"/>
                <w:sz w:val="22"/>
              </w:rPr>
            </w:pPr>
            <w:r>
              <w:rPr>
                <w:rFonts w:cs="Times New Roman"/>
                <w:sz w:val="22"/>
              </w:rPr>
              <w:t>20</w:t>
            </w:r>
          </w:p>
        </w:tc>
        <w:tc>
          <w:tcPr>
            <w:tcW w:w="1440" w:type="dxa"/>
            <w:tcBorders>
              <w:bottom w:val="single" w:sz="6" w:space="0" w:color="000000"/>
            </w:tcBorders>
          </w:tcPr>
          <w:p>
            <w:pPr>
              <w:pStyle w:val="Normal"/>
              <w:widowControl w:val="false"/>
              <w:spacing w:lineRule="auto" w:line="240" w:before="0" w:after="0"/>
              <w:jc w:val="center"/>
              <w:rPr>
                <w:rFonts w:cs="Times New Roman"/>
                <w:sz w:val="22"/>
              </w:rPr>
            </w:pPr>
            <w:r>
              <w:rPr>
                <w:rFonts w:cs="Times New Roman"/>
                <w:sz w:val="22"/>
              </w:rPr>
              <w:t>20</w:t>
            </w:r>
          </w:p>
        </w:tc>
        <w:tc>
          <w:tcPr>
            <w:tcW w:w="1584" w:type="dxa"/>
            <w:tcBorders>
              <w:bottom w:val="single" w:sz="6" w:space="0" w:color="000000"/>
            </w:tcBorders>
          </w:tcPr>
          <w:p>
            <w:pPr>
              <w:pStyle w:val="Normal"/>
              <w:widowControl w:val="false"/>
              <w:spacing w:lineRule="auto" w:line="240" w:before="0" w:after="0"/>
              <w:jc w:val="center"/>
              <w:rPr>
                <w:rFonts w:cs="Times New Roman"/>
                <w:sz w:val="22"/>
              </w:rPr>
            </w:pPr>
            <w:r>
              <w:rPr>
                <w:rFonts w:cs="Times New Roman"/>
                <w:sz w:val="22"/>
              </w:rPr>
              <w:t>20</w:t>
            </w:r>
          </w:p>
        </w:tc>
        <w:tc>
          <w:tcPr>
            <w:tcW w:w="1585" w:type="dxa"/>
            <w:tcBorders>
              <w:bottom w:val="single" w:sz="6" w:space="0" w:color="000000"/>
            </w:tcBorders>
          </w:tcPr>
          <w:p>
            <w:pPr>
              <w:pStyle w:val="Normal"/>
              <w:widowControl w:val="false"/>
              <w:spacing w:lineRule="auto" w:line="240" w:before="0" w:after="0"/>
              <w:jc w:val="center"/>
              <w:rPr>
                <w:rFonts w:cs="Times New Roman"/>
                <w:sz w:val="22"/>
              </w:rPr>
            </w:pPr>
            <w:r>
              <w:rPr>
                <w:rFonts w:cs="Times New Roman"/>
                <w:sz w:val="22"/>
              </w:rPr>
              <w:t>20</w:t>
            </w:r>
          </w:p>
        </w:tc>
      </w:tr>
    </w:tbl>
    <w:p>
      <w:pPr>
        <w:pStyle w:val="Normal"/>
        <w:widowControl w:val="false"/>
        <w:spacing w:lineRule="auto" w:line="240" w:before="0" w:after="0"/>
        <w:jc w:val="center"/>
        <w:rPr/>
      </w:pPr>
      <w:r>
        <w:rPr>
          <w:rFonts w:cs="Times New Roman"/>
        </w:rPr>
        <w:t>Robuste s</w:t>
      </w:r>
      <w:r>
        <w:rPr>
          <w:rFonts w:cs="Times New Roman"/>
          <w:sz w:val="22"/>
        </w:rPr>
        <w:t>tandardfeil i parantes | *** p&lt;0.01, ** p&lt;0.05, * p&lt;0.1</w:t>
      </w:r>
      <w:r>
        <w:rPr>
          <w:sz w:val="22"/>
        </w:rPr>
        <w:t xml:space="preserve"> </w:t>
      </w:r>
      <w:r>
        <w:rPr>
          <w:rFonts w:cs="Times New Roman"/>
          <w:sz w:val="22"/>
        </w:rPr>
        <w:t>| 1: Flernivåregresjon med politisk maktdeling som frittstående variabel | 2: Flernivåregresjon med closed-list PR som frittstående variabel | 3: Flernivåregresjon med samspill mellom maktdeling og kvinne | 4: Flernivåregresjon med samspill mellom closed-list PR og kvinne | a: Nivå 2-variabel | b: Samspillsledd | c: Ingen formell utdanning er referansekategori</w:t>
      </w:r>
    </w:p>
    <w:p>
      <w:pPr>
        <w:pStyle w:val="Normal"/>
        <w:spacing w:lineRule="auto" w:line="360"/>
        <w:rPr/>
      </w:pPr>
      <w:r>
        <w:rPr/>
      </w:r>
    </w:p>
    <w:p>
      <w:pPr>
        <w:pStyle w:val="Normal"/>
        <w:spacing w:lineRule="auto" w:line="360"/>
        <w:rPr/>
      </w:pPr>
      <w:r>
        <w:rPr/>
        <w:t xml:space="preserve">I modell 5, 6 og 7 har vi ingen signifikante funn blant variablene som tester hypotesene. Det betyr at </w:t>
      </w:r>
      <w:r>
        <w:rPr>
          <w:i/>
          <w:iCs/>
        </w:rPr>
        <w:t>H1</w:t>
      </w:r>
      <w:r>
        <w:rPr/>
        <w:t xml:space="preserve">, </w:t>
      </w:r>
      <w:r>
        <w:rPr>
          <w:i/>
          <w:iCs/>
        </w:rPr>
        <w:t>H2b</w:t>
      </w:r>
      <w:r>
        <w:rPr/>
        <w:t xml:space="preserve"> og </w:t>
      </w:r>
      <w:r>
        <w:rPr>
          <w:i/>
          <w:iCs/>
        </w:rPr>
        <w:t>H3a</w:t>
      </w:r>
      <w:r>
        <w:rPr/>
        <w:t xml:space="preserve"> ikke blir støttet i tabell 18. I modell 8 er samspillsleddet mellom closed-list PR og kvinne statistisk signifikant på 5%-nivå. Funnet viser at kvinner har høyere politisk tillit i land med closed-list PR som institusjonsform sammenlignet med kvinner i land uten closed-list PR. Altså støttes </w:t>
      </w:r>
      <w:r>
        <w:rPr>
          <w:i/>
          <w:iCs/>
        </w:rPr>
        <w:t xml:space="preserve">H3b </w:t>
      </w:r>
      <w:r>
        <w:rPr/>
        <w:t>i henhold til modell 8. Dette funnet beholdes når modellen ikke er vektet</w:t>
      </w:r>
      <w:r>
        <w:rPr>
          <w:rStyle w:val="FootnoteAnchor"/>
        </w:rPr>
        <w:footnoteReference w:id="34"/>
      </w:r>
      <w:r>
        <w:rPr/>
        <w:t xml:space="preserve">. Da er samspillsleddet mellom kvinne og closed-list PR signifikant på 1%-nivå, i tillegg til at den frittstående variabelen for kvinne er signifikant på 5%-nivå med negativ koeffisient. Det vil si at kvinner i land uten closed-list PR er assosiert med lavere politisk tillit. </w:t>
      </w:r>
    </w:p>
    <w:p>
      <w:pPr>
        <w:pStyle w:val="Normal"/>
        <w:spacing w:lineRule="auto" w:line="360"/>
        <w:rPr/>
      </w:pPr>
      <w:r>
        <w:rPr/>
        <w:t xml:space="preserve">I tabell 23 inkluderes variabelen for politisk undertrykte grupper. Som tidligere forklart, vil disse modellene ha færre observasjoner på både nivå 1 og nivå 2. Tabellen består av to modeller. Modell 9 viser samspillsledd mellom politisk undertrykte grupper og maktdelingsland, og modell 10 viser samspillsledd mellom kvinner og maktdelingsland. Modell 9 vil derfor teste hypotese 2a: </w:t>
      </w:r>
      <w:r>
        <w:rPr>
          <w:i/>
          <w:iCs/>
        </w:rPr>
        <w:t xml:space="preserve">Politisk undertrykte etniske grupper har høyere politisk tillit i maktdelingsland sammenlignet med undertrykte grupper i land uten maktdeling. </w:t>
      </w:r>
      <w:r>
        <w:rPr>
          <w:color w:val="000000"/>
        </w:rPr>
        <w:t xml:space="preserve">Følgelig vil modell 10 teste hypotese 2b: </w:t>
      </w:r>
      <w:r>
        <w:rPr>
          <w:i/>
          <w:iCs/>
        </w:rPr>
        <w:t>Kvinner har høyere politisk tillit i maktdelingsland sammenlignet med kvinner i land uten maktdeling.</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Tabell 23: Samspillsledd mellom politisk maktdeling og 1: undertrykt; 2: kvinne (vektet)</w:t>
      </w:r>
      <w:r>
        <w:rPr>
          <w:rStyle w:val="FootnoteAnchor"/>
        </w:rPr>
        <w:footnoteReference w:id="35"/>
      </w:r>
    </w:p>
    <w:tbl>
      <w:tblPr>
        <w:tblW w:w="6987" w:type="dxa"/>
        <w:jc w:val="center"/>
        <w:tblInd w:w="0" w:type="dxa"/>
        <w:tblLayout w:type="fixed"/>
        <w:tblCellMar>
          <w:top w:w="0" w:type="dxa"/>
          <w:left w:w="75" w:type="dxa"/>
          <w:bottom w:w="0" w:type="dxa"/>
          <w:right w:w="75" w:type="dxa"/>
        </w:tblCellMar>
      </w:tblPr>
      <w:tblGrid>
        <w:gridCol w:w="3387"/>
        <w:gridCol w:w="2159"/>
        <w:gridCol w:w="1441"/>
      </w:tblGrid>
      <w:tr>
        <w:trPr/>
        <w:tc>
          <w:tcPr>
            <w:tcW w:w="3387" w:type="dxa"/>
            <w:tcBorders>
              <w:top w:val="single" w:sz="6" w:space="0" w:color="000000"/>
            </w:tcBorders>
          </w:tcPr>
          <w:p>
            <w:pPr>
              <w:pStyle w:val="Normal"/>
              <w:widowControl w:val="false"/>
              <w:spacing w:lineRule="auto" w:line="240" w:before="0" w:after="0"/>
              <w:rPr>
                <w:rFonts w:cs="Times New Roman"/>
                <w:szCs w:val="24"/>
              </w:rPr>
            </w:pPr>
            <w:r>
              <w:rPr>
                <w:rFonts w:cs="Times New Roman"/>
                <w:szCs w:val="24"/>
              </w:rPr>
            </w:r>
          </w:p>
        </w:tc>
        <w:tc>
          <w:tcPr>
            <w:tcW w:w="2159" w:type="dxa"/>
            <w:tcBorders>
              <w:top w:val="single" w:sz="6" w:space="0" w:color="000000"/>
            </w:tcBorders>
          </w:tcPr>
          <w:p>
            <w:pPr>
              <w:pStyle w:val="Normal"/>
              <w:widowControl w:val="false"/>
              <w:spacing w:lineRule="auto" w:line="240" w:before="0" w:after="0"/>
              <w:jc w:val="center"/>
              <w:rPr>
                <w:rFonts w:cs="Times New Roman"/>
                <w:szCs w:val="24"/>
              </w:rPr>
            </w:pPr>
            <w:r>
              <w:rPr>
                <w:rFonts w:cs="Times New Roman"/>
                <w:szCs w:val="24"/>
              </w:rPr>
              <w:t>(9)</w:t>
            </w:r>
          </w:p>
        </w:tc>
        <w:tc>
          <w:tcPr>
            <w:tcW w:w="1441" w:type="dxa"/>
            <w:tcBorders>
              <w:top w:val="single" w:sz="6" w:space="0" w:color="000000"/>
            </w:tcBorders>
          </w:tcPr>
          <w:p>
            <w:pPr>
              <w:pStyle w:val="Normal"/>
              <w:widowControl w:val="false"/>
              <w:spacing w:lineRule="auto" w:line="240" w:before="0" w:after="0"/>
              <w:jc w:val="center"/>
              <w:rPr>
                <w:rFonts w:cs="Times New Roman"/>
                <w:szCs w:val="24"/>
              </w:rPr>
            </w:pPr>
            <w:r>
              <w:rPr>
                <w:rFonts w:cs="Times New Roman"/>
                <w:szCs w:val="24"/>
              </w:rPr>
              <w:t>(10)</w:t>
            </w:r>
          </w:p>
        </w:tc>
      </w:tr>
      <w:tr>
        <w:trPr/>
        <w:tc>
          <w:tcPr>
            <w:tcW w:w="3387" w:type="dxa"/>
            <w:tcBorders>
              <w:bottom w:val="single" w:sz="6" w:space="0" w:color="000000"/>
            </w:tcBorders>
          </w:tcPr>
          <w:p>
            <w:pPr>
              <w:pStyle w:val="Normal"/>
              <w:widowControl w:val="false"/>
              <w:spacing w:lineRule="auto" w:line="240" w:before="0" w:after="0"/>
              <w:rPr>
                <w:rFonts w:cs="Times New Roman"/>
                <w:szCs w:val="24"/>
              </w:rPr>
            </w:pPr>
            <w:r>
              <w:rPr>
                <w:rFonts w:cs="Times New Roman"/>
                <w:szCs w:val="24"/>
              </w:rPr>
              <w:t>VARIABLER</w:t>
            </w:r>
          </w:p>
        </w:tc>
        <w:tc>
          <w:tcPr>
            <w:tcW w:w="2159" w:type="dxa"/>
            <w:tcBorders>
              <w:bottom w:val="single" w:sz="6" w:space="0" w:color="000000"/>
            </w:tcBorders>
          </w:tcPr>
          <w:p>
            <w:pPr>
              <w:pStyle w:val="Normal"/>
              <w:widowControl w:val="false"/>
              <w:spacing w:lineRule="auto" w:line="240" w:before="0" w:after="0"/>
              <w:jc w:val="center"/>
              <w:rPr>
                <w:rFonts w:cs="Times New Roman"/>
                <w:szCs w:val="24"/>
              </w:rPr>
            </w:pPr>
            <w:r>
              <w:rPr>
                <w:rFonts w:cs="Times New Roman"/>
                <w:szCs w:val="24"/>
              </w:rPr>
              <w:t>politisktillit</w:t>
            </w:r>
          </w:p>
        </w:tc>
        <w:tc>
          <w:tcPr>
            <w:tcW w:w="1441" w:type="dxa"/>
            <w:tcBorders>
              <w:bottom w:val="single" w:sz="6" w:space="0" w:color="000000"/>
            </w:tcBorders>
          </w:tcPr>
          <w:p>
            <w:pPr>
              <w:pStyle w:val="Normal"/>
              <w:widowControl w:val="false"/>
              <w:spacing w:lineRule="auto" w:line="240" w:before="0" w:after="0"/>
              <w:jc w:val="center"/>
              <w:rPr>
                <w:rFonts w:cs="Times New Roman"/>
                <w:szCs w:val="24"/>
              </w:rPr>
            </w:pPr>
            <w:r>
              <w:rPr>
                <w:rFonts w:cs="Times New Roman"/>
                <w:szCs w:val="24"/>
              </w:rPr>
              <w:t>politisktillit</w:t>
            </w:r>
          </w:p>
        </w:tc>
      </w:tr>
      <w:tr>
        <w:trPr/>
        <w:tc>
          <w:tcPr>
            <w:tcW w:w="3387" w:type="dxa"/>
            <w:tcBorders/>
          </w:tcPr>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r>
          </w:p>
        </w:tc>
      </w:tr>
      <w:tr>
        <w:trPr/>
        <w:tc>
          <w:tcPr>
            <w:tcW w:w="3387" w:type="dxa"/>
            <w:tcBorders/>
          </w:tcPr>
          <w:p>
            <w:pPr>
              <w:pStyle w:val="Normal"/>
              <w:widowControl w:val="false"/>
              <w:spacing w:lineRule="auto" w:line="240" w:before="0" w:after="0"/>
              <w:rPr>
                <w:rFonts w:cs="Times New Roman"/>
                <w:szCs w:val="24"/>
              </w:rPr>
            </w:pPr>
            <w:r>
              <w:rPr>
                <w:rFonts w:cs="Times New Roman"/>
                <w:szCs w:val="24"/>
              </w:rPr>
              <w:t>polps</w:t>
            </w:r>
            <w:r>
              <w:rPr>
                <w:rFonts w:cs="Times New Roman"/>
                <w:szCs w:val="24"/>
                <w:vertAlign w:val="superscript"/>
              </w:rPr>
              <w:t>a</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0.230</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0.052</w:t>
            </w:r>
          </w:p>
        </w:tc>
      </w:tr>
      <w:tr>
        <w:trPr/>
        <w:tc>
          <w:tcPr>
            <w:tcW w:w="3387" w:type="dxa"/>
            <w:tcBorders/>
          </w:tcPr>
          <w:p>
            <w:pPr>
              <w:pStyle w:val="Normal"/>
              <w:widowControl w:val="false"/>
              <w:spacing w:lineRule="auto" w:line="240" w:before="0" w:after="0"/>
              <w:rPr>
                <w:rFonts w:cs="Times New Roman"/>
                <w:szCs w:val="24"/>
              </w:rPr>
            </w:pPr>
            <w:r>
              <w:rPr>
                <w:rFonts w:cs="Times New Roman"/>
                <w:szCs w:val="24"/>
              </w:rPr>
            </w:r>
          </w:p>
          <w:p>
            <w:pPr>
              <w:pStyle w:val="Normal"/>
              <w:widowControl w:val="false"/>
              <w:spacing w:lineRule="auto" w:line="240" w:before="0" w:after="0"/>
              <w:rPr>
                <w:rFonts w:cs="Times New Roman"/>
                <w:szCs w:val="24"/>
              </w:rPr>
            </w:pPr>
            <w:r>
              <w:rPr>
                <w:rFonts w:cs="Times New Roman"/>
                <w:szCs w:val="24"/>
              </w:rPr>
            </w:r>
          </w:p>
          <w:p>
            <w:pPr>
              <w:pStyle w:val="Normal"/>
              <w:widowControl w:val="false"/>
              <w:spacing w:lineRule="auto" w:line="240" w:before="0" w:after="0"/>
              <w:rPr>
                <w:rFonts w:cs="Times New Roman"/>
                <w:szCs w:val="24"/>
              </w:rPr>
            </w:pPr>
            <w:r>
              <w:rPr>
                <w:rFonts w:cs="Times New Roman"/>
                <w:szCs w:val="24"/>
              </w:rPr>
              <w:t>kvinne</w:t>
            </w:r>
          </w:p>
          <w:p>
            <w:pPr>
              <w:pStyle w:val="Normal"/>
              <w:widowControl w:val="false"/>
              <w:spacing w:lineRule="auto" w:line="240" w:before="0" w:after="0"/>
              <w:rPr>
                <w:rFonts w:cs="Times New Roman"/>
                <w:szCs w:val="24"/>
              </w:rPr>
            </w:pPr>
            <w:r>
              <w:rPr>
                <w:rFonts w:cs="Times New Roman"/>
                <w:szCs w:val="24"/>
              </w:rPr>
            </w:r>
          </w:p>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(0.252)</w:t>
            </w:r>
          </w:p>
          <w:p>
            <w:pPr>
              <w:pStyle w:val="Normal"/>
              <w:widowControl w:val="false"/>
              <w:spacing w:lineRule="auto" w:line="240" w:before="0" w:after="0"/>
              <w:jc w:val="center"/>
              <w:rPr>
                <w:rFonts w:cs="Times New Roman"/>
                <w:szCs w:val="24"/>
              </w:rPr>
            </w:pPr>
            <w:r>
              <w:rPr>
                <w:rFonts w:cs="Times New Roman"/>
                <w:szCs w:val="24"/>
              </w:rPr>
            </w:r>
          </w:p>
          <w:p>
            <w:pPr>
              <w:pStyle w:val="Normal"/>
              <w:widowControl w:val="false"/>
              <w:spacing w:lineRule="auto" w:line="240" w:before="0" w:after="0"/>
              <w:jc w:val="center"/>
              <w:rPr>
                <w:rFonts w:cs="Times New Roman"/>
                <w:szCs w:val="24"/>
              </w:rPr>
            </w:pPr>
            <w:r>
              <w:rPr>
                <w:rFonts w:cs="Times New Roman"/>
                <w:szCs w:val="24"/>
              </w:rPr>
              <w:t>-0.023</w:t>
            </w:r>
          </w:p>
          <w:p>
            <w:pPr>
              <w:pStyle w:val="Normal"/>
              <w:widowControl w:val="false"/>
              <w:spacing w:lineRule="auto" w:line="240" w:before="0" w:after="0"/>
              <w:jc w:val="center"/>
              <w:rPr>
                <w:rFonts w:cs="Times New Roman"/>
                <w:szCs w:val="24"/>
              </w:rPr>
            </w:pPr>
            <w:r>
              <w:rPr>
                <w:rFonts w:cs="Times New Roman"/>
                <w:szCs w:val="24"/>
              </w:rPr>
              <w:t>(0.288)</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(0.239)</w:t>
            </w:r>
          </w:p>
          <w:p>
            <w:pPr>
              <w:pStyle w:val="Normal"/>
              <w:widowControl w:val="false"/>
              <w:spacing w:lineRule="auto" w:line="240" w:before="0" w:after="0"/>
              <w:jc w:val="center"/>
              <w:rPr>
                <w:rFonts w:cs="Times New Roman"/>
                <w:szCs w:val="24"/>
              </w:rPr>
            </w:pPr>
            <w:r>
              <w:rPr>
                <w:rFonts w:cs="Times New Roman"/>
                <w:szCs w:val="24"/>
              </w:rPr>
            </w:r>
          </w:p>
          <w:p>
            <w:pPr>
              <w:pStyle w:val="Normal"/>
              <w:widowControl w:val="false"/>
              <w:spacing w:lineRule="auto" w:line="240" w:before="0" w:after="0"/>
              <w:jc w:val="center"/>
              <w:rPr>
                <w:rFonts w:cs="Times New Roman"/>
                <w:szCs w:val="24"/>
              </w:rPr>
            </w:pPr>
            <w:r>
              <w:rPr>
                <w:rFonts w:cs="Times New Roman"/>
                <w:szCs w:val="24"/>
              </w:rPr>
              <w:t>0.035</w:t>
            </w:r>
          </w:p>
          <w:p>
            <w:pPr>
              <w:pStyle w:val="Normal"/>
              <w:widowControl w:val="false"/>
              <w:spacing w:lineRule="auto" w:line="240" w:before="0" w:after="0"/>
              <w:jc w:val="center"/>
              <w:rPr>
                <w:rFonts w:cs="Times New Roman"/>
                <w:szCs w:val="24"/>
              </w:rPr>
            </w:pPr>
            <w:r>
              <w:rPr>
                <w:rFonts w:cs="Times New Roman"/>
                <w:szCs w:val="24"/>
              </w:rPr>
              <w:t>(0.061)</w:t>
            </w:r>
          </w:p>
        </w:tc>
      </w:tr>
      <w:tr>
        <w:trPr/>
        <w:tc>
          <w:tcPr>
            <w:tcW w:w="3387" w:type="dxa"/>
            <w:tcBorders/>
          </w:tcPr>
          <w:p>
            <w:pPr>
              <w:pStyle w:val="Normal"/>
              <w:widowControl w:val="false"/>
              <w:spacing w:lineRule="auto" w:line="240" w:before="0" w:after="0"/>
              <w:rPr>
                <w:rFonts w:cs="Times New Roman"/>
                <w:szCs w:val="24"/>
              </w:rPr>
            </w:pPr>
            <w:r>
              <w:rPr>
                <w:rFonts w:cs="Times New Roman"/>
                <w:szCs w:val="24"/>
              </w:rPr>
              <w:t>undertrykt</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0.384***</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-0.067</w:t>
            </w:r>
          </w:p>
        </w:tc>
      </w:tr>
      <w:tr>
        <w:trPr/>
        <w:tc>
          <w:tcPr>
            <w:tcW w:w="3387" w:type="dxa"/>
            <w:tcBorders/>
          </w:tcPr>
          <w:p>
            <w:pPr>
              <w:pStyle w:val="Normal"/>
              <w:widowControl w:val="false"/>
              <w:spacing w:lineRule="auto" w:line="240" w:before="0" w:after="0"/>
              <w:rPr>
                <w:rFonts w:cs="Times New Roman"/>
                <w:szCs w:val="24"/>
              </w:rPr>
            </w:pPr>
            <w:r>
              <w:rPr>
                <w:rFonts w:cs="Times New Roman"/>
                <w:szCs w:val="24"/>
              </w:rPr>
            </w:r>
          </w:p>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(0.148)</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(0.197)</w:t>
            </w:r>
          </w:p>
        </w:tc>
      </w:tr>
      <w:tr>
        <w:trPr/>
        <w:tc>
          <w:tcPr>
            <w:tcW w:w="3387" w:type="dxa"/>
            <w:tcBorders/>
          </w:tcPr>
          <w:p>
            <w:pPr>
              <w:pStyle w:val="Normal"/>
              <w:widowControl w:val="false"/>
              <w:spacing w:lineRule="auto" w:line="240" w:before="0" w:after="0"/>
              <w:rPr>
                <w:rFonts w:cs="Times New Roman"/>
                <w:szCs w:val="24"/>
              </w:rPr>
            </w:pPr>
            <w:r>
              <w:rPr>
                <w:rFonts w:cs="Times New Roman"/>
                <w:szCs w:val="24"/>
              </w:rPr>
              <w:t>polps#undertrykt</w:t>
            </w:r>
            <w:r>
              <w:rPr>
                <w:rFonts w:cs="Times New Roman"/>
                <w:szCs w:val="24"/>
                <w:vertAlign w:val="superscript"/>
              </w:rPr>
              <w:t>b</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-0.683**</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r>
          </w:p>
        </w:tc>
      </w:tr>
      <w:tr>
        <w:trPr/>
        <w:tc>
          <w:tcPr>
            <w:tcW w:w="3387" w:type="dxa"/>
            <w:tcBorders/>
          </w:tcPr>
          <w:p>
            <w:pPr>
              <w:pStyle w:val="Normal"/>
              <w:widowControl w:val="false"/>
              <w:spacing w:lineRule="auto" w:line="240" w:before="0" w:after="0"/>
              <w:rPr>
                <w:rFonts w:cs="Times New Roman"/>
                <w:szCs w:val="24"/>
              </w:rPr>
            </w:pPr>
            <w:r>
              <w:rPr>
                <w:rFonts w:cs="Times New Roman"/>
                <w:szCs w:val="24"/>
              </w:rPr>
            </w:r>
          </w:p>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(0.288)</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r>
          </w:p>
        </w:tc>
      </w:tr>
      <w:tr>
        <w:trPr/>
        <w:tc>
          <w:tcPr>
            <w:tcW w:w="3387" w:type="dxa"/>
            <w:tcBorders/>
          </w:tcPr>
          <w:p>
            <w:pPr>
              <w:pStyle w:val="Normal"/>
              <w:widowControl w:val="false"/>
              <w:spacing w:lineRule="auto" w:line="240" w:before="0" w:after="0"/>
              <w:rPr>
                <w:rFonts w:cs="Times New Roman"/>
                <w:szCs w:val="24"/>
              </w:rPr>
            </w:pPr>
            <w:r>
              <w:rPr>
                <w:rFonts w:cs="Times New Roman"/>
                <w:szCs w:val="24"/>
              </w:rPr>
              <w:t>polps#kvinne</w:t>
            </w:r>
            <w:r>
              <w:rPr>
                <w:rFonts w:cs="Times New Roman"/>
                <w:szCs w:val="24"/>
                <w:vertAlign w:val="superscript"/>
              </w:rPr>
              <w:t>b</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-0.119</w:t>
            </w:r>
          </w:p>
        </w:tc>
      </w:tr>
      <w:tr>
        <w:trPr/>
        <w:tc>
          <w:tcPr>
            <w:tcW w:w="3387" w:type="dxa"/>
            <w:tcBorders/>
          </w:tcPr>
          <w:p>
            <w:pPr>
              <w:pStyle w:val="Normal"/>
              <w:widowControl w:val="false"/>
              <w:spacing w:lineRule="auto" w:line="240" w:before="0" w:after="0"/>
              <w:rPr>
                <w:rFonts w:cs="Times New Roman"/>
                <w:szCs w:val="24"/>
              </w:rPr>
            </w:pPr>
            <w:r>
              <w:rPr>
                <w:rFonts w:cs="Times New Roman"/>
                <w:szCs w:val="24"/>
              </w:rPr>
            </w:r>
          </w:p>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(0.075)</w:t>
            </w:r>
          </w:p>
        </w:tc>
      </w:tr>
      <w:tr>
        <w:trPr/>
        <w:tc>
          <w:tcPr>
            <w:tcW w:w="3387" w:type="dxa"/>
            <w:tcBorders/>
          </w:tcPr>
          <w:p>
            <w:pPr>
              <w:pStyle w:val="Normal"/>
              <w:widowControl w:val="false"/>
              <w:spacing w:lineRule="auto" w:line="240" w:before="0" w:after="0"/>
              <w:rPr>
                <w:rFonts w:cs="Times New Roman"/>
                <w:szCs w:val="24"/>
              </w:rPr>
            </w:pPr>
            <w:r>
              <w:rPr>
                <w:rFonts w:cs="Times New Roman"/>
                <w:szCs w:val="24"/>
              </w:rPr>
              <w:t>alder</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0.002**</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0.002**</w:t>
            </w:r>
          </w:p>
        </w:tc>
      </w:tr>
      <w:tr>
        <w:trPr/>
        <w:tc>
          <w:tcPr>
            <w:tcW w:w="3387" w:type="dxa"/>
            <w:tcBorders/>
          </w:tcPr>
          <w:p>
            <w:pPr>
              <w:pStyle w:val="Normal"/>
              <w:widowControl w:val="false"/>
              <w:spacing w:lineRule="auto" w:line="240" w:before="0" w:after="0"/>
              <w:rPr>
                <w:rFonts w:cs="Times New Roman"/>
                <w:szCs w:val="24"/>
              </w:rPr>
            </w:pPr>
            <w:r>
              <w:rPr>
                <w:rFonts w:cs="Times New Roman"/>
                <w:szCs w:val="24"/>
              </w:rPr>
            </w:r>
          </w:p>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(0.001)</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(0.001)</w:t>
            </w:r>
          </w:p>
        </w:tc>
      </w:tr>
      <w:tr>
        <w:trPr/>
        <w:tc>
          <w:tcPr>
            <w:tcW w:w="3387" w:type="dxa"/>
            <w:tcBorders/>
          </w:tcPr>
          <w:p>
            <w:pPr>
              <w:pStyle w:val="Normal"/>
              <w:widowControl w:val="false"/>
              <w:spacing w:lineRule="auto" w:line="240" w:before="0" w:after="0"/>
              <w:rPr>
                <w:rFonts w:cs="Times New Roman"/>
                <w:szCs w:val="24"/>
              </w:rPr>
            </w:pPr>
            <w:r>
              <w:rPr>
                <w:rFonts w:cs="Times New Roman"/>
                <w:szCs w:val="24"/>
              </w:rPr>
              <w:t>uteninntekt</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-0.190***</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-0.185***</w:t>
            </w:r>
          </w:p>
        </w:tc>
      </w:tr>
      <w:tr>
        <w:trPr/>
        <w:tc>
          <w:tcPr>
            <w:tcW w:w="3387" w:type="dxa"/>
            <w:tcBorders/>
          </w:tcPr>
          <w:p>
            <w:pPr>
              <w:pStyle w:val="Normal"/>
              <w:widowControl w:val="false"/>
              <w:spacing w:lineRule="auto" w:line="240" w:before="0" w:after="0"/>
              <w:rPr>
                <w:rFonts w:cs="Times New Roman"/>
                <w:szCs w:val="24"/>
              </w:rPr>
            </w:pPr>
            <w:r>
              <w:rPr>
                <w:rFonts w:cs="Times New Roman"/>
                <w:szCs w:val="24"/>
              </w:rPr>
            </w:r>
          </w:p>
          <w:p>
            <w:pPr>
              <w:pStyle w:val="Normal"/>
              <w:widowControl w:val="false"/>
              <w:spacing w:lineRule="auto" w:line="240" w:before="0" w:after="0"/>
              <w:rPr>
                <w:rFonts w:cs="Times New Roman"/>
                <w:szCs w:val="24"/>
              </w:rPr>
            </w:pPr>
            <w:r>
              <w:rPr>
                <w:rFonts w:cs="Times New Roman"/>
                <w:szCs w:val="24"/>
              </w:rPr>
            </w:r>
          </w:p>
          <w:p>
            <w:pPr>
              <w:pStyle w:val="Normal"/>
              <w:widowControl w:val="false"/>
              <w:spacing w:lineRule="auto" w:line="240" w:before="0" w:after="0"/>
              <w:rPr>
                <w:rFonts w:cs="Times New Roman"/>
                <w:b/>
                <w:b/>
                <w:bCs/>
                <w:szCs w:val="24"/>
              </w:rPr>
            </w:pPr>
            <w:r>
              <w:rPr>
                <w:rFonts w:cs="Times New Roman"/>
                <w:b/>
                <w:bCs/>
                <w:szCs w:val="24"/>
              </w:rPr>
              <w:t>Utdanning</w:t>
            </w:r>
            <w:r>
              <w:rPr>
                <w:rFonts w:cs="Times New Roman"/>
                <w:b/>
                <w:bCs/>
                <w:szCs w:val="24"/>
                <w:vertAlign w:val="superscript"/>
              </w:rPr>
              <w:t>c</w:t>
            </w:r>
          </w:p>
          <w:p>
            <w:pPr>
              <w:pStyle w:val="Normal"/>
              <w:widowControl w:val="false"/>
              <w:spacing w:lineRule="auto" w:line="240" w:before="0" w:after="0"/>
              <w:rPr>
                <w:rFonts w:cs="Times New Roman"/>
                <w:b/>
                <w:b/>
                <w:bCs/>
                <w:szCs w:val="24"/>
              </w:rPr>
            </w:pPr>
            <w:r>
              <w:rPr>
                <w:rFonts w:cs="Times New Roman"/>
                <w:b/>
                <w:bCs/>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(0.04)</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(0.040)</w:t>
            </w:r>
          </w:p>
        </w:tc>
      </w:tr>
      <w:tr>
        <w:trPr/>
        <w:tc>
          <w:tcPr>
            <w:tcW w:w="3387" w:type="dxa"/>
            <w:tcBorders/>
          </w:tcPr>
          <w:p>
            <w:pPr>
              <w:pStyle w:val="Normal"/>
              <w:widowControl w:val="false"/>
              <w:spacing w:lineRule="auto" w:line="240" w:before="0" w:after="0"/>
              <w:rPr>
                <w:rFonts w:cs="Times New Roman"/>
                <w:szCs w:val="24"/>
              </w:rPr>
            </w:pPr>
            <w:r>
              <w:rPr>
                <w:rFonts w:cs="Times New Roman"/>
                <w:szCs w:val="24"/>
              </w:rPr>
              <w:t>Primær</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-0.057</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-0.059</w:t>
            </w:r>
          </w:p>
        </w:tc>
      </w:tr>
      <w:tr>
        <w:trPr/>
        <w:tc>
          <w:tcPr>
            <w:tcW w:w="3387" w:type="dxa"/>
            <w:tcBorders/>
          </w:tcPr>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(0.044)</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(0.049)</w:t>
            </w:r>
          </w:p>
        </w:tc>
      </w:tr>
      <w:tr>
        <w:trPr/>
        <w:tc>
          <w:tcPr>
            <w:tcW w:w="3387" w:type="dxa"/>
            <w:tcBorders/>
          </w:tcPr>
          <w:p>
            <w:pPr>
              <w:pStyle w:val="Normal"/>
              <w:widowControl w:val="false"/>
              <w:spacing w:lineRule="auto" w:line="240" w:before="0" w:after="0"/>
              <w:rPr>
                <w:rFonts w:cs="Times New Roman"/>
                <w:szCs w:val="24"/>
              </w:rPr>
            </w:pPr>
            <w:r>
              <w:rPr>
                <w:rFonts w:cs="Times New Roman"/>
                <w:szCs w:val="24"/>
              </w:rPr>
              <w:t>Sekundær</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-0.164**</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-0.170**</w:t>
            </w:r>
          </w:p>
        </w:tc>
      </w:tr>
      <w:tr>
        <w:trPr/>
        <w:tc>
          <w:tcPr>
            <w:tcW w:w="3387" w:type="dxa"/>
            <w:tcBorders/>
          </w:tcPr>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(0.066)</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(0.073)</w:t>
            </w:r>
          </w:p>
        </w:tc>
      </w:tr>
      <w:tr>
        <w:trPr/>
        <w:tc>
          <w:tcPr>
            <w:tcW w:w="3387" w:type="dxa"/>
            <w:tcBorders/>
          </w:tcPr>
          <w:p>
            <w:pPr>
              <w:pStyle w:val="Normal"/>
              <w:widowControl w:val="false"/>
              <w:spacing w:lineRule="auto" w:line="240" w:before="0" w:after="0"/>
              <w:rPr>
                <w:rFonts w:cs="Times New Roman"/>
                <w:szCs w:val="24"/>
              </w:rPr>
            </w:pPr>
            <w:r>
              <w:rPr>
                <w:rFonts w:cs="Times New Roman"/>
                <w:szCs w:val="24"/>
              </w:rPr>
              <w:t>Post-sekundær</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-0.263**</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-0.259**</w:t>
            </w:r>
          </w:p>
        </w:tc>
      </w:tr>
      <w:tr>
        <w:trPr/>
        <w:tc>
          <w:tcPr>
            <w:tcW w:w="3387" w:type="dxa"/>
            <w:tcBorders/>
          </w:tcPr>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(0.104)</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(0.109)</w:t>
            </w:r>
          </w:p>
        </w:tc>
      </w:tr>
      <w:tr>
        <w:trPr/>
        <w:tc>
          <w:tcPr>
            <w:tcW w:w="3387" w:type="dxa"/>
            <w:tcBorders/>
          </w:tcPr>
          <w:p>
            <w:pPr>
              <w:pStyle w:val="Normal"/>
              <w:widowControl w:val="false"/>
              <w:spacing w:lineRule="auto" w:line="240" w:before="0" w:after="0"/>
              <w:rPr>
                <w:rFonts w:cs="Times New Roman"/>
                <w:szCs w:val="24"/>
              </w:rPr>
            </w:pPr>
            <w:r>
              <w:rPr>
                <w:rFonts w:cs="Times New Roman"/>
                <w:szCs w:val="24"/>
              </w:rPr>
              <w:t>Constant</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2.660***</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2.731***</w:t>
            </w:r>
          </w:p>
        </w:tc>
      </w:tr>
      <w:tr>
        <w:trPr/>
        <w:tc>
          <w:tcPr>
            <w:tcW w:w="3387" w:type="dxa"/>
            <w:tcBorders/>
          </w:tcPr>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(0.206)</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(0.230)</w:t>
            </w:r>
          </w:p>
        </w:tc>
      </w:tr>
      <w:tr>
        <w:trPr/>
        <w:tc>
          <w:tcPr>
            <w:tcW w:w="3387" w:type="dxa"/>
            <w:tcBorders/>
          </w:tcPr>
          <w:p>
            <w:pPr>
              <w:pStyle w:val="Normal"/>
              <w:widowControl w:val="false"/>
              <w:spacing w:lineRule="auto" w:line="240" w:before="0" w:after="0"/>
              <w:rPr>
                <w:rFonts w:cs="Times New Roman"/>
                <w:szCs w:val="24"/>
              </w:rPr>
            </w:pPr>
            <w:r>
              <w:rPr>
                <w:rFonts w:cs="Times New Roman"/>
                <w:szCs w:val="24"/>
              </w:rPr>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r>
          </w:p>
        </w:tc>
      </w:tr>
      <w:tr>
        <w:trPr/>
        <w:tc>
          <w:tcPr>
            <w:tcW w:w="3387" w:type="dxa"/>
            <w:tcBorders/>
          </w:tcPr>
          <w:p>
            <w:pPr>
              <w:pStyle w:val="Normal"/>
              <w:widowControl w:val="false"/>
              <w:spacing w:lineRule="auto" w:line="240" w:before="0" w:after="0"/>
              <w:rPr>
                <w:rFonts w:cs="Times New Roman"/>
                <w:szCs w:val="24"/>
              </w:rPr>
            </w:pPr>
            <w:r>
              <w:rPr>
                <w:rFonts w:cs="Times New Roman"/>
                <w:szCs w:val="24"/>
              </w:rPr>
              <w:t>N1</w:t>
            </w:r>
          </w:p>
        </w:tc>
        <w:tc>
          <w:tcPr>
            <w:tcW w:w="2159" w:type="dxa"/>
            <w:tcBorders/>
          </w:tcPr>
          <w:p>
            <w:pPr>
              <w:pStyle w:val="Normal"/>
              <w:widowControl w:val="false"/>
              <w:spacing w:lineRule="auto" w:line="240" w:before="0" w:after="0"/>
              <w:jc w:val="center"/>
              <w:rPr>
                <w:rFonts w:cs="Times New Roman"/>
                <w:szCs w:val="24"/>
              </w:rPr>
            </w:pPr>
            <w:r>
              <w:rPr>
                <w:rFonts w:cs="Times New Roman"/>
                <w:szCs w:val="24"/>
              </w:rPr>
              <w:t>12,781</w:t>
            </w:r>
          </w:p>
        </w:tc>
        <w:tc>
          <w:tcPr>
            <w:tcW w:w="1441" w:type="dxa"/>
            <w:tcBorders/>
          </w:tcPr>
          <w:p>
            <w:pPr>
              <w:pStyle w:val="Normal"/>
              <w:widowControl w:val="false"/>
              <w:spacing w:lineRule="auto" w:line="240" w:before="0" w:after="0"/>
              <w:jc w:val="center"/>
              <w:rPr>
                <w:rFonts w:cs="Times New Roman"/>
                <w:szCs w:val="24"/>
              </w:rPr>
            </w:pPr>
            <w:r>
              <w:rPr>
                <w:rFonts w:cs="Times New Roman"/>
                <w:szCs w:val="24"/>
              </w:rPr>
              <w:t>12,781</w:t>
            </w:r>
          </w:p>
        </w:tc>
      </w:tr>
      <w:tr>
        <w:trPr/>
        <w:tc>
          <w:tcPr>
            <w:tcW w:w="3387" w:type="dxa"/>
            <w:tcBorders>
              <w:bottom w:val="single" w:sz="6" w:space="0" w:color="000000"/>
            </w:tcBorders>
          </w:tcPr>
          <w:p>
            <w:pPr>
              <w:pStyle w:val="Normal"/>
              <w:widowControl w:val="false"/>
              <w:spacing w:lineRule="auto" w:line="240" w:before="0" w:after="0"/>
              <w:rPr>
                <w:rFonts w:cs="Times New Roman"/>
                <w:szCs w:val="24"/>
              </w:rPr>
            </w:pPr>
            <w:r>
              <w:rPr>
                <w:rFonts w:cs="Times New Roman"/>
                <w:szCs w:val="24"/>
              </w:rPr>
              <w:t>N2</w:t>
            </w:r>
          </w:p>
        </w:tc>
        <w:tc>
          <w:tcPr>
            <w:tcW w:w="2159" w:type="dxa"/>
            <w:tcBorders>
              <w:bottom w:val="single" w:sz="6" w:space="0" w:color="000000"/>
            </w:tcBorders>
          </w:tcPr>
          <w:p>
            <w:pPr>
              <w:pStyle w:val="Normal"/>
              <w:widowControl w:val="false"/>
              <w:spacing w:lineRule="auto" w:line="240" w:before="0" w:after="0"/>
              <w:jc w:val="center"/>
              <w:rPr>
                <w:rFonts w:cs="Times New Roman"/>
                <w:szCs w:val="24"/>
              </w:rPr>
            </w:pPr>
            <w:r>
              <w:rPr>
                <w:rFonts w:cs="Times New Roman"/>
                <w:szCs w:val="24"/>
              </w:rPr>
              <w:t>16</w:t>
            </w:r>
          </w:p>
        </w:tc>
        <w:tc>
          <w:tcPr>
            <w:tcW w:w="1441" w:type="dxa"/>
            <w:tcBorders>
              <w:bottom w:val="single" w:sz="6" w:space="0" w:color="000000"/>
            </w:tcBorders>
          </w:tcPr>
          <w:p>
            <w:pPr>
              <w:pStyle w:val="Normal"/>
              <w:widowControl w:val="false"/>
              <w:spacing w:lineRule="auto" w:line="240" w:before="0" w:after="0"/>
              <w:jc w:val="center"/>
              <w:rPr>
                <w:rFonts w:cs="Times New Roman"/>
                <w:szCs w:val="24"/>
              </w:rPr>
            </w:pPr>
            <w:r>
              <w:rPr>
                <w:rFonts w:cs="Times New Roman"/>
                <w:szCs w:val="24"/>
              </w:rPr>
              <w:t>16</w:t>
            </w:r>
          </w:p>
        </w:tc>
      </w:tr>
    </w:tbl>
    <w:p>
      <w:pPr>
        <w:pStyle w:val="Normal"/>
        <w:widowControl w:val="false"/>
        <w:spacing w:lineRule="auto" w:line="240" w:before="0" w:after="0"/>
        <w:jc w:val="center"/>
        <w:rPr>
          <w:rFonts w:cs="Times New Roman"/>
          <w:szCs w:val="24"/>
        </w:rPr>
      </w:pPr>
      <w:r>
        <w:rPr>
          <w:rFonts w:cs="Times New Roman"/>
          <w:szCs w:val="24"/>
        </w:rPr>
        <w:t>Robuste standardfeil i parentes | *** p&lt;0.01, ** p&lt;0.05, * p&lt;0.1 | 1: Samspill mellom politisk maktdeling og undertrykt | 2: Samspill mellom politisk maktdeling og kvinne | a: Nivå 2-variabel | b: Samspillsledd | c: Ingen formell utdanning er referansekategori</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Forklaringskraft for modell 9 i tabell 23:</w:t>
      </w:r>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nivå</m:t>
          </m:r>
          <m:r>
            <w:rPr>
              <w:rFonts w:ascii="Cambria Math" w:hAnsi="Cambria Math"/>
            </w:rPr>
            <m:t xml:space="preserve">1</m:t>
          </m:r>
          <m:r>
            <w:rPr>
              <w:rFonts w:ascii="Cambria Math" w:hAnsi="Cambria Math"/>
            </w:rPr>
            <m:t xml:space="preserve">=</m:t>
          </m:r>
          <m:f>
            <m:num>
              <m:r>
                <w:rPr>
                  <w:rFonts w:ascii="Cambria Math" w:hAnsi="Cambria Math"/>
                </w:rPr>
                <m:t xml:space="preserve">var</m:t>
              </m:r>
              <m:sSub>
                <m:e>
                  <m:d>
                    <m:dPr>
                      <m:begChr m:val="("/>
                      <m:endChr m:val=")"/>
                    </m:dPr>
                    <m:e>
                      <m:r>
                        <w:rPr>
                          <w:rFonts w:ascii="Cambria Math" w:hAnsi="Cambria Math"/>
                        </w:rPr>
                        <m:t xml:space="preserve">e</m:t>
                      </m:r>
                    </m:e>
                  </m:d>
                </m:e>
                <m:sub>
                  <m:r>
                    <w:rPr>
                      <w:rFonts w:ascii="Cambria Math" w:hAnsi="Cambria Math"/>
                    </w:rPr>
                    <m:t xml:space="preserve">b</m:t>
                  </m:r>
                </m:sub>
              </m:sSub>
              <m:r>
                <w:rPr>
                  <w:rFonts w:ascii="Cambria Math" w:hAnsi="Cambria Math"/>
                </w:rPr>
                <m:t xml:space="preserve">−</m:t>
              </m:r>
              <m:r>
                <w:rPr>
                  <w:rFonts w:ascii="Cambria Math" w:hAnsi="Cambria Math"/>
                </w:rPr>
                <m:t xml:space="preserve">var</m:t>
              </m:r>
              <m:sSub>
                <m:e>
                  <m:d>
                    <m:dPr>
                      <m:begChr m:val="("/>
                      <m:endChr m:val=")"/>
                    </m:dPr>
                    <m:e>
                      <m:r>
                        <w:rPr>
                          <w:rFonts w:ascii="Cambria Math" w:hAnsi="Cambria Math"/>
                        </w:rPr>
                        <m:t xml:space="preserve">e</m:t>
                      </m:r>
                    </m:e>
                  </m:d>
                </m:e>
                <m:sub>
                  <m:r>
                    <w:rPr>
                      <w:rFonts w:ascii="Cambria Math" w:hAnsi="Cambria Math"/>
                    </w:rPr>
                    <m:t xml:space="preserve">m</m:t>
                  </m:r>
                </m:sub>
              </m:sSub>
            </m:num>
            <m:den>
              <m:r>
                <w:rPr>
                  <w:rFonts w:ascii="Cambria Math" w:hAnsi="Cambria Math"/>
                </w:rPr>
                <m:t xml:space="preserve">var</m:t>
              </m:r>
              <m:sSub>
                <m:e>
                  <m:d>
                    <m:dPr>
                      <m:begChr m:val="("/>
                      <m:endChr m:val=")"/>
                    </m:dPr>
                    <m:e>
                      <m:r>
                        <w:rPr>
                          <w:rFonts w:ascii="Cambria Math" w:hAnsi="Cambria Math"/>
                        </w:rPr>
                        <m:t xml:space="preserve">e</m:t>
                      </m:r>
                    </m:e>
                  </m:d>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0,9023312</m:t>
              </m:r>
              <m:r>
                <w:rPr>
                  <w:rFonts w:ascii="Cambria Math" w:hAnsi="Cambria Math"/>
                </w:rPr>
                <m:t xml:space="preserve">−</m:t>
              </m:r>
              <m:r>
                <w:rPr>
                  <w:rFonts w:ascii="Cambria Math" w:hAnsi="Cambria Math"/>
                </w:rPr>
                <m:t xml:space="preserve">0,8710822</m:t>
              </m:r>
            </m:num>
            <m:den>
              <m:r>
                <w:rPr>
                  <w:rFonts w:ascii="Cambria Math" w:hAnsi="Cambria Math"/>
                </w:rPr>
                <m:t xml:space="preserve">0,9023312</m:t>
              </m:r>
            </m:den>
          </m:f>
          <m:r>
            <w:rPr>
              <w:rFonts w:ascii="Cambria Math" w:hAnsi="Cambria Math"/>
            </w:rPr>
            <m:t xml:space="preserve">=</m:t>
          </m:r>
          <m:r>
            <w:rPr>
              <w:rFonts w:ascii="Cambria Math" w:hAnsi="Cambria Math"/>
            </w:rPr>
            <m:t xml:space="preserve">0,035</m:t>
          </m:r>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nivå</m:t>
          </m:r>
          <m:r>
            <w:rPr>
              <w:rFonts w:ascii="Cambria Math" w:hAnsi="Cambria Math"/>
            </w:rPr>
            <m:t xml:space="preserve">2</m:t>
          </m:r>
          <m:r>
            <w:rPr>
              <w:rFonts w:ascii="Cambria Math" w:hAnsi="Cambria Math"/>
            </w:rPr>
            <m:t xml:space="preserve">=</m:t>
          </m:r>
          <m:f>
            <m:num>
              <m:r>
                <w:rPr>
                  <w:rFonts w:ascii="Cambria Math" w:hAnsi="Cambria Math"/>
                </w:rPr>
                <m:t xml:space="preserve">var</m:t>
              </m:r>
              <m:sSub>
                <m:e>
                  <m:d>
                    <m:dPr>
                      <m:begChr m:val="("/>
                      <m:endChr m:val=")"/>
                    </m:dPr>
                    <m:e>
                      <m:sSub>
                        <m:e>
                          <m:r>
                            <w:rPr>
                              <w:rFonts w:ascii="Cambria Math" w:hAnsi="Cambria Math"/>
                            </w:rPr>
                            <m:t xml:space="preserve">u</m:t>
                          </m:r>
                        </m:e>
                        <m:sub>
                          <m:r>
                            <w:rPr>
                              <w:rFonts w:ascii="Cambria Math" w:hAnsi="Cambria Math"/>
                            </w:rPr>
                            <m:t xml:space="preserve">0</m:t>
                          </m:r>
                        </m:sub>
                      </m:sSub>
                    </m:e>
                  </m:d>
                </m:e>
                <m:sub>
                  <m:r>
                    <w:rPr>
                      <w:rFonts w:ascii="Cambria Math" w:hAnsi="Cambria Math"/>
                    </w:rPr>
                    <m:t xml:space="preserve">b</m:t>
                  </m:r>
                </m:sub>
              </m:sSub>
              <m:r>
                <w:rPr>
                  <w:rFonts w:ascii="Cambria Math" w:hAnsi="Cambria Math"/>
                </w:rPr>
                <m:t xml:space="preserve">−</m:t>
              </m:r>
              <m:r>
                <w:rPr>
                  <w:rFonts w:ascii="Cambria Math" w:hAnsi="Cambria Math"/>
                </w:rPr>
                <m:t xml:space="preserve">var</m:t>
              </m:r>
              <m:sSub>
                <m:e>
                  <m:d>
                    <m:dPr>
                      <m:begChr m:val="("/>
                      <m:endChr m:val=")"/>
                    </m:dPr>
                    <m:e>
                      <m:sSub>
                        <m:e>
                          <m:r>
                            <w:rPr>
                              <w:rFonts w:ascii="Cambria Math" w:hAnsi="Cambria Math"/>
                            </w:rPr>
                            <m:t xml:space="preserve">u</m:t>
                          </m:r>
                        </m:e>
                        <m:sub>
                          <m:r>
                            <w:rPr>
                              <w:rFonts w:ascii="Cambria Math" w:hAnsi="Cambria Math"/>
                            </w:rPr>
                            <m:t xml:space="preserve">0</m:t>
                          </m:r>
                        </m:sub>
                      </m:sSub>
                    </m:e>
                  </m:d>
                </m:e>
                <m:sub>
                  <m:r>
                    <w:rPr>
                      <w:rFonts w:ascii="Cambria Math" w:hAnsi="Cambria Math"/>
                    </w:rPr>
                    <m:t xml:space="preserve">m</m:t>
                  </m:r>
                </m:sub>
              </m:sSub>
            </m:num>
            <m:den>
              <m:r>
                <w:rPr>
                  <w:rFonts w:ascii="Cambria Math" w:hAnsi="Cambria Math"/>
                </w:rPr>
                <m:t xml:space="preserve">var</m:t>
              </m:r>
              <m:sSub>
                <m:e>
                  <m:d>
                    <m:dPr>
                      <m:begChr m:val="("/>
                      <m:endChr m:val=")"/>
                    </m:dPr>
                    <m:e>
                      <m:sSub>
                        <m:e>
                          <m:r>
                            <w:rPr>
                              <w:rFonts w:ascii="Cambria Math" w:hAnsi="Cambria Math"/>
                            </w:rPr>
                            <m:t xml:space="preserve">u</m:t>
                          </m:r>
                        </m:e>
                        <m:sub>
                          <m:r>
                            <w:rPr>
                              <w:rFonts w:ascii="Cambria Math" w:hAnsi="Cambria Math"/>
                            </w:rPr>
                            <m:t xml:space="preserve">0</m:t>
                          </m:r>
                        </m:sub>
                      </m:sSub>
                    </m:e>
                  </m:d>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0,1483399</m:t>
              </m:r>
              <m:r>
                <w:rPr>
                  <w:rFonts w:ascii="Cambria Math" w:hAnsi="Cambria Math"/>
                </w:rPr>
                <m:t xml:space="preserve">−</m:t>
              </m:r>
              <m:r>
                <w:rPr>
                  <w:rFonts w:ascii="Cambria Math" w:hAnsi="Cambria Math"/>
                </w:rPr>
                <m:t xml:space="preserve">0,121093</m:t>
              </m:r>
            </m:num>
            <m:den>
              <m:r>
                <w:rPr>
                  <w:rFonts w:ascii="Cambria Math" w:hAnsi="Cambria Math"/>
                </w:rPr>
                <m:t xml:space="preserve">0,1483399</m:t>
              </m:r>
            </m:den>
          </m:f>
          <m:r>
            <w:rPr>
              <w:rFonts w:ascii="Cambria Math" w:hAnsi="Cambria Math"/>
            </w:rPr>
            <m:t xml:space="preserve">=</m:t>
          </m:r>
          <m:r>
            <w:rPr>
              <w:rFonts w:ascii="Cambria Math" w:hAnsi="Cambria Math"/>
            </w:rPr>
            <m:t xml:space="preserve">0,184</m:t>
          </m:r>
        </m:oMath>
      </m:oMathPara>
    </w:p>
    <w:p>
      <w:pPr>
        <w:pStyle w:val="Normal"/>
        <w:spacing w:lineRule="auto" w:line="360"/>
        <w:rPr/>
      </w:pPr>
      <w:r>
        <w:rPr/>
        <w:t xml:space="preserve">Tabell 23 viser to modeller med flernivåanalyse med samspillsledd mellom maktdeling og politisk undertrykte grupper (modell 9) og kvinner (modell 10). Modellen er vektet, og alle land vil nå ha en like stor effekt uavhengig av antall observasjoner. Modell 9 sammenlignes med den uvektede versjonen (modell 3 i tabell 18). Vi ser da at den vektede modellen har tilnærmet lik forklaringskraft, med 3,5% på individnivå og 18,4% på landnivå. Vi ser de samme funnene som i den uvektede modellen, men nå med noe høyere signifikansnivå. Effekten av undertrykte grupper i maktdelingsland er fortsatt negativ, men nå kun signifikant på 5%-nivå. Effekten av undertrykte grupper i land uten maktdeling er positiv, som i tabell 18, og holder seg fortsatt på samme signifikansnivå. Vi kan derfor slå fast at den vektede modellen ikke avdekker eller fjerner effekter sammenlignet med den uvektede. </w:t>
      </w:r>
      <w:r>
        <w:rPr>
          <w:i/>
          <w:iCs/>
        </w:rPr>
        <w:t xml:space="preserve">H2a </w:t>
      </w:r>
      <w:r>
        <w:rPr/>
        <w:t>avvises dermed i tabell 19.</w:t>
      </w:r>
    </w:p>
    <w:p>
      <w:pPr>
        <w:pStyle w:val="Normal"/>
        <w:spacing w:lineRule="auto" w:line="360"/>
        <w:rPr>
          <w:color w:val="2A2A2A"/>
          <w:szCs w:val="24"/>
          <w:shd w:fill="FFFFFF" w:val="clear"/>
        </w:rPr>
      </w:pPr>
      <w:r>
        <w:rPr>
          <w:color w:val="2A2A2A"/>
          <w:szCs w:val="24"/>
          <w:shd w:fill="FFFFFF" w:val="clear"/>
        </w:rPr>
      </w:r>
    </w:p>
    <w:p>
      <w:pPr>
        <w:pStyle w:val="Normal"/>
        <w:spacing w:lineRule="auto" w:line="360"/>
        <w:rPr>
          <w:color w:val="000000"/>
          <w:szCs w:val="24"/>
          <w:shd w:fill="FFFFFF" w:val="clear"/>
        </w:rPr>
      </w:pPr>
      <w:r>
        <w:rPr>
          <w:color w:val="000000"/>
          <w:szCs w:val="24"/>
          <w:shd w:fill="FFFFFF" w:val="clear"/>
        </w:rPr>
        <w:t>Forklaringskraft for modell 10 i tabell 23:</w:t>
      </w:r>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nivå</m:t>
          </m:r>
          <m:r>
            <w:rPr>
              <w:rFonts w:ascii="Cambria Math" w:hAnsi="Cambria Math"/>
            </w:rPr>
            <m:t xml:space="preserve">1</m:t>
          </m:r>
          <m:r>
            <w:rPr>
              <w:rFonts w:ascii="Cambria Math" w:hAnsi="Cambria Math"/>
            </w:rPr>
            <m:t xml:space="preserve">=</m:t>
          </m:r>
          <m:f>
            <m:num>
              <m:r>
                <w:rPr>
                  <w:rFonts w:ascii="Cambria Math" w:hAnsi="Cambria Math"/>
                </w:rPr>
                <m:t xml:space="preserve">var</m:t>
              </m:r>
              <m:sSub>
                <m:e>
                  <m:d>
                    <m:dPr>
                      <m:begChr m:val="("/>
                      <m:endChr m:val=")"/>
                    </m:dPr>
                    <m:e>
                      <m:r>
                        <w:rPr>
                          <w:rFonts w:ascii="Cambria Math" w:hAnsi="Cambria Math"/>
                        </w:rPr>
                        <m:t xml:space="preserve">e</m:t>
                      </m:r>
                    </m:e>
                  </m:d>
                </m:e>
                <m:sub>
                  <m:r>
                    <w:rPr>
                      <w:rFonts w:ascii="Cambria Math" w:hAnsi="Cambria Math"/>
                    </w:rPr>
                    <m:t xml:space="preserve">b</m:t>
                  </m:r>
                </m:sub>
              </m:sSub>
              <m:r>
                <w:rPr>
                  <w:rFonts w:ascii="Cambria Math" w:hAnsi="Cambria Math"/>
                </w:rPr>
                <m:t xml:space="preserve">−</m:t>
              </m:r>
              <m:r>
                <w:rPr>
                  <w:rFonts w:ascii="Cambria Math" w:hAnsi="Cambria Math"/>
                </w:rPr>
                <m:t xml:space="preserve">var</m:t>
              </m:r>
              <m:sSub>
                <m:e>
                  <m:d>
                    <m:dPr>
                      <m:begChr m:val="("/>
                      <m:endChr m:val=")"/>
                    </m:dPr>
                    <m:e>
                      <m:r>
                        <w:rPr>
                          <w:rFonts w:ascii="Cambria Math" w:hAnsi="Cambria Math"/>
                        </w:rPr>
                        <m:t xml:space="preserve">e</m:t>
                      </m:r>
                    </m:e>
                  </m:d>
                </m:e>
                <m:sub>
                  <m:r>
                    <w:rPr>
                      <w:rFonts w:ascii="Cambria Math" w:hAnsi="Cambria Math"/>
                    </w:rPr>
                    <m:t xml:space="preserve">m</m:t>
                  </m:r>
                </m:sub>
              </m:sSub>
            </m:num>
            <m:den>
              <m:r>
                <w:rPr>
                  <w:rFonts w:ascii="Cambria Math" w:hAnsi="Cambria Math"/>
                </w:rPr>
                <m:t xml:space="preserve">var</m:t>
              </m:r>
              <m:sSub>
                <m:e>
                  <m:d>
                    <m:dPr>
                      <m:begChr m:val="("/>
                      <m:endChr m:val=")"/>
                    </m:dPr>
                    <m:e>
                      <m:r>
                        <w:rPr>
                          <w:rFonts w:ascii="Cambria Math" w:hAnsi="Cambria Math"/>
                        </w:rPr>
                        <m:t xml:space="preserve">e</m:t>
                      </m:r>
                    </m:e>
                  </m:d>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0,9023312</m:t>
              </m:r>
              <m:r>
                <w:rPr>
                  <w:rFonts w:ascii="Cambria Math" w:hAnsi="Cambria Math"/>
                </w:rPr>
                <m:t xml:space="preserve">−</m:t>
              </m:r>
              <m:r>
                <w:rPr>
                  <w:rFonts w:ascii="Cambria Math" w:hAnsi="Cambria Math"/>
                </w:rPr>
                <m:t xml:space="preserve">0,8879069</m:t>
              </m:r>
            </m:num>
            <m:den>
              <m:r>
                <w:rPr>
                  <w:rFonts w:ascii="Cambria Math" w:hAnsi="Cambria Math"/>
                </w:rPr>
                <m:t xml:space="preserve">0,9023312</m:t>
              </m:r>
            </m:den>
          </m:f>
          <m:r>
            <w:rPr>
              <w:rFonts w:ascii="Cambria Math" w:hAnsi="Cambria Math"/>
            </w:rPr>
            <m:t xml:space="preserve">=</m:t>
          </m:r>
          <m:r>
            <w:rPr>
              <w:rFonts w:ascii="Cambria Math" w:hAnsi="Cambria Math"/>
            </w:rPr>
            <m:t xml:space="preserve">0,015</m:t>
          </m:r>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nivå</m:t>
          </m:r>
          <m:r>
            <w:rPr>
              <w:rFonts w:ascii="Cambria Math" w:hAnsi="Cambria Math"/>
            </w:rPr>
            <m:t xml:space="preserve">2</m:t>
          </m:r>
          <m:r>
            <w:rPr>
              <w:rFonts w:ascii="Cambria Math" w:hAnsi="Cambria Math"/>
            </w:rPr>
            <m:t xml:space="preserve">=</m:t>
          </m:r>
          <m:f>
            <m:num>
              <m:r>
                <w:rPr>
                  <w:rFonts w:ascii="Cambria Math" w:hAnsi="Cambria Math"/>
                </w:rPr>
                <m:t xml:space="preserve">var</m:t>
              </m:r>
              <m:sSub>
                <m:e>
                  <m:d>
                    <m:dPr>
                      <m:begChr m:val="("/>
                      <m:endChr m:val=")"/>
                    </m:dPr>
                    <m:e>
                      <m:sSub>
                        <m:e>
                          <m:r>
                            <w:rPr>
                              <w:rFonts w:ascii="Cambria Math" w:hAnsi="Cambria Math"/>
                            </w:rPr>
                            <m:t xml:space="preserve">u</m:t>
                          </m:r>
                        </m:e>
                        <m:sub>
                          <m:r>
                            <w:rPr>
                              <w:rFonts w:ascii="Cambria Math" w:hAnsi="Cambria Math"/>
                            </w:rPr>
                            <m:t xml:space="preserve">0</m:t>
                          </m:r>
                        </m:sub>
                      </m:sSub>
                    </m:e>
                  </m:d>
                </m:e>
                <m:sub>
                  <m:r>
                    <w:rPr>
                      <w:rFonts w:ascii="Cambria Math" w:hAnsi="Cambria Math"/>
                    </w:rPr>
                    <m:t xml:space="preserve">b</m:t>
                  </m:r>
                </m:sub>
              </m:sSub>
              <m:r>
                <w:rPr>
                  <w:rFonts w:ascii="Cambria Math" w:hAnsi="Cambria Math"/>
                </w:rPr>
                <m:t xml:space="preserve">−</m:t>
              </m:r>
              <m:r>
                <w:rPr>
                  <w:rFonts w:ascii="Cambria Math" w:hAnsi="Cambria Math"/>
                </w:rPr>
                <m:t xml:space="preserve">var</m:t>
              </m:r>
              <m:sSub>
                <m:e>
                  <m:d>
                    <m:dPr>
                      <m:begChr m:val="("/>
                      <m:endChr m:val=")"/>
                    </m:dPr>
                    <m:e>
                      <m:sSub>
                        <m:e>
                          <m:r>
                            <w:rPr>
                              <w:rFonts w:ascii="Cambria Math" w:hAnsi="Cambria Math"/>
                            </w:rPr>
                            <m:t xml:space="preserve">u</m:t>
                          </m:r>
                        </m:e>
                        <m:sub>
                          <m:r>
                            <w:rPr>
                              <w:rFonts w:ascii="Cambria Math" w:hAnsi="Cambria Math"/>
                            </w:rPr>
                            <m:t xml:space="preserve">0</m:t>
                          </m:r>
                        </m:sub>
                      </m:sSub>
                    </m:e>
                  </m:d>
                </m:e>
                <m:sub>
                  <m:r>
                    <w:rPr>
                      <w:rFonts w:ascii="Cambria Math" w:hAnsi="Cambria Math"/>
                    </w:rPr>
                    <m:t xml:space="preserve">m</m:t>
                  </m:r>
                </m:sub>
              </m:sSub>
            </m:num>
            <m:den>
              <m:r>
                <w:rPr>
                  <w:rFonts w:ascii="Cambria Math" w:hAnsi="Cambria Math"/>
                </w:rPr>
                <m:t xml:space="preserve">var</m:t>
              </m:r>
              <m:sSub>
                <m:e>
                  <m:d>
                    <m:dPr>
                      <m:begChr m:val="("/>
                      <m:endChr m:val=")"/>
                    </m:dPr>
                    <m:e>
                      <m:sSub>
                        <m:e>
                          <m:r>
                            <w:rPr>
                              <w:rFonts w:ascii="Cambria Math" w:hAnsi="Cambria Math"/>
                            </w:rPr>
                            <m:t xml:space="preserve">u</m:t>
                          </m:r>
                        </m:e>
                        <m:sub>
                          <m:r>
                            <w:rPr>
                              <w:rFonts w:ascii="Cambria Math" w:hAnsi="Cambria Math"/>
                            </w:rPr>
                            <m:t xml:space="preserve">0</m:t>
                          </m:r>
                        </m:sub>
                      </m:sSub>
                    </m:e>
                  </m:d>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0,1483399</m:t>
              </m:r>
              <m:r>
                <w:rPr>
                  <w:rFonts w:ascii="Cambria Math" w:hAnsi="Cambria Math"/>
                </w:rPr>
                <m:t xml:space="preserve">−</m:t>
              </m:r>
              <m:r>
                <w:rPr>
                  <w:rFonts w:ascii="Cambria Math" w:hAnsi="Cambria Math"/>
                </w:rPr>
                <m:t xml:space="preserve">0,1442555</m:t>
              </m:r>
            </m:num>
            <m:den>
              <m:r>
                <w:rPr>
                  <w:rFonts w:ascii="Cambria Math" w:hAnsi="Cambria Math"/>
                </w:rPr>
                <m:t xml:space="preserve">0,1483399</m:t>
              </m:r>
            </m:den>
          </m:f>
          <m:r>
            <w:rPr>
              <w:rFonts w:ascii="Cambria Math" w:hAnsi="Cambria Math"/>
            </w:rPr>
            <m:t xml:space="preserve">=</m:t>
          </m:r>
          <m:r>
            <w:rPr>
              <w:rFonts w:ascii="Cambria Math" w:hAnsi="Cambria Math"/>
            </w:rPr>
            <m:t xml:space="preserve">0,028</m:t>
          </m:r>
        </m:oMath>
      </m:oMathPara>
    </w:p>
    <w:p>
      <w:pPr>
        <w:pStyle w:val="Normal"/>
        <w:spacing w:lineRule="auto" w:line="360"/>
        <w:rPr/>
      </w:pPr>
      <w:r>
        <w:rPr/>
      </w:r>
    </w:p>
    <w:p>
      <w:pPr>
        <w:pStyle w:val="Normal"/>
        <w:spacing w:lineRule="auto" w:line="360"/>
        <w:rPr/>
      </w:pPr>
      <w:r>
        <w:rPr/>
        <w:t xml:space="preserve">Modell 10 sammenlignes med modell 4 i tabell 18, som viste samspill mellom kvinner og maktdelingsland uten vekting. Forklaringskraften holder seg på samme nivå på individnivå, men er noe lavere på landnivå (2,8% i modell 2; 3,8% i tabell 14). I tabell 23 er ikke lenger samspillsleddet mellom kvinner og maktdelingsland statistisk signifikant. Det samme gjelder variabelen for undertrykt, som i tabell 18 hadde en negativ signifikant verdi. </w:t>
      </w:r>
      <w:r>
        <w:rPr>
          <w:i/>
          <w:iCs/>
        </w:rPr>
        <w:t xml:space="preserve">H2b </w:t>
      </w:r>
      <w:r>
        <w:rPr/>
        <w:t>avvises dermed i tabell 23.</w:t>
      </w:r>
    </w:p>
    <w:p>
      <w:pPr>
        <w:pStyle w:val="Normal"/>
        <w:jc w:val="left"/>
        <w:rPr/>
      </w:pPr>
      <w:r>
        <w:rPr/>
      </w:r>
      <w:r>
        <w:br w:type="page"/>
      </w:r>
    </w:p>
    <w:p>
      <w:pPr>
        <w:pStyle w:val="Heading1"/>
        <w:spacing w:lineRule="auto" w:line="360"/>
        <w:rPr/>
      </w:pPr>
      <w:bookmarkStart w:id="94" w:name="_Toc72502758"/>
      <w:bookmarkStart w:id="95" w:name="_Toc71923042"/>
      <w:r>
        <w:rPr/>
        <w:t>Kapittel 9. Diskusjon og konklusjon</w:t>
      </w:r>
      <w:bookmarkEnd w:id="94"/>
      <w:bookmarkEnd w:id="95"/>
    </w:p>
    <w:p>
      <w:pPr>
        <w:pStyle w:val="Heading2"/>
        <w:rPr/>
      </w:pPr>
      <w:bookmarkStart w:id="96" w:name="_Toc72502759"/>
      <w:bookmarkStart w:id="97" w:name="_Toc71923043"/>
      <w:r>
        <w:rPr/>
        <w:t>9.1. Oppsummering</w:t>
      </w:r>
      <w:bookmarkEnd w:id="96"/>
      <w:bookmarkEnd w:id="97"/>
    </w:p>
    <w:p>
      <w:pPr>
        <w:pStyle w:val="Normal"/>
        <w:spacing w:lineRule="auto" w:line="360"/>
        <w:rPr/>
      </w:pPr>
      <w:r>
        <w:rPr/>
        <w:t>I denne oppgaven har jeg undersøkt hvorvidt politisk tillit kan forklares av to utsatte samfunnsgrupper i afrikanske postkonflikt-land med politisk maktdeling og closed-list PR som institusjonsform. Den første samfunnsgruppen er politisk undertrykte etniske grupper. Det ble antatt at denne gruppen ville ha høyere politisk tillit i pk-land med politisk maktdeling grunnet i at en undertrykt gruppe vil øke sin relative makt ved en redistribusjon av politisk makt. Pk-land vil ofte være karakterisert av dårlig økonomisk tilstand (</w:t>
      </w:r>
      <w:r>
        <w:rPr>
          <w:color w:val="FF0000"/>
        </w:rPr>
        <w:t>har jeg skrevet dette noe sted?</w:t>
      </w:r>
      <w:r>
        <w:rPr>
          <w:color w:val="000000"/>
        </w:rPr>
        <w:t xml:space="preserve">), og nettopp derfor antas det at den politiske tilliten vil styrkes i maktdelingsland på det afrikanske kontinentet: </w:t>
      </w:r>
      <w:r>
        <w:rPr/>
        <w:t>nye politiske autoriteter i afrikanske land evalueres basert på politiske goder som allokeres, selv om økonomien forverres som en konsekvens av det. I tillegg vil nivået av politisk tillit vil reflektere samfunnets totalvurdering av legitimitet, og dermed legge mindre vekt på landets økonomiske situasjon. Totalvurderingen av legitimitet vil speile hvor godt institusjonene fungerer opp mot forventningene, samtidig som politisk tillit er et grunnlag for legitimering.</w:t>
      </w:r>
    </w:p>
    <w:p>
      <w:pPr>
        <w:pStyle w:val="Normal"/>
        <w:spacing w:lineRule="auto" w:line="360"/>
        <w:rPr/>
      </w:pPr>
      <w:r>
        <w:rPr/>
        <w:t xml:space="preserve">Den andre samfunnsgruppen som omfattes av oppgaven er kvinner. Oppgavens teoretiske rammeverk som omfatter politisk undertrykte etniske grupper vil følgelig gjelde for kvinner – som i seg selv har vært en politisk undertrykt gruppe gjennom flere år. I tillegg vises det spesifikt til kvinners rettigheter som blir styrket i lys av fredsavtaler. Det skal nevnes av politisk maktdeling kan forekomme uten fredsavtale, samtidig som en fredsavtale kan finne sted uten lovnader om maktdeling. Likevel er dette et aspekt det legges vekt på. </w:t>
      </w:r>
    </w:p>
    <w:p>
      <w:pPr>
        <w:pStyle w:val="Normal"/>
        <w:spacing w:lineRule="auto" w:line="360"/>
        <w:rPr/>
      </w:pPr>
      <w:r>
        <w:rPr>
          <w:color w:val="000000"/>
        </w:rPr>
        <w:t>Oppgaven tar for seg politisk maktdeling som et samlebegrep på seks forskjellige institusjonsformer: Closed-list PR, open-list PR, koalisjon i utøvende makt, koalisjon i lovgivende makt, spesialisert veto og proporsjonal utnevnelse. Optimalt sett skulle alle disse institusjonsformene blitt testet ut hver for seg, men grunnet manglende observasjoner ble det tatt utgangspunkt i closed-list PR. Dette skyldes at denne formen hadde flest tilfeller blant utvalget av land, samtidig som closed-list PR ble antatt til å være den viktigste grunnen til økt politisk tillit blant individer i pk-land. Dette begrunnes i at closed-list PR er vist til å øke stabiliteten kontra andre institusjonsformer. Det går igjen tilbake til argumentet om at hvor godt institusjonene fungerer vil være den viktigste prediktoren for politisk tillit blant individer på det afrikanske kontinentet. Som jeg vil diskutere videre i delkapittel 9.4. er forskning på de ulike formene for politisk tillit svært begrenset. De to formene som det fins mest forskning på er closed-list og open-list PR. Det har derfor vært naturlig å sammenligne disse i argumentasjonen for hvilken institusjonsform som kan antas å styrke den politiske tilliten blant utsatte samfunnsgrupper. Open-list PR har av enkelte blitt vist til å øke korrupsjon, mens andre har argumentert for at open-list PR styrker linken mellom en god representant og dens gjenvalg. Jeg har flere ganger brukt det sistnevnte argumentet for å argumentere for det motsatte. Jeg mener at argumentet som går ut på at open-list PR øker velgernes makt ved å kunne stemme på enkeltpolitikere innad i partier ikke vil gjelde for land med etnisk fragmentering, som vi ser i stor grad på det afrikanske kontinentet. Land med etnisk fragmentering antas å ha en høyere forekomst av etnisk stemmegivning. Følgelig vil politikere som representerer den politisk dominante etniske gruppen vil ikke være nødt til å svare til den politisk undertrykte gruppen. Fordelen med open-list PR vil da falle bort, og videre antar jeg at closed-list PR vil øke den politiske tilliten blant politisk undertrykte etniske grupper. Dette er først og fremst et argument til ettertanke, da jeg ikke har hatt mulighet til å teste denne hypotesen med de dataene som er tilgjengelig. Jeg har imidlertid hatt mulighet til å teste den generelle politiske tilliten, samt tilliten hos kvinner. Som nevnt er hypotesene for politisk tillit hos den generelle populasjonen og kvinner basert på et noe løsere argument enn argumentet rettet mot politisk undertrykte etniske grupper. Som tabell 1 har vist, er closed-list PR den institusjonsformen blant politisk maktdeling som har vært mest vellykket med tanke på fredsbevaring. Når det også vises til at closed-list PR øker stabiliteten, ble det antatt at den generell politiske tilliten vil styrkes som et resultat av det. Det gjelder også for kvinner, som ses på som en undertrykt gruppe</w:t>
      </w:r>
      <w:r>
        <w:rPr>
          <w:color w:val="FF0000"/>
        </w:rPr>
        <w:t>.</w:t>
      </w:r>
      <w:r>
        <w:rPr>
          <w:color w:val="000000"/>
        </w:rPr>
        <w:t xml:space="preserve"> </w:t>
      </w:r>
    </w:p>
    <w:p>
      <w:pPr>
        <w:pStyle w:val="Normal"/>
        <w:spacing w:lineRule="auto" w:line="360"/>
        <w:rPr>
          <w:color w:val="000000"/>
        </w:rPr>
      </w:pPr>
      <w:r>
        <w:rPr>
          <w:color w:val="000000"/>
        </w:rPr>
        <w:t>I delkapittel 10.2. vil jeg prestere hypotesene på nytt, og oppsummere funnene som er gjort i oppgavens analyse.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spacing w:lineRule="auto" w:line="360"/>
        <w:rPr/>
      </w:pPr>
      <w:r>
        <w:rPr/>
      </w:r>
      <w:bookmarkStart w:id="98" w:name="_Toc72502760"/>
      <w:bookmarkStart w:id="99" w:name="_Toc71923044"/>
      <w:bookmarkStart w:id="100" w:name="_Toc72502760"/>
      <w:bookmarkStart w:id="101" w:name="_Toc71923044"/>
    </w:p>
    <w:p>
      <w:pPr>
        <w:pStyle w:val="Heading2"/>
        <w:spacing w:lineRule="auto" w:line="360"/>
        <w:rPr/>
      </w:pPr>
      <w:bookmarkStart w:id="102" w:name="_Toc72502760"/>
      <w:bookmarkStart w:id="103" w:name="_Toc71923044"/>
      <w:r>
        <w:rPr/>
        <w:t>9.2. Hypoteser og resultater</w:t>
      </w:r>
      <w:bookmarkEnd w:id="102"/>
      <w:bookmarkEnd w:id="103"/>
    </w:p>
    <w:p>
      <w:pPr>
        <w:pStyle w:val="Normal"/>
        <w:spacing w:lineRule="auto" w:line="360"/>
        <w:rPr/>
      </w:pPr>
      <w:r>
        <w:rPr/>
        <w:t>I tabell 24 er hypotesene og relaterte funn oppsummert med informasjon om signifikansnivå og relevante tabeller. Videre i delkapittelet vil jeg oppsummere funnene mer detaljert.</w:t>
      </w:r>
    </w:p>
    <w:p>
      <w:pPr>
        <w:pStyle w:val="Normal"/>
        <w:spacing w:lineRule="auto" w:line="360"/>
        <w:rPr>
          <w:color w:val="FF0000"/>
        </w:rPr>
      </w:pPr>
      <w:r>
        <w:rPr>
          <w:color w:val="FF0000"/>
        </w:rPr>
        <w:t>I tabell 24 skal jeg også inkludere de substansielle effektene (koeffisient i forhold til standardavvik).</w:t>
      </w:r>
    </w:p>
    <w:p>
      <w:pPr>
        <w:pStyle w:val="Normal"/>
        <w:spacing w:lineRule="auto" w:line="360"/>
        <w:rPr>
          <w:i/>
          <w:i/>
          <w:iCs/>
        </w:rPr>
      </w:pPr>
      <w:r>
        <w:rPr>
          <w:i/>
          <w:iCs/>
        </w:rPr>
        <w:t>Tabell 24: Oppsummering av funn i lys av hypoteser</w:t>
      </w:r>
    </w:p>
    <w:tbl>
      <w:tblPr>
        <w:tblW w:w="8793" w:type="dxa"/>
        <w:jc w:val="left"/>
        <w:tblInd w:w="0" w:type="dxa"/>
        <w:tblLayout w:type="fixed"/>
        <w:tblCellMar>
          <w:top w:w="0" w:type="dxa"/>
          <w:left w:w="108" w:type="dxa"/>
          <w:bottom w:w="0" w:type="dxa"/>
          <w:right w:w="108" w:type="dxa"/>
        </w:tblCellMar>
      </w:tblPr>
      <w:tblGrid>
        <w:gridCol w:w="3280"/>
        <w:gridCol w:w="1960"/>
        <w:gridCol w:w="1724"/>
        <w:gridCol w:w="1829"/>
      </w:tblGrid>
      <w:tr>
        <w:trPr/>
        <w:tc>
          <w:tcPr>
            <w:tcW w:w="3280"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spacing w:lineRule="auto" w:line="240" w:before="0" w:after="0"/>
              <w:rPr>
                <w:rFonts w:eastAsia="Calibri"/>
                <w:kern w:val="0"/>
                <w:szCs w:val="22"/>
                <w:lang w:val="en-US" w:eastAsia="en-US" w:bidi="ar-SA"/>
              </w:rPr>
            </w:pPr>
            <w:r>
              <w:rPr>
                <w:rFonts w:eastAsia="Calibri"/>
                <w:kern w:val="0"/>
                <w:szCs w:val="22"/>
                <w:lang w:val="en-US" w:eastAsia="en-US" w:bidi="ar-SA"/>
              </w:rPr>
              <w:t>Hypotese</w:t>
            </w:r>
          </w:p>
        </w:tc>
        <w:tc>
          <w:tcPr>
            <w:tcW w:w="1960"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spacing w:lineRule="auto" w:line="240" w:before="0" w:after="0"/>
              <w:rPr>
                <w:rFonts w:eastAsia="Calibri"/>
                <w:kern w:val="0"/>
                <w:szCs w:val="22"/>
                <w:lang w:val="en-US" w:eastAsia="en-US" w:bidi="ar-SA"/>
              </w:rPr>
            </w:pPr>
            <w:r>
              <w:rPr>
                <w:rFonts w:eastAsia="Calibri"/>
                <w:kern w:val="0"/>
                <w:szCs w:val="22"/>
                <w:lang w:val="en-US" w:eastAsia="en-US" w:bidi="ar-SA"/>
              </w:rPr>
              <w:t>Hypotesen støttes</w:t>
            </w:r>
          </w:p>
        </w:tc>
        <w:tc>
          <w:tcPr>
            <w:tcW w:w="1724"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spacing w:lineRule="auto" w:line="240" w:before="0" w:after="0"/>
              <w:rPr>
                <w:rFonts w:eastAsia="Calibri"/>
                <w:kern w:val="0"/>
                <w:szCs w:val="22"/>
                <w:lang w:val="en-US" w:eastAsia="en-US" w:bidi="ar-SA"/>
              </w:rPr>
            </w:pPr>
            <w:r>
              <w:rPr>
                <w:rFonts w:eastAsia="Calibri"/>
                <w:kern w:val="0"/>
                <w:szCs w:val="22"/>
                <w:lang w:val="en-US" w:eastAsia="en-US" w:bidi="ar-SA"/>
              </w:rPr>
              <w:t xml:space="preserve">Signifikansnivå </w:t>
            </w:r>
          </w:p>
        </w:tc>
        <w:tc>
          <w:tcPr>
            <w:tcW w:w="1829"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spacing w:lineRule="auto" w:line="240" w:before="0" w:after="0"/>
              <w:rPr>
                <w:rFonts w:eastAsia="Calibri"/>
                <w:kern w:val="0"/>
                <w:szCs w:val="22"/>
                <w:lang w:val="en-US" w:eastAsia="en-US" w:bidi="ar-SA"/>
              </w:rPr>
            </w:pPr>
            <w:r>
              <w:rPr>
                <w:rFonts w:eastAsia="Calibri"/>
                <w:kern w:val="0"/>
                <w:szCs w:val="22"/>
                <w:lang w:val="en-US" w:eastAsia="en-US" w:bidi="ar-SA"/>
              </w:rPr>
              <w:t>Tabell (modell)</w:t>
            </w:r>
          </w:p>
        </w:tc>
      </w:tr>
      <w:tr>
        <w:trPr/>
        <w:tc>
          <w:tcPr>
            <w:tcW w:w="3280"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spacing w:lineRule="auto" w:line="360" w:before="0" w:after="0"/>
              <w:jc w:val="left"/>
              <w:rPr>
                <w:rFonts w:eastAsia="Calibri"/>
                <w:i/>
                <w:i/>
                <w:iCs/>
                <w:kern w:val="0"/>
                <w:szCs w:val="22"/>
                <w:lang w:val="nb-NO" w:eastAsia="en-US" w:bidi="ar-SA"/>
              </w:rPr>
            </w:pPr>
            <w:r>
              <w:rPr>
                <w:rFonts w:eastAsia="Calibri"/>
                <w:i/>
                <w:iCs/>
                <w:kern w:val="0"/>
                <w:szCs w:val="22"/>
                <w:lang w:val="nb-NO" w:eastAsia="en-US" w:bidi="ar-SA"/>
              </w:rPr>
              <w:t>H1: Den generelle politiske tilliten er høyere i pk-land med politisk maktdeling sammenlignet med pk-land uten politisk maktdeling.</w:t>
            </w:r>
          </w:p>
        </w:tc>
        <w:tc>
          <w:tcPr>
            <w:tcW w:w="19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t>Nei</w:t>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t>Nei</w:t>
            </w:r>
          </w:p>
        </w:tc>
        <w:tc>
          <w:tcPr>
            <w:tcW w:w="17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t>&gt;10%</w:t>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t>&gt;10%</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t>17 (2)</w:t>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t>22 (5)</w:t>
            </w:r>
          </w:p>
        </w:tc>
      </w:tr>
      <w:tr>
        <w:trPr/>
        <w:tc>
          <w:tcPr>
            <w:tcW w:w="3280"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spacing w:lineRule="auto" w:line="240" w:before="0" w:after="0"/>
              <w:jc w:val="left"/>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360" w:before="0" w:after="0"/>
              <w:jc w:val="left"/>
              <w:rPr>
                <w:rFonts w:eastAsia="Calibri"/>
                <w:i/>
                <w:i/>
                <w:iCs/>
                <w:kern w:val="0"/>
                <w:szCs w:val="22"/>
                <w:lang w:val="nb-NO" w:eastAsia="en-US" w:bidi="ar-SA"/>
              </w:rPr>
            </w:pPr>
            <w:r>
              <w:rPr>
                <w:rFonts w:eastAsia="Calibri"/>
                <w:i/>
                <w:iCs/>
                <w:kern w:val="0"/>
                <w:szCs w:val="22"/>
                <w:lang w:val="nb-NO" w:eastAsia="en-US" w:bidi="ar-SA"/>
              </w:rPr>
              <w:t>H2a: Politisk undertrykte etniske grupper har høyere politisk tillit i maktdelingsland sammenlignet med undertrykte grupper i pk-land uten maktdeling.</w:t>
            </w:r>
          </w:p>
        </w:tc>
        <w:tc>
          <w:tcPr>
            <w:tcW w:w="19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t>Nei</w:t>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t>Nei</w:t>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tc>
        <w:tc>
          <w:tcPr>
            <w:tcW w:w="17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t>&lt; 1%</w:t>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t>&lt; 1%</w:t>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t>18 (3)</w:t>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t>23 (9)</w:t>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tc>
      </w:tr>
      <w:tr>
        <w:trPr>
          <w:trHeight w:val="1764" w:hRule="atLeast"/>
        </w:trPr>
        <w:tc>
          <w:tcPr>
            <w:tcW w:w="3280"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spacing w:lineRule="auto" w:line="240" w:before="0" w:after="0"/>
              <w:jc w:val="left"/>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360" w:before="0" w:after="0"/>
              <w:jc w:val="left"/>
              <w:rPr>
                <w:rFonts w:eastAsia="Calibri"/>
                <w:i/>
                <w:i/>
                <w:iCs/>
                <w:kern w:val="0"/>
                <w:szCs w:val="22"/>
                <w:lang w:val="nb-NO" w:eastAsia="en-US" w:bidi="ar-SA"/>
              </w:rPr>
            </w:pPr>
            <w:r>
              <w:rPr>
                <w:rFonts w:eastAsia="Calibri"/>
                <w:i/>
                <w:iCs/>
                <w:kern w:val="0"/>
                <w:szCs w:val="22"/>
                <w:lang w:val="nb-NO" w:eastAsia="en-US" w:bidi="ar-SA"/>
              </w:rPr>
              <w:t>H2b: Kvinner har høyere politisk tillit i maktdelingsland sammenlignet med kvinner i pk-land uten maktdeling.</w:t>
            </w:r>
          </w:p>
        </w:tc>
        <w:tc>
          <w:tcPr>
            <w:tcW w:w="19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t>Nei</w:t>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t>Nei</w:t>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t>Nei</w:t>
            </w:r>
          </w:p>
        </w:tc>
        <w:tc>
          <w:tcPr>
            <w:tcW w:w="17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t>&lt; 1%</w:t>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t>&gt; 10%</w:t>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t>&gt; 10%</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t>18 (4)</w:t>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t>22 (7)</w:t>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t>23 (10)</w:t>
            </w:r>
          </w:p>
        </w:tc>
      </w:tr>
      <w:tr>
        <w:trPr/>
        <w:tc>
          <w:tcPr>
            <w:tcW w:w="3280"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spacing w:lineRule="auto" w:line="240" w:before="0" w:after="0"/>
              <w:jc w:val="left"/>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360" w:before="0" w:after="0"/>
              <w:jc w:val="left"/>
              <w:rPr>
                <w:rFonts w:eastAsia="Calibri"/>
                <w:i/>
                <w:i/>
                <w:iCs/>
                <w:kern w:val="0"/>
                <w:szCs w:val="22"/>
                <w:lang w:val="nb-NO" w:eastAsia="en-US" w:bidi="ar-SA"/>
              </w:rPr>
            </w:pPr>
            <w:r>
              <w:rPr>
                <w:rFonts w:eastAsia="Calibri"/>
                <w:i/>
                <w:iCs/>
                <w:kern w:val="0"/>
                <w:szCs w:val="22"/>
                <w:lang w:val="nb-NO" w:eastAsia="en-US" w:bidi="ar-SA"/>
              </w:rPr>
              <w:t>H3a: Den generelle politiske tilliten er høyere i pk-land med closed-list PR sammenlignet med pk-land uten closed-list PR.</w:t>
            </w:r>
          </w:p>
        </w:tc>
        <w:tc>
          <w:tcPr>
            <w:tcW w:w="19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t>Nei</w:t>
            </w:r>
          </w:p>
        </w:tc>
        <w:tc>
          <w:tcPr>
            <w:tcW w:w="17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t>&gt; 10%</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t>22 (6)</w:t>
            </w:r>
          </w:p>
        </w:tc>
      </w:tr>
      <w:tr>
        <w:trPr/>
        <w:tc>
          <w:tcPr>
            <w:tcW w:w="3280"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spacing w:lineRule="auto" w:line="360" w:before="0" w:after="0"/>
              <w:jc w:val="left"/>
              <w:rPr>
                <w:rFonts w:eastAsia="Calibri"/>
                <w:i/>
                <w:i/>
                <w:iCs/>
                <w:kern w:val="0"/>
                <w:szCs w:val="22"/>
                <w:lang w:val="nb-NO" w:eastAsia="en-US" w:bidi="ar-SA"/>
              </w:rPr>
            </w:pPr>
            <w:r>
              <w:rPr>
                <w:rFonts w:eastAsia="Calibri"/>
                <w:i/>
                <w:iCs/>
                <w:kern w:val="0"/>
                <w:szCs w:val="22"/>
                <w:lang w:val="nb-NO" w:eastAsia="en-US" w:bidi="ar-SA"/>
              </w:rPr>
              <w:t>H3b: Kvinner har høyere politisk tillit i pk-land med closed-list PR sammenlignet med kvinner i pk-land uten closed-list PR.</w:t>
            </w:r>
          </w:p>
        </w:tc>
        <w:tc>
          <w:tcPr>
            <w:tcW w:w="19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t>Ja</w:t>
            </w:r>
          </w:p>
        </w:tc>
        <w:tc>
          <w:tcPr>
            <w:tcW w:w="17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t>&lt; 5%</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r>
          </w:p>
          <w:p>
            <w:pPr>
              <w:pStyle w:val="Normal"/>
              <w:widowControl/>
              <w:spacing w:lineRule="auto" w:line="240" w:before="0" w:after="0"/>
              <w:rPr>
                <w:rFonts w:eastAsia="Calibri"/>
                <w:kern w:val="0"/>
                <w:szCs w:val="22"/>
                <w:lang w:val="nb-NO" w:eastAsia="en-US" w:bidi="ar-SA"/>
              </w:rPr>
            </w:pPr>
            <w:r>
              <w:rPr>
                <w:rFonts w:eastAsia="Calibri"/>
                <w:kern w:val="0"/>
                <w:szCs w:val="22"/>
                <w:lang w:val="nb-NO" w:eastAsia="en-US" w:bidi="ar-SA"/>
              </w:rPr>
              <w:t>22 (8)</w:t>
            </w:r>
          </w:p>
        </w:tc>
      </w:tr>
    </w:tbl>
    <w:p>
      <w:pPr>
        <w:pStyle w:val="Normal"/>
        <w:spacing w:lineRule="auto" w:line="360"/>
        <w:rPr/>
      </w:pPr>
      <w:r>
        <w:rPr/>
      </w:r>
    </w:p>
    <w:p>
      <w:pPr>
        <w:pStyle w:val="Normal"/>
        <w:spacing w:lineRule="auto" w:line="360"/>
        <w:rPr>
          <w:i/>
          <w:i/>
          <w:iCs/>
        </w:rPr>
      </w:pPr>
      <w:r>
        <w:rPr>
          <w:i/>
          <w:iCs/>
        </w:rPr>
        <w:t>H1: Den generelle politiske tilliten er høyere i pk-land med politisk maktdeling sammenlignet med pk-land uten politisk maktdeling.</w:t>
      </w:r>
    </w:p>
    <w:p>
      <w:pPr>
        <w:pStyle w:val="Normal"/>
        <w:spacing w:lineRule="auto" w:line="360"/>
        <w:rPr/>
      </w:pPr>
      <w:r>
        <w:rPr>
          <w:i/>
          <w:iCs/>
        </w:rPr>
        <w:t>H1</w:t>
      </w:r>
      <w:r>
        <w:rPr/>
        <w:t xml:space="preserve"> ble testet i to tabeller. Først i tabell 17, modell 2 hvor vi ikke ser noen signifikant effekt på maktdelingsvariabelen. Det samme gjelder i tabell 22, modell 5, hvor maktdeling fortsatt ikke oppnår statistisk signifikans. </w:t>
      </w:r>
      <w:r>
        <w:rPr>
          <w:i/>
          <w:iCs/>
        </w:rPr>
        <w:t>H1</w:t>
      </w:r>
      <w:r>
        <w:rPr/>
        <w:t xml:space="preserve"> avvises.</w:t>
      </w:r>
    </w:p>
    <w:p>
      <w:pPr>
        <w:pStyle w:val="Normal"/>
        <w:spacing w:lineRule="auto" w:line="360"/>
        <w:rPr>
          <w:i/>
          <w:i/>
          <w:iCs/>
        </w:rPr>
      </w:pPr>
      <w:r>
        <w:rPr>
          <w:i/>
          <w:iCs/>
        </w:rPr>
        <w:t>H2a: Politisk undertrykte etniske grupper har høyere politisk tillit i maktdelingsland sammenlignet med undertrykte grupper i land uten maktdeling.</w:t>
      </w:r>
    </w:p>
    <w:p>
      <w:pPr>
        <w:pStyle w:val="Normal"/>
        <w:spacing w:lineRule="auto" w:line="360"/>
        <w:rPr/>
      </w:pPr>
      <w:r>
        <w:rPr>
          <w:i/>
          <w:iCs/>
        </w:rPr>
        <w:t>H2a</w:t>
      </w:r>
      <w:r>
        <w:rPr/>
        <w:t xml:space="preserve"> ble testet i tabell 18, modell 3 og i tabell 23, modell 9. I begge disse vises det til en signifikant negativ effekt. Det betyr at </w:t>
      </w:r>
      <w:r>
        <w:rPr>
          <w:i/>
          <w:iCs/>
        </w:rPr>
        <w:t>H2a</w:t>
      </w:r>
      <w:r>
        <w:rPr/>
        <w:t xml:space="preserve"> avvises, samtidig som vi kan bekrefte det motsatte: politisk undertrykte etniske grupper har </w:t>
      </w:r>
      <w:r>
        <w:rPr>
          <w:i/>
          <w:iCs/>
        </w:rPr>
        <w:t xml:space="preserve">lavere </w:t>
      </w:r>
      <w:r>
        <w:rPr/>
        <w:t xml:space="preserve">politisk tillit i maktdelingsland sammenlignet med undertrykte grupper i land uten maktdeling. </w:t>
      </w:r>
    </w:p>
    <w:p>
      <w:pPr>
        <w:pStyle w:val="Normal"/>
        <w:spacing w:lineRule="auto" w:line="360"/>
        <w:rPr>
          <w:i/>
          <w:i/>
          <w:iCs/>
        </w:rPr>
      </w:pPr>
      <w:r>
        <w:rPr>
          <w:i/>
          <w:iCs/>
        </w:rPr>
        <w:t>H2b: Kvinner har høyere politisk tillit i maktdelingsland sammenlignet med kvinner i land uten maktdeling.</w:t>
      </w:r>
    </w:p>
    <w:p>
      <w:pPr>
        <w:pStyle w:val="Normal"/>
        <w:spacing w:lineRule="auto" w:line="360"/>
        <w:rPr/>
      </w:pPr>
      <w:r>
        <w:rPr>
          <w:i/>
          <w:iCs/>
        </w:rPr>
        <w:t xml:space="preserve">H2b </w:t>
      </w:r>
      <w:r>
        <w:rPr/>
        <w:t xml:space="preserve">ble testet først testet i tabell 18, modell 4, hvor vi ser en signifikant negativ effekt. Funnet innebærer at kvinner har </w:t>
      </w:r>
      <w:r>
        <w:rPr>
          <w:i/>
          <w:iCs/>
        </w:rPr>
        <w:t>lavere</w:t>
      </w:r>
      <w:r>
        <w:rPr/>
        <w:t xml:space="preserve"> politisk tillit i maktdelingsland sammenlignet med kvinner i land uten maktdeling. I tabell 22, modell 7 og tabell 23, modell 10 er derimot effekten ikke signifikant. Jeg vil argumentere for at begge disse, og spesielt tabell 23, er sterkere modeller enn tabell 18. I tabell 23 er flere land inkludert, og N2 er på et nivå som kan anses som mer akseptabelt enn de øvrige ved inkludering av samspillsledd. Uansett avvises </w:t>
      </w:r>
      <w:r>
        <w:rPr>
          <w:i/>
          <w:iCs/>
        </w:rPr>
        <w:t>H2b</w:t>
      </w:r>
      <w:r>
        <w:rPr/>
        <w:t>.</w:t>
      </w:r>
    </w:p>
    <w:p>
      <w:pPr>
        <w:pStyle w:val="Normal"/>
        <w:spacing w:lineRule="auto" w:line="360"/>
        <w:rPr>
          <w:i/>
          <w:i/>
          <w:iCs/>
        </w:rPr>
      </w:pPr>
      <w:r>
        <w:rPr>
          <w:i/>
          <w:iCs/>
        </w:rPr>
        <w:t>H3a: Den generelle politiske tilliten er høyere i land med closed-list PR sammenlignet med land uten closed-list PR.</w:t>
      </w:r>
    </w:p>
    <w:p>
      <w:pPr>
        <w:pStyle w:val="Normal"/>
        <w:spacing w:lineRule="auto" w:line="360"/>
        <w:rPr/>
      </w:pPr>
      <w:r>
        <w:rPr>
          <w:i/>
          <w:iCs/>
        </w:rPr>
        <w:t>H3a</w:t>
      </w:r>
      <w:r>
        <w:rPr/>
        <w:t xml:space="preserve"> ble testet i tabell 22, modell 6. Resultatet fra regresjonen viser til en ikke-signifikant effekt, og </w:t>
      </w:r>
      <w:r>
        <w:rPr>
          <w:i/>
          <w:iCs/>
        </w:rPr>
        <w:t>H3a</w:t>
      </w:r>
      <w:r>
        <w:rPr/>
        <w:t xml:space="preserve"> avvises.</w:t>
      </w:r>
    </w:p>
    <w:p>
      <w:pPr>
        <w:pStyle w:val="Normal"/>
        <w:spacing w:lineRule="auto" w:line="360"/>
        <w:rPr>
          <w:i/>
          <w:i/>
          <w:iCs/>
        </w:rPr>
      </w:pPr>
      <w:r>
        <w:rPr>
          <w:i/>
          <w:iCs/>
        </w:rPr>
        <w:t>H3b: Kvinner har høyere politisk tillit i land med closed-list PR sammenlignet med kvinner i land uten closed-list PR.</w:t>
      </w:r>
    </w:p>
    <w:p>
      <w:pPr>
        <w:pStyle w:val="Normal"/>
        <w:spacing w:lineRule="auto" w:line="360"/>
        <w:rPr/>
      </w:pPr>
      <w:r>
        <w:rPr>
          <w:i/>
          <w:iCs/>
        </w:rPr>
        <w:t xml:space="preserve">H3b </w:t>
      </w:r>
      <w:r>
        <w:rPr/>
        <w:t xml:space="preserve">ble testet i tabell 22, modell 8. Samspillsleddet mellom closed-list PR og kvinne viser en signifikant positiv effekt. Det betyr at </w:t>
      </w:r>
      <w:r>
        <w:rPr>
          <w:i/>
          <w:iCs/>
        </w:rPr>
        <w:t xml:space="preserve">H3b </w:t>
      </w:r>
      <w:r>
        <w:rPr/>
        <w:t>kan beholdes ut ifra oppgavens analyser.</w:t>
      </w:r>
    </w:p>
    <w:p>
      <w:pPr>
        <w:pStyle w:val="Normal"/>
        <w:spacing w:lineRule="auto" w:line="360"/>
        <w:rPr/>
      </w:pPr>
      <w:r>
        <w:rPr/>
      </w:r>
    </w:p>
    <w:p>
      <w:pPr>
        <w:pStyle w:val="Heading2"/>
        <w:spacing w:lineRule="auto" w:line="360"/>
        <w:jc w:val="both"/>
        <w:rPr/>
      </w:pPr>
      <w:bookmarkStart w:id="104" w:name="_Toc72502761"/>
      <w:bookmarkStart w:id="105" w:name="_Toc71923045"/>
      <w:r>
        <w:rPr/>
        <w:t>9.3. Diskusjon</w:t>
      </w:r>
      <w:bookmarkEnd w:id="104"/>
      <w:bookmarkEnd w:id="105"/>
    </w:p>
    <w:p>
      <w:pPr>
        <w:pStyle w:val="Normal"/>
        <w:spacing w:lineRule="auto" w:line="360"/>
        <w:rPr/>
      </w:pPr>
      <w:r>
        <w:rPr/>
        <w:t xml:space="preserve">I diskusjonsdelen vil jeg ta for meg alle funn som er gjort, og sette disse i lys av teorien som er presentert. Jeg vil først ta for meg hypotesen som bekreftes i analysen: en vektet flernivåregresjon viser at kvinner har høyere politisk tillit i pk-land med closed-list PR sammenlignet med kvinner i pk-land uten closed-list PR. Sammenligningsgrunnlaget for denne analysen er pk-land i Afrika, uavhengig om de har en annen form for politisk maktdeling eller ikke. I appendiks z? er den uvektede versjonen av tabell 18 vedlagt, hvor vi finner igjen det samme funnet. Forskjellen er at den uvektede regresjonen er signifikant på 1%-nivå, mens funnet i den vektede regresjonen er signifikant på 5%-nivå. I den uvektede regresjonen er også den enkeltstående variabelen for kvinne negativ og signifikant på 5%-nivå. Regresjonen i appendiks z viser dermed at kvinner i pk-land uten closed-list PR har lavere politisk tillit. Mangelen på dette funnet i tabell 18 vil imidlertid ikke ha noe å si for hypotesen. Det betyr at det finnes en sammenheng mellom kvinner og politisk tillit i closed-list PR land, men at denne effekten ikke eksisterer for kvinner i andre afrikanske pk-land. Disse to tabellene viser ikke til funn som vil ha ulik betydning for hypotesens konklusjon, men det er likevel viktig å adressere forskjellene. Dette vil koke ned til et spørsmål om hvilken av de to tabellene vi bør stole på, og trekke slutninger fra. Til syvende og sist er dette et teoretisk spørsmål, men ut ifra anbefalinger fra datasettets leverandør, Afrobarometer, vil jeg argumentere for at den vektede versjonen bør anses som sterkest. </w:t>
      </w:r>
    </w:p>
    <w:p>
      <w:pPr>
        <w:pStyle w:val="Normal"/>
        <w:spacing w:lineRule="auto" w:line="360"/>
        <w:rPr/>
      </w:pPr>
      <w:r>
        <w:rPr/>
        <w:t xml:space="preserve">Argumentene som knytter kvinners politiske tillit i closed-list PR-land er unektelig svakere, og det er ikke klart hvilke mekanismer som spiller inn. Jeg vil likevel fremlegge noen punkter som kan bidra til å forstå sammenhengen. Det som har blitt etablert i denne oppgaven er at closed-list PR styrker den institusjonelle stabiliteten. Da oppgaven benytter tverrsnittdata, er det umulig å si hvilken vei årsaksretningen går. Det betyr at dersom post-konflikt-stabilitet er en mellomliggende faktor, vil jeg ikke kunne argumentere for om kvinners politiske tillit styrker stabiliteten, eller om stabilitet styrker tilliten. I påvente av analyse med tidsseriedata foreslår jeg en selvforsterkende effekt, hvor årsaksretningen går begge veier. Closed-list PR styrker stabilitet og motvirker korrupsjon, noe som styrker den politiske tilliten hos en historisk undertrykt samfunnsgruppe: kvinner. Samtidig antar jeg at kvinners politiske tillit blir styrket av en mer direkte link fra closed-list PR som institusjonsform, som presentert i delkapittel 6.3. </w:t>
      </w:r>
    </w:p>
    <w:p>
      <w:pPr>
        <w:pStyle w:val="Normal"/>
        <w:spacing w:lineRule="auto" w:line="360"/>
        <w:rPr/>
      </w:pPr>
      <w:r>
        <w:rPr/>
        <w:t>Disse mekanismene er i stor grad basert på at open-list PR tillater velgere å stemme på enkeltpolitikere. Når det gjelder land som ikke har politisk maktdeling gjenstår det fortsatt et forklaringsvakuum. Fredsavtaler styrker som sagt kvinners mobilisering og dermed kvinners rettigheter, men fredsavtaler behøver ikke å inneholde en maktdelingsavtale, og maktdeling kan forekomme uten fredsavtale. Imidlertid står argumentet om at en redistribusjon av politisk makt vil være til fordel for politisk undertrykte samfunnsgrupper. Jeg argumenterer derfor for at land som ikke har noen form for politisk maktdeling etter endt konflikt, ikke vil se noen effekt i kvinners politiske tillit – hverken bedret eller forverret – da fraværet av maktdistribusjon ikke endrer kvinners posisjon.</w:t>
      </w:r>
    </w:p>
    <w:p>
      <w:pPr>
        <w:pStyle w:val="Normal"/>
        <w:spacing w:lineRule="auto" w:line="360"/>
        <w:rPr/>
      </w:pPr>
      <w:r>
        <w:rPr/>
        <w:t>Når det gjelder den generelle politiske tilliten i closed-list PR-land var dette antatt å være en del av forklaringsmekanismen for hvorfor closed-list PR har vist seg å være den mest suksessfulle institusjonsformen i pk-land med tanke på fredsbevaring. Stabilitetsleddet er allerede beskrevet i litteraturen, men spørsmålet om politisk tillit har stått ubesvart. I henhold til denne oppgavens funn ser det ikke ut til at generell politisk tillit kan være med på å forklare hvorfor closed-list PR har en høyere suksessrate. Jeg vil anta at samspillsleddeffekter vil være bedre forklaringsmodeller i denne sammenheng, men med mangel på informasjon var ikke det mulig i denne oppgaven.</w:t>
      </w:r>
    </w:p>
    <w:p>
      <w:pPr>
        <w:pStyle w:val="Normal"/>
        <w:spacing w:lineRule="auto" w:line="360"/>
        <w:rPr/>
      </w:pPr>
      <w:r>
        <w:rPr/>
        <w:t>Ved å gå bort fra den detaljerte maktdelingsmodellen og i stedet se på sammenhengene mellom politisk tillit og det totale spekteret av politisk maktdeling, har det blitt avdekket overraskende funn i oppgavens analyser. Det var antatt at politisk undertrykte etniske grupper ville ha høyere politisk tillit i maktdelingsland sammenlignet med andre afrikanske pk-land. I stedet viser resultatene det motsatte. Alle modellene som er fremlagt, både vektede og uvektede, viser at undertrykte grupper har lavere politisk tillit i maktdelingsland, og høyere politisk tillit i pk-land uten politisk maktdeling. Det kan diskuteres hvor mye enkeltstudier skal vektlegges i det store og hele, men dersom dette stemmer med virkeligheten er det dårlige nyheter for den institusjonsformen som FN anser som best for demokratisk utvikling. Imidlertid må problemet med frihetsgrader adresseres. Modellene som måler politisk tillit blant undertrykte etniske grupper består av 16 land. Som jeg har nevnt tidligere bør ikke en flernivåmodell inkludere mer enn én nivå 2-variabel per observasjoner på nivå 2. Når jeg inkluderer et samspillsledd mellom maktdeling og undertrykte grupper overskrider jeg denne grensen. Ved at modellen tilføres disse ekstra parameterne, kan det føre til unøyaktige konfidensintervaller og dermed kan modellen feilaktig rapportere om statistisk signifikans. Jeg vil derfor ikke med sikkerhet kunne konkludere med at undertrykte grupper har lavere politisk tillit i afrikanske maktdelingsland. Dette er åpenbart en stor svakhet ved oppgaven som helhet, spesielt med tanke på hvordan dette forholdet har blitt vektlagt gjennom hele arbeidet. Jeg mener likevel at viktigheten av å undersøke forholdet mellom etnisitet og politisk tillit i denne konteksten overgår faren for å produsere feilaktige resultater.</w:t>
      </w:r>
    </w:p>
    <w:p>
      <w:pPr>
        <w:pStyle w:val="Normal"/>
        <w:spacing w:lineRule="auto" w:line="360"/>
        <w:rPr/>
      </w:pPr>
      <w:r>
        <w:rPr/>
        <w:t>Den andre samfunnsgruppen som ses i lys av maktdeling er kvinner. Her viser modellene til tvetydige resultater. Vi ser både at kvinner har lavere politisk tillit i maktdelingsland, og at sammenhengen ikke er statistisk signifikant. Her må vi imidlertid tilbake til det samme problemet som nevnt i forrige avsnitt. Modellen som viser en signifikant sammenheng mellom kvinne og maktdelingsland, må ses med kritiske øyne ettersom N2 ikke står i stil med antall frihetsgrader på nivå 2. Når variabelen for undertrykte grupper ekskluderes stiger N2 til et mer akseptabelt nivå, og jeg vil argumentere for at denne modellen (tabell 18, modell 3) bør vektlegges i størst grad. Jeg vil også hevde at den vektede regresjonen (tabell 19, modell 2) må anses som bedre enn den uvektede (tabell 14, modell 2). Selv om resultatene viser til ulike funn, vil jeg derfor konkludere med at kvinners politiske tillit ikke kan ses i sammenheng med politisk maktdeling ut ifra oppgavens modeller.</w:t>
      </w:r>
    </w:p>
    <w:p>
      <w:pPr>
        <w:pStyle w:val="Normal"/>
        <w:spacing w:lineRule="auto" w:line="360"/>
        <w:rPr/>
      </w:pPr>
      <w:r>
        <w:rPr/>
        <w:t>Forhold på individnivå er viktig for at stater skal kunne utvikle seg mot en fredelig og demokratisk fremtid. Lave nivåer av politisk tillit er et symptom på svake institusjoner, men også en hindring i utviklingen av institusjonene og statene som omfatter de. Denne oppgaven har blitt utviklet som et forsøk på å fylle et tomrom i maktdelingslitteraturen, men også som et bidrag til kunnskapen vi har om postkonflikt-land og deres utvikling. Funnene jeg har presentert må vektlegges i ulik grad, men bør gi grobunn for videre forskning. I neste delkapittel vil jeg legge frem forslag og anbefalinger for fremtidens forskning på feltet.</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2"/>
        <w:spacing w:lineRule="auto" w:line="360"/>
        <w:jc w:val="both"/>
        <w:rPr/>
      </w:pPr>
      <w:bookmarkStart w:id="106" w:name="_Toc72502762"/>
      <w:bookmarkStart w:id="107" w:name="_Toc71923046"/>
      <w:r>
        <w:rPr/>
        <w:t>9.4. Videre forskning</w:t>
      </w:r>
      <w:bookmarkEnd w:id="106"/>
      <w:bookmarkEnd w:id="107"/>
    </w:p>
    <w:p>
      <w:pPr>
        <w:pStyle w:val="Normal"/>
        <w:spacing w:lineRule="auto" w:line="360"/>
        <w:rPr/>
      </w:pPr>
      <w:r>
        <w:rPr/>
        <w:t xml:space="preserve">Som beskrevet innledningsvis har maktdelingslitteraturen vokst de siste årene. Imidlertid har fokuset i størst grad vært rettet mot det store bildet – hvilke land har vært i stand til å bevare freden; hvilke land har hatt tilbakefall; hvilke land har blitt mer og mindre demokratiske. Dette er selvfølgelig viktige spørsmål som også behøver mer forskning. Samtidig som statsvitere til stadighet befester viktigheten av individers holdninger for staters utvikling, finnes det lite kunnskap om hvilke mekanismer som knytter konsosialisme til individet og igjen til institusjonenes funksjonalitet. Maktdeling i postkonflikt-land er en potensiell gullgruve for fremtidige forskere, og spesielt med fokus på individet. </w:t>
      </w:r>
    </w:p>
    <w:p>
      <w:pPr>
        <w:pStyle w:val="Normal"/>
        <w:spacing w:lineRule="auto" w:line="360"/>
        <w:rPr/>
      </w:pPr>
      <w:r>
        <w:rPr/>
        <w:t>Optimalt sett er det mye jeg skulle ha undersøkt i denne oppgaven, og sannsynligvis skraper jeg så vidt på overflaten med det som er gjort. Så vidt jeg vet har ingen undersøkt politisk tillit hos politisk undertrykte grupper i lys av underkategorier av politisk maktdeling. Jeg skulle gjerne vært den første, men med mangel på land-observasjoner var ikke dette mulig å gjennomføre. Jeg anbefaler derfor videre undersøkelse av individers politiske tillit og holdninger til politiske autoriteter sett i sammenheng med ulike typer for politisk maktdeling. De institusjonsformene jeg har presentert i denne oppgaven er ikke etablerte i den grad at fremtidige undersøkelser bør holde seg til de, men av mangel på alternative sub-kategorier foreslår jeg i første omgang en komparativ undersøkelse med disse som utgangspunkt. For at dette skal være gjennomførbart er det nødvendig med et stort sammenligningsgrunnlag. Det er sannsynligvis ikke tilstrekkelig dersom man begrenser seg til det afrikanske kontinentet, og jeg anbefaler derfor komparative undersøkelser på global basis. I tråd med denne oppgaven ville det vært interessant å sett på utsatte samfunnsgrupper som politisk undertrykte etniske grupper og kvinner, men også andre grupper. Eksempelvis har jeg i denne oppgaven ekskludert «mellom-kategorier» av etniske grupper. Altså etniske grupper som ikke er ansett som verken politisk dominante eller spesifikt undertrykte. En undersøkelse av denne gruppen som en tredje kategori eller inkludert sammen med de undertrykte kunne potensielt avdekket effekter som ikke har kommet frem i denne oppgaven. Når det er sagt, ville det også vært interessant å benytte seg av andre kilder for politisk undertrykkelse. Ved å bruke andre definisjoner og mål på dette kan andre effekter avdekkes, og sannsynligheten for at det totale bildet av undertrykkelse og politisk tillit i maktdelingsland skal fremkomme vil være større.</w:t>
      </w:r>
    </w:p>
    <w:p>
      <w:pPr>
        <w:pStyle w:val="Normal"/>
        <w:spacing w:lineRule="auto" w:line="360"/>
        <w:rPr/>
      </w:pPr>
      <w:r>
        <w:rPr/>
        <w:t>Som jeg diskuterte i forrige delkapittel har denne oppgaven problemer med antall frihetsgrader i modellene som måler politisk undertrykte etniske grupper. Det er derfor knyttet usikkerhet til hvor reliabel disse funnene er. Jeg anbefaler videre forskning på forholdet mellom politisk tillit og politisk undertrykte grupper med et større antall land som sammenligningsgrunnlag. I etterpåklokskap er det også flere forhold som kunne vært kontrollert for. Eksempelvis bosted – tidligere forskning har vist at urbant og ruralt bosted har en sammenheng med politisk tillit</w:t>
      </w:r>
      <w:r>
        <w:rPr>
          <w:rStyle w:val="FootnoteAnchor"/>
        </w:rPr>
        <w:footnoteReference w:id="36"/>
      </w:r>
      <w:r>
        <w:rPr/>
        <w:t>. Samtidig er ulike etniske grupper bosatt i ulike deler av landet</w:t>
      </w:r>
      <w:r>
        <w:rPr>
          <w:rStyle w:val="FootnoteAnchor"/>
        </w:rPr>
        <w:footnoteReference w:id="37"/>
      </w:r>
      <w:r>
        <w:rPr/>
        <w:t>. Jeg vil personlig anta at spørsmålet om undertrykkelse er viktigere for å forklare variasjon i politisk tillit, men for å styrke modellene vil det være naturlig å kontrollere for dette.</w:t>
      </w:r>
    </w:p>
    <w:p>
      <w:pPr>
        <w:pStyle w:val="Normal"/>
        <w:spacing w:lineRule="auto" w:line="360"/>
        <w:rPr/>
      </w:pPr>
      <w:r>
        <w:rPr/>
        <w:t>For å gå tilbake til de enkelte institusjonsformene jeg har presentert i denne oppgaven, vil det være viktig for maktdelingslitteraturen å trekke tråder mellom individuelle preferanser og de ulike formene for politisk maktdeling. Da det trengs et stort antall landobservasjoner for å undersøke alle formene for politisk maktdeling i samme modell, anbefaler jeg å først se på kun closed-list PR med utgangspunkt i teorien jeg har presentert i denne oppgaven. Å sette dette i lys av politisk undertrykte grupper vil være svært interessant, da modellen min allerede har gitt indikasjoner på at det kan være assosiasjoner mellom politisk tillit og politisk undertrykte grupper i land med politisk maktdeling. Da undergruppene av politisk maktdeling ser ut til å påvirke kvinners politiske tillit, er det nærliggende å tro at slike forskjeller også vil eksistere for politisk undertrykte etniske grupper. For å si det med Ottmann &amp; Vüllers: Alle de ulike formene for maktdeling, og igjen de ulike formene for politisk maktdeling, er interessante på hver sin måte. Imidlertid bør forskere på feltet ta for seg én tilnærming av gangen for å gradvis utvikle kunnskapen om maktdeling.</w:t>
      </w:r>
    </w:p>
    <w:p>
      <w:pPr>
        <w:pStyle w:val="Normal"/>
        <w:jc w:val="left"/>
        <w:rPr/>
      </w:pPr>
      <w:r>
        <w:rPr/>
      </w:r>
      <w:r>
        <w:br w:type="page"/>
      </w:r>
    </w:p>
    <w:p>
      <w:pPr>
        <w:pStyle w:val="Heading1"/>
        <w:rPr/>
      </w:pPr>
      <w:bookmarkStart w:id="108" w:name="_Toc72502763"/>
      <w:r>
        <w:rPr/>
        <w:t>Litteraturliste</w:t>
      </w:r>
      <w:bookmarkEnd w:id="108"/>
    </w:p>
    <w:p>
      <w:pPr>
        <w:pStyle w:val="Normal"/>
        <w:rPr/>
      </w:pPr>
      <w:r>
        <w:rPr/>
      </w:r>
    </w:p>
    <w:p>
      <w:pPr>
        <w:pStyle w:val="Normal"/>
        <w:spacing w:lineRule="auto" w:line="240"/>
        <w:ind w:left="709" w:right="0" w:hanging="709"/>
        <w:rPr/>
      </w:pPr>
      <w:r>
        <w:rPr>
          <w:sz w:val="22"/>
          <w:szCs w:val="20"/>
          <w:shd w:fill="FFFFFF" w:val="clear"/>
        </w:rPr>
        <w:t>Addison, T., &amp; Murshed, S. M. (2001). </w:t>
      </w:r>
      <w:r>
        <w:rPr>
          <w:i/>
          <w:iCs/>
          <w:sz w:val="22"/>
          <w:szCs w:val="20"/>
          <w:shd w:fill="FFFFFF" w:val="clear"/>
          <w:lang w:val="en-US"/>
        </w:rPr>
        <w:t>From conflict to reconstruction: Reviving the social contract</w:t>
      </w:r>
      <w:r>
        <w:rPr>
          <w:sz w:val="22"/>
          <w:szCs w:val="20"/>
          <w:shd w:fill="FFFFFF" w:val="clear"/>
          <w:lang w:val="en-US"/>
        </w:rPr>
        <w:t> (No. 2001/48). WIDER Discussion paper.</w:t>
      </w:r>
    </w:p>
    <w:p>
      <w:pPr>
        <w:pStyle w:val="Normal"/>
        <w:spacing w:lineRule="auto" w:line="240"/>
        <w:ind w:left="709" w:right="0" w:hanging="709"/>
        <w:rPr>
          <w:sz w:val="22"/>
          <w:szCs w:val="20"/>
          <w:shd w:fill="FFFFFF" w:val="clear"/>
          <w:lang w:val="en-US"/>
        </w:rPr>
      </w:pPr>
      <w:r>
        <w:rPr>
          <w:sz w:val="22"/>
          <w:szCs w:val="20"/>
          <w:shd w:fill="FFFFFF" w:val="clear"/>
          <w:lang w:val="en-US"/>
        </w:rPr>
        <w:t xml:space="preserve">Afrobarometer. (2014). Round 6 Survey Manual. </w:t>
      </w:r>
    </w:p>
    <w:p>
      <w:pPr>
        <w:pStyle w:val="Normal"/>
        <w:spacing w:lineRule="auto" w:line="240"/>
        <w:ind w:left="709" w:right="0" w:hanging="709"/>
        <w:rPr/>
      </w:pPr>
      <w:r>
        <w:rPr>
          <w:sz w:val="22"/>
          <w:szCs w:val="20"/>
          <w:shd w:fill="FFFFFF" w:val="clear"/>
          <w:lang w:val="en-US"/>
        </w:rPr>
        <w:t xml:space="preserve">Afrobarometer. (2019). </w:t>
      </w:r>
      <w:r>
        <w:rPr>
          <w:i/>
          <w:iCs/>
          <w:sz w:val="22"/>
          <w:szCs w:val="20"/>
          <w:shd w:fill="FFFFFF" w:val="clear"/>
          <w:lang w:val="en-US"/>
        </w:rPr>
        <w:t>Sampling principles and weighting</w:t>
      </w:r>
      <w:r>
        <w:rPr>
          <w:sz w:val="22"/>
          <w:szCs w:val="20"/>
          <w:shd w:fill="FFFFFF" w:val="clear"/>
          <w:lang w:val="en-US"/>
        </w:rPr>
        <w:t xml:space="preserve">. </w:t>
      </w:r>
      <w:r>
        <w:rPr>
          <w:sz w:val="22"/>
          <w:szCs w:val="20"/>
          <w:shd w:fill="FFFFFF" w:val="clear"/>
        </w:rPr>
        <w:t xml:space="preserve">Hentet fra: </w:t>
      </w:r>
      <w:hyperlink r:id="rId5">
        <w:r>
          <w:rPr>
            <w:rStyle w:val="InternetLink"/>
            <w:sz w:val="22"/>
            <w:szCs w:val="20"/>
            <w:shd w:fill="FFFFFF" w:val="clear"/>
          </w:rPr>
          <w:t>https://afrobarometer.org/surveys-and-methods/sampling-principles</w:t>
        </w:r>
      </w:hyperlink>
      <w:r>
        <w:rPr>
          <w:sz w:val="22"/>
          <w:szCs w:val="20"/>
          <w:shd w:fill="FFFFFF" w:val="clear"/>
        </w:rPr>
        <w:t xml:space="preserve"> </w:t>
      </w:r>
    </w:p>
    <w:p>
      <w:pPr>
        <w:pStyle w:val="Normal"/>
        <w:spacing w:lineRule="auto" w:line="240"/>
        <w:ind w:left="709" w:right="0" w:hanging="709"/>
        <w:rPr/>
      </w:pPr>
      <w:r>
        <w:rPr>
          <w:sz w:val="22"/>
          <w:szCs w:val="20"/>
          <w:shd w:fill="FFFFFF" w:val="clear"/>
          <w:lang w:val="en-US"/>
        </w:rPr>
        <w:t xml:space="preserve">Afrobarometer. (2021). </w:t>
      </w:r>
      <w:r>
        <w:rPr>
          <w:i/>
          <w:iCs/>
          <w:sz w:val="22"/>
          <w:szCs w:val="20"/>
          <w:shd w:fill="FFFFFF" w:val="clear"/>
          <w:lang w:val="en-US"/>
        </w:rPr>
        <w:t>Surveys and Methods.</w:t>
      </w:r>
      <w:r>
        <w:rPr>
          <w:sz w:val="22"/>
          <w:szCs w:val="20"/>
          <w:shd w:fill="FFFFFF" w:val="clear"/>
          <w:lang w:val="en-US"/>
        </w:rPr>
        <w:t xml:space="preserve"> Hentet fra: </w:t>
      </w:r>
      <w:hyperlink r:id="rId6">
        <w:r>
          <w:rPr>
            <w:rStyle w:val="InternetLink"/>
            <w:sz w:val="22"/>
            <w:szCs w:val="20"/>
            <w:shd w:fill="FFFFFF" w:val="clear"/>
            <w:lang w:val="en-US"/>
          </w:rPr>
          <w:t>https://afrobarometer.org/surveys-and-methods</w:t>
        </w:r>
      </w:hyperlink>
      <w:r>
        <w:rPr>
          <w:sz w:val="22"/>
          <w:szCs w:val="20"/>
          <w:shd w:fill="FFFFFF" w:val="clear"/>
          <w:lang w:val="en-US"/>
        </w:rPr>
        <w:t xml:space="preserve"> </w:t>
      </w:r>
    </w:p>
    <w:p>
      <w:pPr>
        <w:pStyle w:val="Normal"/>
        <w:spacing w:lineRule="auto" w:line="240"/>
        <w:ind w:left="709" w:right="0" w:hanging="709"/>
        <w:rPr/>
      </w:pPr>
      <w:r>
        <w:rPr>
          <w:sz w:val="22"/>
          <w:szCs w:val="20"/>
          <w:shd w:fill="FFFFFF" w:val="clear"/>
          <w:lang w:val="en-US"/>
        </w:rPr>
        <w:t>Ajide, K. B., Alimi, O. Y., &amp; Asongu, S. A. (2019). Ethnic diversity and inequality in sub-Saharan Africa: Do institutions reduce the noise?. </w:t>
      </w:r>
      <w:r>
        <w:rPr>
          <w:i/>
          <w:iCs/>
          <w:sz w:val="22"/>
          <w:szCs w:val="20"/>
          <w:shd w:fill="FFFFFF" w:val="clear"/>
          <w:lang w:val="en-US"/>
        </w:rPr>
        <w:t>Social Indicators Research</w:t>
      </w:r>
      <w:r>
        <w:rPr>
          <w:sz w:val="22"/>
          <w:szCs w:val="20"/>
          <w:shd w:fill="FFFFFF" w:val="clear"/>
          <w:lang w:val="en-US"/>
        </w:rPr>
        <w:t>, </w:t>
      </w:r>
      <w:r>
        <w:rPr>
          <w:i/>
          <w:iCs/>
          <w:sz w:val="22"/>
          <w:szCs w:val="20"/>
          <w:shd w:fill="FFFFFF" w:val="clear"/>
          <w:lang w:val="en-US"/>
        </w:rPr>
        <w:t>145</w:t>
      </w:r>
      <w:r>
        <w:rPr>
          <w:sz w:val="22"/>
          <w:szCs w:val="20"/>
          <w:shd w:fill="FFFFFF" w:val="clear"/>
          <w:lang w:val="en-US"/>
        </w:rPr>
        <w:t>(3), 1033-1062.</w:t>
      </w:r>
    </w:p>
    <w:p>
      <w:pPr>
        <w:pStyle w:val="Normal"/>
        <w:spacing w:lineRule="auto" w:line="240"/>
        <w:ind w:left="709" w:right="0" w:hanging="709"/>
        <w:rPr/>
      </w:pPr>
      <w:r>
        <w:rPr>
          <w:rFonts w:cs="Times New Roman"/>
          <w:color w:val="000000"/>
          <w:sz w:val="22"/>
          <w:shd w:fill="FFFFFF" w:val="clear"/>
          <w:lang w:val="en-US"/>
        </w:rPr>
        <w:t>Ames, B. (1995). Electoral rules, constituency pressures, and pork barrel: bases of voting in the Brazilian Congress. </w:t>
      </w:r>
      <w:r>
        <w:rPr>
          <w:rFonts w:cs="Times New Roman"/>
          <w:i/>
          <w:iCs/>
          <w:color w:val="000000"/>
          <w:sz w:val="22"/>
          <w:shd w:fill="FFFFFF" w:val="clear"/>
          <w:lang w:val="en-US"/>
        </w:rPr>
        <w:t>The Journal of politics</w:t>
      </w:r>
      <w:r>
        <w:rPr>
          <w:rFonts w:cs="Times New Roman"/>
          <w:color w:val="000000"/>
          <w:sz w:val="22"/>
          <w:shd w:fill="FFFFFF" w:val="clear"/>
          <w:lang w:val="en-US"/>
        </w:rPr>
        <w:t>, </w:t>
      </w:r>
      <w:r>
        <w:rPr>
          <w:rFonts w:cs="Times New Roman"/>
          <w:i/>
          <w:iCs/>
          <w:color w:val="000000"/>
          <w:sz w:val="22"/>
          <w:shd w:fill="FFFFFF" w:val="clear"/>
          <w:lang w:val="en-US"/>
        </w:rPr>
        <w:t>57</w:t>
      </w:r>
      <w:r>
        <w:rPr>
          <w:rFonts w:cs="Times New Roman"/>
          <w:color w:val="000000"/>
          <w:sz w:val="22"/>
          <w:shd w:fill="FFFFFF" w:val="clear"/>
          <w:lang w:val="en-US"/>
        </w:rPr>
        <w:t>(2), 324-343.</w:t>
      </w:r>
    </w:p>
    <w:p>
      <w:pPr>
        <w:pStyle w:val="Normal"/>
        <w:spacing w:lineRule="auto" w:line="240"/>
        <w:ind w:left="709" w:right="0" w:hanging="709"/>
        <w:rPr/>
      </w:pPr>
      <w:r>
        <w:rPr>
          <w:rFonts w:cs="Times New Roman"/>
          <w:color w:val="000000"/>
          <w:sz w:val="22"/>
          <w:shd w:fill="FFFFFF" w:val="clear"/>
          <w:lang w:val="en-US"/>
        </w:rPr>
        <w:t>Anderlini, S. N. (2007). </w:t>
      </w:r>
      <w:r>
        <w:rPr>
          <w:rFonts w:cs="Times New Roman"/>
          <w:i/>
          <w:iCs/>
          <w:color w:val="000000"/>
          <w:sz w:val="22"/>
          <w:shd w:fill="FFFFFF" w:val="clear"/>
          <w:lang w:val="en-US"/>
        </w:rPr>
        <w:t>Women building peace: What they do, why it matters</w:t>
      </w:r>
      <w:r>
        <w:rPr>
          <w:rFonts w:cs="Times New Roman"/>
          <w:color w:val="000000"/>
          <w:sz w:val="22"/>
          <w:shd w:fill="FFFFFF" w:val="clear"/>
          <w:lang w:val="en-US"/>
        </w:rPr>
        <w:t>. Lynne Rienner Pub..</w:t>
      </w:r>
    </w:p>
    <w:p>
      <w:pPr>
        <w:pStyle w:val="Normal"/>
        <w:spacing w:lineRule="auto" w:line="240"/>
        <w:ind w:left="709" w:right="0" w:hanging="709"/>
        <w:rPr/>
      </w:pPr>
      <w:r>
        <w:rPr>
          <w:sz w:val="22"/>
          <w:szCs w:val="20"/>
          <w:shd w:fill="FFFFFF" w:val="clear"/>
          <w:lang w:val="en-US"/>
        </w:rPr>
        <w:t>Anderson, M. J. (2010). Transnational feminism and norm diffusion in peace processes: the cases of Burundi and Northern Ireland. </w:t>
      </w:r>
      <w:r>
        <w:rPr>
          <w:i/>
          <w:iCs/>
          <w:sz w:val="22"/>
          <w:szCs w:val="20"/>
          <w:shd w:fill="FFFFFF" w:val="clear"/>
          <w:lang w:val="en-US"/>
        </w:rPr>
        <w:t>Journal of Intervention and Statebuilding</w:t>
      </w:r>
      <w:r>
        <w:rPr>
          <w:sz w:val="22"/>
          <w:szCs w:val="20"/>
          <w:shd w:fill="FFFFFF" w:val="clear"/>
          <w:lang w:val="en-US"/>
        </w:rPr>
        <w:t>, </w:t>
      </w:r>
      <w:r>
        <w:rPr>
          <w:i/>
          <w:iCs/>
          <w:sz w:val="22"/>
          <w:szCs w:val="20"/>
          <w:shd w:fill="FFFFFF" w:val="clear"/>
          <w:lang w:val="en-US"/>
        </w:rPr>
        <w:t>4</w:t>
      </w:r>
      <w:r>
        <w:rPr>
          <w:sz w:val="22"/>
          <w:szCs w:val="20"/>
          <w:shd w:fill="FFFFFF" w:val="clear"/>
          <w:lang w:val="en-US"/>
        </w:rPr>
        <w:t>(1), 1-21.</w:t>
      </w:r>
    </w:p>
    <w:p>
      <w:pPr>
        <w:pStyle w:val="Normal"/>
        <w:spacing w:lineRule="auto" w:line="240"/>
        <w:ind w:left="709" w:right="0" w:hanging="709"/>
        <w:rPr/>
      </w:pPr>
      <w:r>
        <w:rPr>
          <w:rFonts w:cs="Times New Roman"/>
          <w:color w:val="000000"/>
          <w:sz w:val="22"/>
          <w:shd w:fill="FFFFFF" w:val="clear"/>
          <w:lang w:val="en-US"/>
        </w:rPr>
        <w:t>Anderson, M. J., &amp; Swiss, L. (2014). Peace accords and the adoption of electoral quotas for women in the developing world, 1990-2006. </w:t>
      </w:r>
      <w:r>
        <w:rPr>
          <w:rFonts w:cs="Times New Roman"/>
          <w:i/>
          <w:iCs/>
          <w:color w:val="000000"/>
          <w:sz w:val="22"/>
          <w:shd w:fill="FFFFFF" w:val="clear"/>
          <w:lang w:val="en-US"/>
        </w:rPr>
        <w:t>Politics &amp; Gender</w:t>
      </w:r>
      <w:r>
        <w:rPr>
          <w:rFonts w:cs="Times New Roman"/>
          <w:color w:val="000000"/>
          <w:sz w:val="22"/>
          <w:shd w:fill="FFFFFF" w:val="clear"/>
          <w:lang w:val="en-US"/>
        </w:rPr>
        <w:t>, </w:t>
      </w:r>
      <w:r>
        <w:rPr>
          <w:rFonts w:cs="Times New Roman"/>
          <w:i/>
          <w:iCs/>
          <w:color w:val="000000"/>
          <w:sz w:val="22"/>
          <w:shd w:fill="FFFFFF" w:val="clear"/>
          <w:lang w:val="en-US"/>
        </w:rPr>
        <w:t>10</w:t>
      </w:r>
      <w:r>
        <w:rPr>
          <w:rFonts w:cs="Times New Roman"/>
          <w:color w:val="000000"/>
          <w:sz w:val="22"/>
          <w:shd w:fill="FFFFFF" w:val="clear"/>
          <w:lang w:val="en-US"/>
        </w:rPr>
        <w:t>(1), 33.</w:t>
      </w:r>
    </w:p>
    <w:p>
      <w:pPr>
        <w:pStyle w:val="Normal"/>
        <w:spacing w:lineRule="auto" w:line="240"/>
        <w:ind w:left="709" w:right="0" w:hanging="709"/>
        <w:rPr/>
      </w:pPr>
      <w:r>
        <w:rPr>
          <w:sz w:val="22"/>
          <w:szCs w:val="20"/>
          <w:shd w:fill="FFFFFF" w:val="clear"/>
          <w:lang w:val="en-US"/>
        </w:rPr>
        <w:t>Anstee, M. J. (1993). Angola: The Forgotten Tragedy. A Test Case for UN Peacekeeping. </w:t>
      </w:r>
      <w:r>
        <w:rPr>
          <w:i/>
          <w:iCs/>
          <w:sz w:val="22"/>
          <w:szCs w:val="20"/>
          <w:shd w:fill="FFFFFF" w:val="clear"/>
          <w:lang w:val="en-US"/>
        </w:rPr>
        <w:t>International Relations</w:t>
      </w:r>
      <w:r>
        <w:rPr>
          <w:sz w:val="22"/>
          <w:szCs w:val="20"/>
          <w:shd w:fill="FFFFFF" w:val="clear"/>
          <w:lang w:val="en-US"/>
        </w:rPr>
        <w:t>, </w:t>
      </w:r>
      <w:r>
        <w:rPr>
          <w:i/>
          <w:iCs/>
          <w:sz w:val="22"/>
          <w:szCs w:val="20"/>
          <w:shd w:fill="FFFFFF" w:val="clear"/>
          <w:lang w:val="en-US"/>
        </w:rPr>
        <w:t>11</w:t>
      </w:r>
      <w:r>
        <w:rPr>
          <w:sz w:val="22"/>
          <w:szCs w:val="20"/>
          <w:shd w:fill="FFFFFF" w:val="clear"/>
          <w:lang w:val="en-US"/>
        </w:rPr>
        <w:t>(6), 495-511.</w:t>
      </w:r>
    </w:p>
    <w:p>
      <w:pPr>
        <w:pStyle w:val="Normal"/>
        <w:spacing w:lineRule="auto" w:line="240"/>
        <w:ind w:left="709" w:right="0" w:hanging="709"/>
        <w:rPr/>
      </w:pPr>
      <w:r>
        <w:rPr>
          <w:rFonts w:cs="Times New Roman"/>
          <w:color w:val="000000"/>
          <w:sz w:val="22"/>
          <w:shd w:fill="FFFFFF" w:val="clear"/>
          <w:lang w:val="en-US"/>
        </w:rPr>
        <w:t>Aoláin, F. N., Cahn, N. R., Haynes, D. F., &amp; Valji, N. (Eds.). (2018). </w:t>
      </w:r>
      <w:r>
        <w:rPr>
          <w:rFonts w:cs="Times New Roman"/>
          <w:i/>
          <w:iCs/>
          <w:color w:val="000000"/>
          <w:sz w:val="22"/>
          <w:shd w:fill="FFFFFF" w:val="clear"/>
          <w:lang w:val="en-US"/>
        </w:rPr>
        <w:t>The Oxford handbook of gender and conflict</w:t>
      </w:r>
      <w:r>
        <w:rPr>
          <w:rFonts w:cs="Times New Roman"/>
          <w:color w:val="000000"/>
          <w:sz w:val="22"/>
          <w:shd w:fill="FFFFFF" w:val="clear"/>
          <w:lang w:val="en-US"/>
        </w:rPr>
        <w:t>. Oxford University Press.</w:t>
      </w:r>
    </w:p>
    <w:p>
      <w:pPr>
        <w:pStyle w:val="Normal"/>
        <w:spacing w:lineRule="auto" w:line="240"/>
        <w:ind w:left="709" w:right="0" w:hanging="709"/>
        <w:rPr/>
      </w:pPr>
      <w:r>
        <w:rPr>
          <w:rFonts w:cs="Times New Roman"/>
          <w:color w:val="000000"/>
          <w:sz w:val="22"/>
          <w:shd w:fill="FFFFFF" w:val="clear"/>
          <w:lang w:val="en-US"/>
        </w:rPr>
        <w:t>Aoláin, F. N. (2006). Political violence and gender during times of transition. </w:t>
      </w:r>
      <w:r>
        <w:rPr>
          <w:rFonts w:cs="Times New Roman"/>
          <w:i/>
          <w:iCs/>
          <w:color w:val="000000"/>
          <w:sz w:val="22"/>
          <w:shd w:fill="FFFFFF" w:val="clear"/>
          <w:lang w:val="en-US"/>
        </w:rPr>
        <w:t>Colum. J. Gender &amp; L.</w:t>
      </w:r>
      <w:r>
        <w:rPr>
          <w:rFonts w:cs="Times New Roman"/>
          <w:color w:val="000000"/>
          <w:sz w:val="22"/>
          <w:shd w:fill="FFFFFF" w:val="clear"/>
          <w:lang w:val="en-US"/>
        </w:rPr>
        <w:t>, </w:t>
      </w:r>
      <w:r>
        <w:rPr>
          <w:rFonts w:cs="Times New Roman"/>
          <w:i/>
          <w:iCs/>
          <w:color w:val="000000"/>
          <w:sz w:val="22"/>
          <w:shd w:fill="FFFFFF" w:val="clear"/>
          <w:lang w:val="en-US"/>
        </w:rPr>
        <w:t>15</w:t>
      </w:r>
      <w:r>
        <w:rPr>
          <w:rFonts w:cs="Times New Roman"/>
          <w:color w:val="000000"/>
          <w:sz w:val="22"/>
          <w:shd w:fill="FFFFFF" w:val="clear"/>
          <w:lang w:val="en-US"/>
        </w:rPr>
        <w:t>, 829.</w:t>
      </w:r>
    </w:p>
    <w:p>
      <w:pPr>
        <w:pStyle w:val="Normal"/>
        <w:spacing w:lineRule="auto" w:line="240"/>
        <w:ind w:left="709" w:right="0" w:hanging="709"/>
        <w:rPr/>
      </w:pPr>
      <w:r>
        <w:rPr>
          <w:sz w:val="22"/>
          <w:szCs w:val="20"/>
          <w:shd w:fill="FFFFFF" w:val="clear"/>
          <w:lang w:val="en-US"/>
        </w:rPr>
        <w:t>Arjona, A. (2014). Wartime institutions: a research agenda. </w:t>
      </w:r>
      <w:r>
        <w:rPr>
          <w:i/>
          <w:iCs/>
          <w:sz w:val="22"/>
          <w:szCs w:val="20"/>
          <w:shd w:fill="FFFFFF" w:val="clear"/>
          <w:lang w:val="en-US"/>
        </w:rPr>
        <w:t>Journal of Conflict Resolution</w:t>
      </w:r>
      <w:r>
        <w:rPr>
          <w:sz w:val="22"/>
          <w:szCs w:val="20"/>
          <w:shd w:fill="FFFFFF" w:val="clear"/>
          <w:lang w:val="en-US"/>
        </w:rPr>
        <w:t>, </w:t>
      </w:r>
      <w:r>
        <w:rPr>
          <w:i/>
          <w:iCs/>
          <w:sz w:val="22"/>
          <w:szCs w:val="20"/>
          <w:shd w:fill="FFFFFF" w:val="clear"/>
          <w:lang w:val="en-US"/>
        </w:rPr>
        <w:t>58</w:t>
      </w:r>
      <w:r>
        <w:rPr>
          <w:sz w:val="22"/>
          <w:szCs w:val="20"/>
          <w:shd w:fill="FFFFFF" w:val="clear"/>
          <w:lang w:val="en-US"/>
        </w:rPr>
        <w:t>(8), 1360-1389.</w:t>
      </w:r>
    </w:p>
    <w:p>
      <w:pPr>
        <w:pStyle w:val="Normal"/>
        <w:spacing w:lineRule="auto" w:line="240"/>
        <w:ind w:left="709" w:right="0" w:hanging="709"/>
        <w:rPr/>
      </w:pPr>
      <w:r>
        <w:rPr>
          <w:rFonts w:cs="Times New Roman"/>
          <w:sz w:val="22"/>
          <w:shd w:fill="FFFFFF" w:val="clear"/>
          <w:lang w:val="en-US"/>
        </w:rPr>
        <w:t>Askvik, S., Jamil, I., &amp; Dhakal, T. N. (2011). Citizens’ trust in public and political institutions in Nepal. </w:t>
      </w:r>
      <w:r>
        <w:rPr>
          <w:rFonts w:cs="Times New Roman"/>
          <w:i/>
          <w:iCs/>
          <w:sz w:val="22"/>
          <w:shd w:fill="FFFFFF" w:val="clear"/>
          <w:lang w:val="en-US"/>
        </w:rPr>
        <w:t>International political science review</w:t>
      </w:r>
      <w:r>
        <w:rPr>
          <w:rFonts w:cs="Times New Roman"/>
          <w:sz w:val="22"/>
          <w:shd w:fill="FFFFFF" w:val="clear"/>
          <w:lang w:val="en-US"/>
        </w:rPr>
        <w:t>, </w:t>
      </w:r>
      <w:r>
        <w:rPr>
          <w:rFonts w:cs="Times New Roman"/>
          <w:i/>
          <w:iCs/>
          <w:sz w:val="22"/>
          <w:shd w:fill="FFFFFF" w:val="clear"/>
          <w:lang w:val="en-US"/>
        </w:rPr>
        <w:t>32</w:t>
      </w:r>
      <w:r>
        <w:rPr>
          <w:rFonts w:cs="Times New Roman"/>
          <w:sz w:val="22"/>
          <w:shd w:fill="FFFFFF" w:val="clear"/>
          <w:lang w:val="en-US"/>
        </w:rPr>
        <w:t>(4), 417-437.</w:t>
      </w:r>
    </w:p>
    <w:p>
      <w:pPr>
        <w:pStyle w:val="Normal"/>
        <w:spacing w:lineRule="auto" w:line="240"/>
        <w:ind w:left="709" w:right="0" w:hanging="709"/>
        <w:rPr/>
      </w:pPr>
      <w:r>
        <w:rPr>
          <w:shd w:fill="FFFFFF" w:val="clear"/>
          <w:lang w:val="en-US"/>
        </w:rPr>
        <w:t>Aslan, G., Deléchat, C., Newiak, M. M., &amp; Yang, M. F. (2017). </w:t>
      </w:r>
      <w:r>
        <w:rPr>
          <w:i/>
          <w:iCs/>
          <w:shd w:fill="FFFFFF" w:val="clear"/>
          <w:lang w:val="en-US"/>
        </w:rPr>
        <w:t>Inequality in financial inclusion and income inequality</w:t>
      </w:r>
      <w:r>
        <w:rPr>
          <w:shd w:fill="FFFFFF" w:val="clear"/>
          <w:lang w:val="en-US"/>
        </w:rPr>
        <w:t>. International Monetary Fund.</w:t>
      </w:r>
    </w:p>
    <w:p>
      <w:pPr>
        <w:pStyle w:val="Normal"/>
        <w:spacing w:lineRule="auto" w:line="240"/>
        <w:ind w:left="709" w:right="0" w:hanging="709"/>
        <w:rPr/>
      </w:pPr>
      <w:r>
        <w:rPr>
          <w:sz w:val="22"/>
          <w:szCs w:val="20"/>
          <w:shd w:fill="FFFFFF" w:val="clear"/>
          <w:lang w:val="en-US"/>
        </w:rPr>
        <w:t>Asongu, S. A., Nnanna, J., &amp; Acha-Anyi, P. N. (2020). Inequality and gender economic inclusion: the moderating role of financial access in Sub-Saharan Africa. </w:t>
      </w:r>
      <w:r>
        <w:rPr>
          <w:i/>
          <w:iCs/>
          <w:sz w:val="22"/>
          <w:szCs w:val="20"/>
          <w:shd w:fill="FFFFFF" w:val="clear"/>
          <w:lang w:val="en-US"/>
        </w:rPr>
        <w:t>Economic Analysis and Policy</w:t>
      </w:r>
      <w:r>
        <w:rPr>
          <w:sz w:val="22"/>
          <w:szCs w:val="20"/>
          <w:shd w:fill="FFFFFF" w:val="clear"/>
          <w:lang w:val="en-US"/>
        </w:rPr>
        <w:t>, </w:t>
      </w:r>
      <w:r>
        <w:rPr>
          <w:i/>
          <w:iCs/>
          <w:sz w:val="22"/>
          <w:szCs w:val="20"/>
          <w:shd w:fill="FFFFFF" w:val="clear"/>
          <w:lang w:val="en-US"/>
        </w:rPr>
        <w:t>65</w:t>
      </w:r>
      <w:r>
        <w:rPr>
          <w:sz w:val="22"/>
          <w:szCs w:val="20"/>
          <w:shd w:fill="FFFFFF" w:val="clear"/>
          <w:lang w:val="en-US"/>
        </w:rPr>
        <w:t>, 173-185.</w:t>
      </w:r>
    </w:p>
    <w:p>
      <w:pPr>
        <w:pStyle w:val="Normal"/>
        <w:spacing w:lineRule="auto" w:line="240"/>
        <w:ind w:left="709" w:right="0" w:hanging="709"/>
        <w:rPr/>
      </w:pPr>
      <w:r>
        <w:rPr>
          <w:sz w:val="22"/>
          <w:lang w:val="en-US"/>
        </w:rPr>
        <w:t xml:space="preserve">Aud, S., Fox, M. &amp; KewalRamani, A. (2010). </w:t>
      </w:r>
      <w:r>
        <w:rPr>
          <w:i/>
          <w:iCs/>
          <w:sz w:val="22"/>
          <w:lang w:val="en-US"/>
        </w:rPr>
        <w:t>Status and Trends in the Education of Racial and Ethnic Groups (NCES 2010-015).</w:t>
      </w:r>
      <w:r>
        <w:rPr>
          <w:sz w:val="22"/>
          <w:lang w:val="en-US"/>
        </w:rPr>
        <w:t xml:space="preserve"> U.S. Department of Education, National Center for Education Statistics. Washington, DC: U.S. Government Printing Office.</w:t>
      </w:r>
    </w:p>
    <w:p>
      <w:pPr>
        <w:pStyle w:val="Normal"/>
        <w:spacing w:lineRule="auto" w:line="240"/>
        <w:ind w:left="709" w:right="0" w:hanging="709"/>
        <w:rPr/>
      </w:pPr>
      <w:r>
        <w:rPr>
          <w:rFonts w:cs="Times New Roman"/>
          <w:color w:val="000000"/>
          <w:sz w:val="22"/>
          <w:shd w:fill="FFFFFF" w:val="clear"/>
          <w:lang w:val="en-US"/>
        </w:rPr>
        <w:t>Autesserre, S. (2009). Hobbes and the Congo: frames, local violence, and international intervention. </w:t>
      </w:r>
      <w:r>
        <w:rPr>
          <w:rFonts w:cs="Times New Roman"/>
          <w:i/>
          <w:iCs/>
          <w:color w:val="000000"/>
          <w:sz w:val="22"/>
          <w:shd w:fill="FFFFFF" w:val="clear"/>
          <w:lang w:val="en-US"/>
        </w:rPr>
        <w:t>International Organization</w:t>
      </w:r>
      <w:r>
        <w:rPr>
          <w:rFonts w:cs="Times New Roman"/>
          <w:color w:val="000000"/>
          <w:sz w:val="22"/>
          <w:shd w:fill="FFFFFF" w:val="clear"/>
          <w:lang w:val="en-US"/>
        </w:rPr>
        <w:t>, 249-280.</w:t>
      </w:r>
    </w:p>
    <w:p>
      <w:pPr>
        <w:pStyle w:val="Normal"/>
        <w:spacing w:lineRule="auto" w:line="240"/>
        <w:ind w:left="709" w:right="0" w:hanging="709"/>
        <w:rPr/>
      </w:pPr>
      <w:r>
        <w:rPr>
          <w:sz w:val="22"/>
          <w:szCs w:val="20"/>
          <w:shd w:fill="FFFFFF" w:val="clear"/>
          <w:lang w:val="en-US"/>
        </w:rPr>
        <w:t>Azam, J. P., &amp; Mesnard, A. (2003). Civil war and the social contract. </w:t>
      </w:r>
      <w:r>
        <w:rPr>
          <w:i/>
          <w:iCs/>
          <w:sz w:val="22"/>
          <w:szCs w:val="20"/>
          <w:shd w:fill="FFFFFF" w:val="clear"/>
          <w:lang w:val="en-US"/>
        </w:rPr>
        <w:t>Public Choice</w:t>
      </w:r>
      <w:r>
        <w:rPr>
          <w:sz w:val="22"/>
          <w:szCs w:val="20"/>
          <w:shd w:fill="FFFFFF" w:val="clear"/>
          <w:lang w:val="en-US"/>
        </w:rPr>
        <w:t>, </w:t>
      </w:r>
      <w:r>
        <w:rPr>
          <w:i/>
          <w:iCs/>
          <w:sz w:val="22"/>
          <w:szCs w:val="20"/>
          <w:shd w:fill="FFFFFF" w:val="clear"/>
          <w:lang w:val="en-US"/>
        </w:rPr>
        <w:t>115</w:t>
      </w:r>
      <w:r>
        <w:rPr>
          <w:sz w:val="22"/>
          <w:szCs w:val="20"/>
          <w:shd w:fill="FFFFFF" w:val="clear"/>
          <w:lang w:val="en-US"/>
        </w:rPr>
        <w:t>(3), 455-475.</w:t>
      </w:r>
    </w:p>
    <w:p>
      <w:pPr>
        <w:pStyle w:val="Normal"/>
        <w:spacing w:lineRule="auto" w:line="240"/>
        <w:ind w:left="709" w:right="0" w:hanging="709"/>
        <w:rPr/>
      </w:pPr>
      <w:r>
        <w:rPr>
          <w:rFonts w:cs="Times New Roman"/>
          <w:color w:val="000000"/>
          <w:sz w:val="22"/>
          <w:shd w:fill="FFFFFF" w:val="clear"/>
          <w:lang w:val="en-US"/>
        </w:rPr>
        <w:t>Bakke, K. M., Linke, A. M., O'Loughlin, J., &amp; Toal, G. (2018). Dynamics of state-building after war: External-internal relations in Eurasian de facto states. </w:t>
      </w:r>
      <w:r>
        <w:rPr>
          <w:rFonts w:cs="Times New Roman"/>
          <w:i/>
          <w:iCs/>
          <w:color w:val="000000"/>
          <w:sz w:val="22"/>
          <w:shd w:fill="FFFFFF" w:val="clear"/>
          <w:lang w:val="en-US"/>
        </w:rPr>
        <w:t>Political Geography</w:t>
      </w:r>
      <w:r>
        <w:rPr>
          <w:rFonts w:cs="Times New Roman"/>
          <w:color w:val="000000"/>
          <w:sz w:val="22"/>
          <w:shd w:fill="FFFFFF" w:val="clear"/>
          <w:lang w:val="en-US"/>
        </w:rPr>
        <w:t>, </w:t>
      </w:r>
      <w:r>
        <w:rPr>
          <w:rFonts w:cs="Times New Roman"/>
          <w:i/>
          <w:iCs/>
          <w:color w:val="000000"/>
          <w:sz w:val="22"/>
          <w:shd w:fill="FFFFFF" w:val="clear"/>
          <w:lang w:val="en-US"/>
        </w:rPr>
        <w:t>63</w:t>
      </w:r>
      <w:r>
        <w:rPr>
          <w:rFonts w:cs="Times New Roman"/>
          <w:color w:val="000000"/>
          <w:sz w:val="22"/>
          <w:shd w:fill="FFFFFF" w:val="clear"/>
          <w:lang w:val="en-US"/>
        </w:rPr>
        <w:t>, 159-173.</w:t>
      </w:r>
    </w:p>
    <w:p>
      <w:pPr>
        <w:pStyle w:val="Normal"/>
        <w:spacing w:lineRule="auto" w:line="240"/>
        <w:ind w:left="709" w:right="0" w:hanging="709"/>
        <w:rPr/>
      </w:pPr>
      <w:r>
        <w:rPr>
          <w:sz w:val="22"/>
          <w:szCs w:val="20"/>
          <w:shd w:fill="FFFFFF" w:val="clear"/>
          <w:lang w:val="en-US"/>
        </w:rPr>
        <w:t xml:space="preserve">Basedau, M. (working paper). Managing ethnic conflict: The menu of institutional engineering. </w:t>
      </w:r>
      <w:r>
        <w:rPr>
          <w:i/>
          <w:iCs/>
          <w:sz w:val="22"/>
          <w:szCs w:val="20"/>
          <w:shd w:fill="FFFFFF" w:val="clear"/>
          <w:lang w:val="en-US"/>
        </w:rPr>
        <w:t>GIGA Research Programme: Violence and Security</w:t>
      </w:r>
    </w:p>
    <w:p>
      <w:pPr>
        <w:pStyle w:val="Normal"/>
        <w:spacing w:lineRule="auto" w:line="240"/>
        <w:ind w:left="709" w:right="0" w:hanging="709"/>
        <w:rPr/>
      </w:pPr>
      <w:r>
        <w:rPr>
          <w:rFonts w:cs="Times New Roman"/>
          <w:sz w:val="22"/>
          <w:lang w:val="en-US"/>
        </w:rPr>
        <w:t xml:space="preserve">Bates, R. H. (2008). </w:t>
      </w:r>
      <w:r>
        <w:rPr>
          <w:rFonts w:cs="Times New Roman"/>
          <w:i/>
          <w:iCs/>
          <w:sz w:val="22"/>
          <w:lang w:val="en-US"/>
        </w:rPr>
        <w:t>When Things Fell Apart: State Failure in Late-Century Africa</w:t>
      </w:r>
      <w:r>
        <w:rPr>
          <w:rFonts w:cs="Times New Roman"/>
          <w:sz w:val="22"/>
          <w:lang w:val="en-US"/>
        </w:rPr>
        <w:t>. New York: Cambridge University Press.</w:t>
      </w:r>
    </w:p>
    <w:p>
      <w:pPr>
        <w:pStyle w:val="Normal"/>
        <w:spacing w:lineRule="auto" w:line="240"/>
        <w:ind w:left="709" w:right="0" w:hanging="709"/>
        <w:rPr/>
      </w:pPr>
      <w:r>
        <w:rPr>
          <w:sz w:val="22"/>
          <w:szCs w:val="20"/>
          <w:shd w:fill="FFFFFF" w:val="clear"/>
          <w:lang w:val="en-US"/>
        </w:rPr>
        <w:t>Bell, C., &amp; O'Rourke, C. (2010). Peace agreements or pieces of paper? The impact of UNSC Resolution 1325 on peace processes and their agreements. </w:t>
      </w:r>
      <w:r>
        <w:rPr>
          <w:i/>
          <w:iCs/>
          <w:sz w:val="22"/>
          <w:szCs w:val="20"/>
          <w:shd w:fill="FFFFFF" w:val="clear"/>
          <w:lang w:val="en-US"/>
        </w:rPr>
        <w:t>International and Comparative Law Quarterly</w:t>
      </w:r>
      <w:r>
        <w:rPr>
          <w:sz w:val="22"/>
          <w:szCs w:val="20"/>
          <w:shd w:fill="FFFFFF" w:val="clear"/>
          <w:lang w:val="en-US"/>
        </w:rPr>
        <w:t>, 941-980.</w:t>
      </w:r>
    </w:p>
    <w:p>
      <w:pPr>
        <w:pStyle w:val="Normal"/>
        <w:spacing w:lineRule="auto" w:line="240"/>
        <w:ind w:left="709" w:right="0" w:hanging="709"/>
        <w:rPr/>
      </w:pPr>
      <w:r>
        <w:rPr>
          <w:rFonts w:cs="Times New Roman"/>
          <w:color w:val="000000"/>
          <w:sz w:val="22"/>
          <w:shd w:fill="FFFFFF" w:val="clear"/>
          <w:lang w:val="en-US"/>
        </w:rPr>
        <w:t>Berry, M. E. (2015). From violence to mobilization: Women, war, and threat in Rwanda. </w:t>
      </w:r>
      <w:r>
        <w:rPr>
          <w:rFonts w:cs="Times New Roman"/>
          <w:i/>
          <w:iCs/>
          <w:color w:val="000000"/>
          <w:sz w:val="22"/>
          <w:shd w:fill="FFFFFF" w:val="clear"/>
          <w:lang w:val="en-US"/>
        </w:rPr>
        <w:t>Mobilization: An International Quarterly</w:t>
      </w:r>
      <w:r>
        <w:rPr>
          <w:rFonts w:cs="Times New Roman"/>
          <w:color w:val="000000"/>
          <w:sz w:val="22"/>
          <w:shd w:fill="FFFFFF" w:val="clear"/>
          <w:lang w:val="en-US"/>
        </w:rPr>
        <w:t>, </w:t>
      </w:r>
      <w:r>
        <w:rPr>
          <w:rFonts w:cs="Times New Roman"/>
          <w:i/>
          <w:iCs/>
          <w:color w:val="000000"/>
          <w:sz w:val="22"/>
          <w:shd w:fill="FFFFFF" w:val="clear"/>
          <w:lang w:val="en-US"/>
        </w:rPr>
        <w:t>20</w:t>
      </w:r>
      <w:r>
        <w:rPr>
          <w:rFonts w:cs="Times New Roman"/>
          <w:color w:val="000000"/>
          <w:sz w:val="22"/>
          <w:shd w:fill="FFFFFF" w:val="clear"/>
          <w:lang w:val="en-US"/>
        </w:rPr>
        <w:t>(2), 135-156.</w:t>
      </w:r>
    </w:p>
    <w:p>
      <w:pPr>
        <w:pStyle w:val="Normal"/>
        <w:spacing w:lineRule="auto" w:line="240"/>
        <w:ind w:left="709" w:right="0" w:hanging="709"/>
        <w:rPr/>
      </w:pPr>
      <w:r>
        <w:rPr>
          <w:rFonts w:cs="Times New Roman"/>
          <w:sz w:val="22"/>
          <w:shd w:fill="FFFFFF" w:val="clear"/>
          <w:lang w:val="en-US"/>
        </w:rPr>
        <w:t>Beutler, L. E., Brown, M. T., Crothers, L., Booker, K., &amp; Seabrook, M. K. (1996). The dilemma of factitious demographic distinctions in psychological research. </w:t>
      </w:r>
      <w:r>
        <w:rPr>
          <w:rFonts w:cs="Times New Roman"/>
          <w:i/>
          <w:iCs/>
          <w:sz w:val="22"/>
          <w:shd w:fill="FFFFFF" w:val="clear"/>
          <w:lang w:val="en-US"/>
        </w:rPr>
        <w:t>Journal of consulting and clinical psychology</w:t>
      </w:r>
      <w:r>
        <w:rPr>
          <w:rFonts w:cs="Times New Roman"/>
          <w:sz w:val="22"/>
          <w:shd w:fill="FFFFFF" w:val="clear"/>
          <w:lang w:val="en-US"/>
        </w:rPr>
        <w:t>, </w:t>
      </w:r>
      <w:r>
        <w:rPr>
          <w:rFonts w:cs="Times New Roman"/>
          <w:i/>
          <w:iCs/>
          <w:sz w:val="22"/>
          <w:shd w:fill="FFFFFF" w:val="clear"/>
          <w:lang w:val="en-US"/>
        </w:rPr>
        <w:t>64</w:t>
      </w:r>
      <w:r>
        <w:rPr>
          <w:rFonts w:cs="Times New Roman"/>
          <w:sz w:val="22"/>
          <w:shd w:fill="FFFFFF" w:val="clear"/>
          <w:lang w:val="en-US"/>
        </w:rPr>
        <w:t>(5), 892.</w:t>
      </w:r>
    </w:p>
    <w:p>
      <w:pPr>
        <w:pStyle w:val="Normal"/>
        <w:spacing w:lineRule="auto" w:line="240"/>
        <w:ind w:left="709" w:right="0" w:hanging="709"/>
        <w:rPr/>
      </w:pPr>
      <w:r>
        <w:rPr>
          <w:sz w:val="22"/>
          <w:szCs w:val="20"/>
          <w:shd w:fill="FFFFFF" w:val="clear"/>
          <w:lang w:val="en-US"/>
        </w:rPr>
        <w:t>Bhorat, H., Van der Westhuizen, C. &amp; Jacobs, T. (2009). Income and non-income inequality in post-apartheid South Africa: What are the drivers and possible policy interventions?. </w:t>
      </w:r>
      <w:r>
        <w:rPr>
          <w:i/>
          <w:iCs/>
          <w:sz w:val="22"/>
          <w:szCs w:val="20"/>
          <w:shd w:fill="FFFFFF" w:val="clear"/>
          <w:lang w:val="en-US"/>
        </w:rPr>
        <w:t>Development Policy Research Unit DPRU Working Paper</w:t>
      </w:r>
      <w:r>
        <w:rPr>
          <w:sz w:val="22"/>
          <w:szCs w:val="20"/>
          <w:shd w:fill="FFFFFF" w:val="clear"/>
          <w:lang w:val="en-US"/>
        </w:rPr>
        <w:t>,  (9/138).</w:t>
      </w:r>
    </w:p>
    <w:p>
      <w:pPr>
        <w:pStyle w:val="Normal"/>
        <w:spacing w:lineRule="auto" w:line="240"/>
        <w:ind w:left="709" w:right="0" w:hanging="709"/>
        <w:rPr/>
      </w:pPr>
      <w:r>
        <w:rPr>
          <w:rFonts w:cs="Times New Roman"/>
          <w:sz w:val="22"/>
          <w:shd w:fill="FFFFFF" w:val="clear"/>
          <w:lang w:val="en-US"/>
        </w:rPr>
        <w:t>Bieber, F. (2005). Power sharing after Yugoslavia. functionality and dysfunctionality of power sharing institutions post-war Bosnia, Macedonia and Kosovo.</w:t>
      </w:r>
      <w:r>
        <w:rPr>
          <w:rFonts w:cs="Times New Roman"/>
          <w:sz w:val="22"/>
          <w:lang w:val="en-US"/>
        </w:rPr>
        <w:t xml:space="preserve"> </w:t>
      </w:r>
    </w:p>
    <w:p>
      <w:pPr>
        <w:pStyle w:val="Normal"/>
        <w:spacing w:lineRule="auto" w:line="240"/>
        <w:ind w:left="709" w:right="0" w:hanging="709"/>
        <w:rPr/>
      </w:pPr>
      <w:r>
        <w:rPr>
          <w:rFonts w:cs="Times New Roman"/>
          <w:sz w:val="22"/>
          <w:shd w:fill="FFFFFF" w:val="clear"/>
          <w:lang w:val="en-US"/>
        </w:rPr>
        <w:t xml:space="preserve">Binningsbø, H. M. &amp; Dyrstad, K. (working paper). </w:t>
      </w:r>
      <w:r>
        <w:rPr>
          <w:rFonts w:cs="Times New Roman"/>
          <w:color w:val="000000"/>
          <w:sz w:val="22"/>
          <w:lang w:val="en-US"/>
        </w:rPr>
        <w:t xml:space="preserve">Political confidence after civil war: Peacebuilding strategies and public opinion in 30 countries. </w:t>
      </w:r>
      <w:r>
        <w:rPr>
          <w:rFonts w:cs="Times New Roman"/>
          <w:i/>
          <w:iCs/>
          <w:sz w:val="22"/>
          <w:lang w:val="en-US"/>
        </w:rPr>
        <w:t>Paper prepared for presentation at the 54th International Studies Association Annual Convention, San Francisco, 3–6 April 2013</w:t>
      </w:r>
    </w:p>
    <w:p>
      <w:pPr>
        <w:pStyle w:val="Normal"/>
        <w:spacing w:lineRule="auto" w:line="240"/>
        <w:ind w:left="709" w:right="0" w:hanging="709"/>
        <w:rPr/>
      </w:pPr>
      <w:r>
        <w:rPr>
          <w:rFonts w:cs="Times New Roman"/>
          <w:color w:val="000000"/>
          <w:sz w:val="22"/>
          <w:shd w:fill="FFFFFF" w:val="clear"/>
          <w:lang w:val="en-US"/>
        </w:rPr>
        <w:t>Binningsbø, H. M. (2013). Power sharing, peace and democracy: Any obvious relationships?. </w:t>
      </w:r>
      <w:r>
        <w:rPr>
          <w:rFonts w:cs="Times New Roman"/>
          <w:i/>
          <w:iCs/>
          <w:color w:val="000000"/>
          <w:sz w:val="22"/>
          <w:shd w:fill="FFFFFF" w:val="clear"/>
          <w:lang w:val="en-US"/>
        </w:rPr>
        <w:t>International Area Studies Review</w:t>
      </w:r>
      <w:r>
        <w:rPr>
          <w:rFonts w:cs="Times New Roman"/>
          <w:color w:val="000000"/>
          <w:sz w:val="22"/>
          <w:shd w:fill="FFFFFF" w:val="clear"/>
          <w:lang w:val="en-US"/>
        </w:rPr>
        <w:t>, </w:t>
      </w:r>
      <w:r>
        <w:rPr>
          <w:rFonts w:cs="Times New Roman"/>
          <w:i/>
          <w:iCs/>
          <w:color w:val="000000"/>
          <w:sz w:val="22"/>
          <w:shd w:fill="FFFFFF" w:val="clear"/>
          <w:lang w:val="en-US"/>
        </w:rPr>
        <w:t>16</w:t>
      </w:r>
      <w:r>
        <w:rPr>
          <w:rFonts w:cs="Times New Roman"/>
          <w:color w:val="000000"/>
          <w:sz w:val="22"/>
          <w:shd w:fill="FFFFFF" w:val="clear"/>
          <w:lang w:val="en-US"/>
        </w:rPr>
        <w:t>(1), 89-112.</w:t>
      </w:r>
    </w:p>
    <w:p>
      <w:pPr>
        <w:pStyle w:val="Normal"/>
        <w:spacing w:lineRule="auto" w:line="240"/>
        <w:ind w:left="709" w:right="0" w:hanging="709"/>
        <w:rPr/>
      </w:pPr>
      <w:r>
        <w:rPr>
          <w:sz w:val="22"/>
          <w:szCs w:val="20"/>
          <w:shd w:fill="FFFFFF" w:val="clear"/>
          <w:lang w:val="en-US"/>
        </w:rPr>
        <w:t>Blanton, R., Mason, T. D., &amp; Athow, B. (2001). Colonial style and post-colonial ethnic conflict in Africa. </w:t>
      </w:r>
      <w:r>
        <w:rPr>
          <w:i/>
          <w:iCs/>
          <w:sz w:val="22"/>
          <w:szCs w:val="20"/>
          <w:shd w:fill="FFFFFF" w:val="clear"/>
          <w:lang w:val="en-US"/>
        </w:rPr>
        <w:t>Journal of Peace Research</w:t>
      </w:r>
      <w:r>
        <w:rPr>
          <w:sz w:val="22"/>
          <w:szCs w:val="20"/>
          <w:shd w:fill="FFFFFF" w:val="clear"/>
          <w:lang w:val="en-US"/>
        </w:rPr>
        <w:t>, </w:t>
      </w:r>
      <w:r>
        <w:rPr>
          <w:i/>
          <w:iCs/>
          <w:sz w:val="22"/>
          <w:szCs w:val="20"/>
          <w:shd w:fill="FFFFFF" w:val="clear"/>
          <w:lang w:val="en-US"/>
        </w:rPr>
        <w:t>38</w:t>
      </w:r>
      <w:r>
        <w:rPr>
          <w:sz w:val="22"/>
          <w:szCs w:val="20"/>
          <w:shd w:fill="FFFFFF" w:val="clear"/>
          <w:lang w:val="en-US"/>
        </w:rPr>
        <w:t>(4), 473-491.</w:t>
      </w:r>
    </w:p>
    <w:p>
      <w:pPr>
        <w:pStyle w:val="Normal"/>
        <w:spacing w:lineRule="auto" w:line="240"/>
        <w:ind w:left="709" w:right="0" w:hanging="709"/>
        <w:rPr/>
      </w:pPr>
      <w:r>
        <w:rPr>
          <w:sz w:val="22"/>
          <w:szCs w:val="20"/>
          <w:shd w:fill="FFFFFF" w:val="clear"/>
          <w:lang w:val="en-US"/>
        </w:rPr>
        <w:t>Blattman, C., &amp; Miguel, E. (2010). Civil war. </w:t>
      </w:r>
      <w:r>
        <w:rPr>
          <w:i/>
          <w:iCs/>
          <w:sz w:val="22"/>
          <w:szCs w:val="20"/>
          <w:shd w:fill="FFFFFF" w:val="clear"/>
          <w:lang w:val="en-US"/>
        </w:rPr>
        <w:t>Journal of Economic literature</w:t>
      </w:r>
      <w:r>
        <w:rPr>
          <w:sz w:val="22"/>
          <w:szCs w:val="20"/>
          <w:shd w:fill="FFFFFF" w:val="clear"/>
          <w:lang w:val="en-US"/>
        </w:rPr>
        <w:t>, </w:t>
      </w:r>
      <w:r>
        <w:rPr>
          <w:i/>
          <w:iCs/>
          <w:sz w:val="22"/>
          <w:szCs w:val="20"/>
          <w:shd w:fill="FFFFFF" w:val="clear"/>
          <w:lang w:val="en-US"/>
        </w:rPr>
        <w:t>48</w:t>
      </w:r>
      <w:r>
        <w:rPr>
          <w:sz w:val="22"/>
          <w:szCs w:val="20"/>
          <w:shd w:fill="FFFFFF" w:val="clear"/>
          <w:lang w:val="en-US"/>
        </w:rPr>
        <w:t>(1), 3-57.</w:t>
      </w:r>
    </w:p>
    <w:p>
      <w:pPr>
        <w:pStyle w:val="Normal"/>
        <w:spacing w:lineRule="auto" w:line="240" w:before="0" w:after="0"/>
        <w:ind w:left="709" w:right="0" w:hanging="709"/>
        <w:rPr>
          <w:rFonts w:cs="Times New Roman"/>
          <w:sz w:val="22"/>
          <w:lang w:val="en-US"/>
        </w:rPr>
      </w:pPr>
      <w:r>
        <w:rPr>
          <w:rFonts w:cs="Times New Roman"/>
          <w:sz w:val="22"/>
          <w:lang w:val="en-US"/>
        </w:rPr>
        <w:t>Bratton, M. &amp; Mattes, R. (2001). Support for democracy in Africa: intrinsic or</w:t>
      </w:r>
    </w:p>
    <w:p>
      <w:pPr>
        <w:pStyle w:val="Normal"/>
        <w:spacing w:lineRule="auto" w:line="240"/>
        <w:ind w:left="709" w:right="0" w:hanging="709"/>
        <w:rPr/>
      </w:pPr>
      <w:r>
        <w:rPr>
          <w:rFonts w:cs="Times New Roman"/>
          <w:sz w:val="22"/>
          <w:lang w:val="en-US"/>
        </w:rPr>
        <w:t xml:space="preserve">instrumental? </w:t>
      </w:r>
      <w:r>
        <w:rPr>
          <w:rFonts w:cs="Times New Roman"/>
          <w:i/>
          <w:iCs/>
          <w:sz w:val="22"/>
          <w:lang w:val="en-US"/>
        </w:rPr>
        <w:t xml:space="preserve">British Journal of Political Science, 31, </w:t>
      </w:r>
      <w:r>
        <w:rPr>
          <w:rFonts w:cs="Times New Roman"/>
          <w:sz w:val="22"/>
          <w:lang w:val="en-US"/>
        </w:rPr>
        <w:t>s. 447-474</w:t>
      </w:r>
    </w:p>
    <w:p>
      <w:pPr>
        <w:pStyle w:val="Normal"/>
        <w:spacing w:lineRule="auto" w:line="240"/>
        <w:ind w:left="709" w:right="0" w:hanging="709"/>
        <w:rPr/>
      </w:pPr>
      <w:r>
        <w:rPr>
          <w:rFonts w:cs="Times New Roman"/>
          <w:color w:val="000000"/>
          <w:sz w:val="22"/>
          <w:lang w:val="en-US"/>
        </w:rPr>
        <w:t xml:space="preserve">Bratton, M., Mattes, R. &amp; Gyimah-Boadi, E. (2005). </w:t>
      </w:r>
      <w:r>
        <w:rPr>
          <w:rFonts w:cs="Times New Roman"/>
          <w:i/>
          <w:iCs/>
          <w:color w:val="000000"/>
          <w:sz w:val="22"/>
          <w:lang w:val="en-US"/>
        </w:rPr>
        <w:t>Public Opinion, Democracy, and Market Reform in Africa.</w:t>
      </w:r>
      <w:r>
        <w:rPr>
          <w:rFonts w:cs="Times New Roman"/>
          <w:color w:val="000000"/>
          <w:sz w:val="22"/>
          <w:lang w:val="en-US"/>
        </w:rPr>
        <w:t xml:space="preserve"> New York: Cambridge University Press.</w:t>
      </w:r>
    </w:p>
    <w:p>
      <w:pPr>
        <w:pStyle w:val="Normal"/>
        <w:spacing w:lineRule="auto" w:line="240"/>
        <w:ind w:left="1418" w:right="0" w:hanging="709"/>
        <w:rPr/>
      </w:pPr>
      <w:r>
        <w:rPr>
          <w:rFonts w:cs="Times New Roman"/>
          <w:sz w:val="22"/>
          <w:szCs w:val="20"/>
          <w:shd w:fill="FFFFFF" w:val="clear"/>
          <w:lang w:val="en-US"/>
        </w:rPr>
        <w:t>Bryk, A. S. &amp; Raudenbush, S. W. (1992). </w:t>
      </w:r>
      <w:r>
        <w:rPr>
          <w:rFonts w:cs="Times New Roman"/>
          <w:i/>
          <w:iCs/>
          <w:sz w:val="22"/>
          <w:szCs w:val="20"/>
          <w:shd w:fill="FFFFFF" w:val="clear"/>
          <w:lang w:val="en-US"/>
        </w:rPr>
        <w:t>Hierarchical linear models: Applications and data analysis methods</w:t>
      </w:r>
      <w:r>
        <w:rPr>
          <w:rFonts w:cs="Times New Roman"/>
          <w:sz w:val="22"/>
          <w:szCs w:val="20"/>
          <w:shd w:fill="FFFFFF" w:val="clear"/>
          <w:lang w:val="en-US"/>
        </w:rPr>
        <w:t>. London: Sage Publications, Inc.</w:t>
      </w:r>
    </w:p>
    <w:p>
      <w:pPr>
        <w:pStyle w:val="Normal"/>
        <w:spacing w:lineRule="auto" w:line="240"/>
        <w:ind w:left="709" w:right="0" w:hanging="709"/>
        <w:rPr/>
      </w:pPr>
      <w:r>
        <w:rPr>
          <w:rFonts w:cs="Times New Roman"/>
          <w:color w:val="000000"/>
          <w:sz w:val="22"/>
          <w:shd w:fill="FFFFFF" w:val="clear"/>
          <w:lang w:val="en-US"/>
        </w:rPr>
        <w:t>Buckley-Zistel, S. (2006). Dividing and uniting: The use of citizenship discourses in conflict and reconciliation in Rwanda. </w:t>
      </w:r>
      <w:r>
        <w:rPr>
          <w:rFonts w:cs="Times New Roman"/>
          <w:i/>
          <w:iCs/>
          <w:color w:val="000000"/>
          <w:sz w:val="22"/>
          <w:shd w:fill="FFFFFF" w:val="clear"/>
          <w:lang w:val="en-US"/>
        </w:rPr>
        <w:t>Global Society</w:t>
      </w:r>
      <w:r>
        <w:rPr>
          <w:rFonts w:cs="Times New Roman"/>
          <w:color w:val="000000"/>
          <w:sz w:val="22"/>
          <w:shd w:fill="FFFFFF" w:val="clear"/>
          <w:lang w:val="en-US"/>
        </w:rPr>
        <w:t>, </w:t>
      </w:r>
      <w:r>
        <w:rPr>
          <w:rFonts w:cs="Times New Roman"/>
          <w:i/>
          <w:iCs/>
          <w:color w:val="000000"/>
          <w:sz w:val="22"/>
          <w:shd w:fill="FFFFFF" w:val="clear"/>
          <w:lang w:val="en-US"/>
        </w:rPr>
        <w:t>20</w:t>
      </w:r>
      <w:r>
        <w:rPr>
          <w:rFonts w:cs="Times New Roman"/>
          <w:color w:val="000000"/>
          <w:sz w:val="22"/>
          <w:shd w:fill="FFFFFF" w:val="clear"/>
          <w:lang w:val="en-US"/>
        </w:rPr>
        <w:t>(1), 101-113.</w:t>
      </w:r>
    </w:p>
    <w:p>
      <w:pPr>
        <w:pStyle w:val="Normal"/>
        <w:spacing w:lineRule="auto" w:line="240"/>
        <w:ind w:left="709" w:right="0" w:hanging="709"/>
        <w:rPr/>
      </w:pPr>
      <w:r>
        <w:rPr>
          <w:rFonts w:cs="Times New Roman"/>
          <w:color w:val="000000"/>
          <w:sz w:val="22"/>
          <w:shd w:fill="FFFFFF" w:val="clear"/>
          <w:lang w:val="en-US"/>
        </w:rPr>
        <w:t>Cammett, M., &amp; Malesky, E. (2012). Power sharing in postconflict societies: Implications for peace and governance. </w:t>
      </w:r>
      <w:r>
        <w:rPr>
          <w:rFonts w:cs="Times New Roman"/>
          <w:i/>
          <w:iCs/>
          <w:color w:val="000000"/>
          <w:sz w:val="22"/>
          <w:shd w:fill="FFFFFF" w:val="clear"/>
          <w:lang w:val="en-US"/>
        </w:rPr>
        <w:t>Journal of Conflict Resolution</w:t>
      </w:r>
      <w:r>
        <w:rPr>
          <w:rFonts w:cs="Times New Roman"/>
          <w:color w:val="000000"/>
          <w:sz w:val="22"/>
          <w:shd w:fill="FFFFFF" w:val="clear"/>
          <w:lang w:val="en-US"/>
        </w:rPr>
        <w:t>, </w:t>
      </w:r>
      <w:r>
        <w:rPr>
          <w:rFonts w:cs="Times New Roman"/>
          <w:i/>
          <w:iCs/>
          <w:color w:val="000000"/>
          <w:sz w:val="22"/>
          <w:shd w:fill="FFFFFF" w:val="clear"/>
          <w:lang w:val="en-US"/>
        </w:rPr>
        <w:t>56</w:t>
      </w:r>
      <w:r>
        <w:rPr>
          <w:rFonts w:cs="Times New Roman"/>
          <w:color w:val="000000"/>
          <w:sz w:val="22"/>
          <w:shd w:fill="FFFFFF" w:val="clear"/>
          <w:lang w:val="en-US"/>
        </w:rPr>
        <w:t>(6), 982-1016.</w:t>
      </w:r>
    </w:p>
    <w:p>
      <w:pPr>
        <w:pStyle w:val="Normal"/>
        <w:spacing w:lineRule="auto" w:line="240"/>
        <w:ind w:left="709" w:right="0" w:hanging="709"/>
        <w:rPr/>
      </w:pPr>
      <w:r>
        <w:rPr>
          <w:rFonts w:cs="Times New Roman"/>
          <w:color w:val="000000"/>
          <w:sz w:val="22"/>
          <w:shd w:fill="FFFFFF" w:val="clear"/>
          <w:lang w:val="en-US"/>
        </w:rPr>
        <w:t>Caprioli, M. (2005). Primed for violence: The role of gender inequality in predicting internal conflict. </w:t>
      </w:r>
      <w:r>
        <w:rPr>
          <w:rFonts w:cs="Times New Roman"/>
          <w:i/>
          <w:iCs/>
          <w:color w:val="000000"/>
          <w:sz w:val="22"/>
          <w:shd w:fill="FFFFFF" w:val="clear"/>
          <w:lang w:val="en-US"/>
        </w:rPr>
        <w:t>International studies quarterly</w:t>
      </w:r>
      <w:r>
        <w:rPr>
          <w:rFonts w:cs="Times New Roman"/>
          <w:color w:val="000000"/>
          <w:sz w:val="22"/>
          <w:shd w:fill="FFFFFF" w:val="clear"/>
          <w:lang w:val="en-US"/>
        </w:rPr>
        <w:t>, </w:t>
      </w:r>
      <w:r>
        <w:rPr>
          <w:rFonts w:cs="Times New Roman"/>
          <w:i/>
          <w:iCs/>
          <w:color w:val="000000"/>
          <w:sz w:val="22"/>
          <w:shd w:fill="FFFFFF" w:val="clear"/>
          <w:lang w:val="en-US"/>
        </w:rPr>
        <w:t>49</w:t>
      </w:r>
      <w:r>
        <w:rPr>
          <w:rFonts w:cs="Times New Roman"/>
          <w:color w:val="000000"/>
          <w:sz w:val="22"/>
          <w:shd w:fill="FFFFFF" w:val="clear"/>
          <w:lang w:val="en-US"/>
        </w:rPr>
        <w:t>(2), 161-178.</w:t>
      </w:r>
    </w:p>
    <w:p>
      <w:pPr>
        <w:pStyle w:val="Normal"/>
        <w:spacing w:lineRule="auto" w:line="240"/>
        <w:ind w:left="709" w:right="0" w:hanging="709"/>
        <w:rPr/>
      </w:pPr>
      <w:r>
        <w:rPr>
          <w:sz w:val="22"/>
          <w:szCs w:val="20"/>
          <w:lang w:val="en-US"/>
        </w:rPr>
        <w:t xml:space="preserve">Catterberg, G. &amp; Moreno, A. (2005). The Individual Bases of Political Trust: Trends in New and Established Democracies. </w:t>
      </w:r>
      <w:r>
        <w:rPr>
          <w:i/>
          <w:iCs/>
          <w:sz w:val="22"/>
          <w:szCs w:val="20"/>
          <w:lang w:val="en-US"/>
        </w:rPr>
        <w:t>International Journal of Public Opinion Research</w:t>
      </w:r>
      <w:r>
        <w:rPr>
          <w:sz w:val="22"/>
          <w:szCs w:val="20"/>
          <w:lang w:val="en-US"/>
        </w:rPr>
        <w:t xml:space="preserve">, </w:t>
      </w:r>
      <w:r>
        <w:rPr>
          <w:i/>
          <w:iCs/>
          <w:sz w:val="22"/>
          <w:szCs w:val="20"/>
          <w:lang w:val="en-US"/>
        </w:rPr>
        <w:t>18</w:t>
      </w:r>
      <w:r>
        <w:rPr>
          <w:sz w:val="22"/>
          <w:szCs w:val="20"/>
          <w:lang w:val="en-US"/>
        </w:rPr>
        <w:t xml:space="preserve">(1), 31–48. Hentet fra: </w:t>
      </w:r>
      <w:hyperlink r:id="rId7">
        <w:r>
          <w:rPr>
            <w:rStyle w:val="InternetLink"/>
            <w:sz w:val="22"/>
            <w:szCs w:val="20"/>
            <w:lang w:val="en-US"/>
          </w:rPr>
          <w:t>https://doi.org/10.1093/ijpor/edh081</w:t>
        </w:r>
      </w:hyperlink>
      <w:r>
        <w:rPr>
          <w:sz w:val="22"/>
          <w:szCs w:val="20"/>
          <w:lang w:val="en-US"/>
        </w:rPr>
        <w:t xml:space="preserve"> </w:t>
      </w:r>
    </w:p>
    <w:p>
      <w:pPr>
        <w:pStyle w:val="Normal"/>
        <w:spacing w:lineRule="auto" w:line="240"/>
        <w:ind w:left="709" w:right="0" w:hanging="709"/>
        <w:rPr/>
      </w:pPr>
      <w:r>
        <w:rPr>
          <w:rFonts w:cs="Times New Roman"/>
          <w:color w:val="000000"/>
          <w:sz w:val="22"/>
          <w:shd w:fill="FFFFFF" w:val="clear"/>
          <w:lang w:val="en-US"/>
        </w:rPr>
        <w:t>Carey, J. M., &amp; Shugart, M. S. (1995). Incentives to cultivate a personal vote: A rank ordering of electoral formulas. </w:t>
      </w:r>
      <w:r>
        <w:rPr>
          <w:rFonts w:cs="Times New Roman"/>
          <w:i/>
          <w:iCs/>
          <w:color w:val="000000"/>
          <w:sz w:val="22"/>
          <w:shd w:fill="FFFFFF" w:val="clear"/>
          <w:lang w:val="en-US"/>
        </w:rPr>
        <w:t>Electoral studies</w:t>
      </w:r>
      <w:r>
        <w:rPr>
          <w:rFonts w:cs="Times New Roman"/>
          <w:color w:val="000000"/>
          <w:sz w:val="22"/>
          <w:shd w:fill="FFFFFF" w:val="clear"/>
          <w:lang w:val="en-US"/>
        </w:rPr>
        <w:t>, </w:t>
      </w:r>
      <w:r>
        <w:rPr>
          <w:rFonts w:cs="Times New Roman"/>
          <w:i/>
          <w:iCs/>
          <w:color w:val="000000"/>
          <w:sz w:val="22"/>
          <w:shd w:fill="FFFFFF" w:val="clear"/>
          <w:lang w:val="en-US"/>
        </w:rPr>
        <w:t>14</w:t>
      </w:r>
      <w:r>
        <w:rPr>
          <w:rFonts w:cs="Times New Roman"/>
          <w:color w:val="000000"/>
          <w:sz w:val="22"/>
          <w:shd w:fill="FFFFFF" w:val="clear"/>
          <w:lang w:val="en-US"/>
        </w:rPr>
        <w:t>(4), 417-439.</w:t>
      </w:r>
    </w:p>
    <w:p>
      <w:pPr>
        <w:pStyle w:val="Normal"/>
        <w:spacing w:lineRule="auto" w:line="240"/>
        <w:ind w:left="709" w:right="0" w:hanging="709"/>
        <w:rPr>
          <w:rFonts w:cs="Times New Roman"/>
          <w:color w:val="000000"/>
          <w:sz w:val="22"/>
          <w:lang w:val="en-US"/>
        </w:rPr>
      </w:pPr>
      <w:r>
        <w:rPr>
          <w:rFonts w:cs="Times New Roman"/>
          <w:color w:val="000000"/>
          <w:sz w:val="22"/>
          <w:lang w:val="en-US"/>
        </w:rPr>
        <w:t>Chandra K. 2004. Why Ethnic Parties Succeed. Cambridge, UK: Cambridge Univ. Press</w:t>
      </w:r>
    </w:p>
    <w:p>
      <w:pPr>
        <w:pStyle w:val="Normal"/>
        <w:spacing w:lineRule="auto" w:line="240"/>
        <w:ind w:left="709" w:right="0" w:hanging="709"/>
        <w:rPr/>
      </w:pPr>
      <w:r>
        <w:rPr>
          <w:rFonts w:cs="Times New Roman"/>
          <w:color w:val="000000"/>
          <w:sz w:val="22"/>
          <w:shd w:fill="FFFFFF" w:val="clear"/>
          <w:lang w:val="en-US"/>
        </w:rPr>
        <w:t>Chandra, K. (2006). What is ethnic identity and does it matter?. </w:t>
      </w:r>
      <w:r>
        <w:rPr>
          <w:rFonts w:cs="Times New Roman"/>
          <w:i/>
          <w:iCs/>
          <w:color w:val="000000"/>
          <w:sz w:val="22"/>
          <w:shd w:fill="FFFFFF" w:val="clear"/>
          <w:lang w:val="en-US"/>
        </w:rPr>
        <w:t>Annu. Rev. Polit. Sci.</w:t>
      </w:r>
      <w:r>
        <w:rPr>
          <w:rFonts w:cs="Times New Roman"/>
          <w:color w:val="000000"/>
          <w:sz w:val="22"/>
          <w:shd w:fill="FFFFFF" w:val="clear"/>
          <w:lang w:val="en-US"/>
        </w:rPr>
        <w:t>, </w:t>
      </w:r>
      <w:r>
        <w:rPr>
          <w:rFonts w:cs="Times New Roman"/>
          <w:i/>
          <w:iCs/>
          <w:color w:val="000000"/>
          <w:sz w:val="22"/>
          <w:shd w:fill="FFFFFF" w:val="clear"/>
          <w:lang w:val="en-US"/>
        </w:rPr>
        <w:t>9</w:t>
      </w:r>
      <w:r>
        <w:rPr>
          <w:rFonts w:cs="Times New Roman"/>
          <w:color w:val="000000"/>
          <w:sz w:val="22"/>
          <w:shd w:fill="FFFFFF" w:val="clear"/>
          <w:lang w:val="en-US"/>
        </w:rPr>
        <w:t>, 397-424.</w:t>
      </w:r>
    </w:p>
    <w:p>
      <w:pPr>
        <w:pStyle w:val="Normal"/>
        <w:spacing w:lineRule="auto" w:line="240"/>
        <w:ind w:left="709" w:right="0" w:hanging="709"/>
        <w:rPr/>
      </w:pPr>
      <w:r>
        <w:rPr>
          <w:rFonts w:cs="Times New Roman"/>
          <w:color w:val="000000"/>
          <w:sz w:val="22"/>
          <w:shd w:fill="FFFFFF" w:val="clear"/>
          <w:lang w:val="en-US"/>
        </w:rPr>
        <w:t>Chang, E. C. (2005). Electoral incentives for political corruption under open-list proportional representation. </w:t>
      </w:r>
      <w:r>
        <w:rPr>
          <w:rFonts w:cs="Times New Roman"/>
          <w:i/>
          <w:iCs/>
          <w:color w:val="000000"/>
          <w:sz w:val="22"/>
          <w:shd w:fill="FFFFFF" w:val="clear"/>
          <w:lang w:val="en-US"/>
        </w:rPr>
        <w:t>The Journal of Politics</w:t>
      </w:r>
      <w:r>
        <w:rPr>
          <w:rFonts w:cs="Times New Roman"/>
          <w:color w:val="000000"/>
          <w:sz w:val="22"/>
          <w:shd w:fill="FFFFFF" w:val="clear"/>
          <w:lang w:val="en-US"/>
        </w:rPr>
        <w:t>, </w:t>
      </w:r>
      <w:r>
        <w:rPr>
          <w:rFonts w:cs="Times New Roman"/>
          <w:i/>
          <w:iCs/>
          <w:color w:val="000000"/>
          <w:sz w:val="22"/>
          <w:shd w:fill="FFFFFF" w:val="clear"/>
          <w:lang w:val="en-US"/>
        </w:rPr>
        <w:t>67</w:t>
      </w:r>
      <w:r>
        <w:rPr>
          <w:rFonts w:cs="Times New Roman"/>
          <w:color w:val="000000"/>
          <w:sz w:val="22"/>
          <w:shd w:fill="FFFFFF" w:val="clear"/>
          <w:lang w:val="en-US"/>
        </w:rPr>
        <w:t>(3), 716-730.</w:t>
      </w:r>
    </w:p>
    <w:p>
      <w:pPr>
        <w:pStyle w:val="Normal"/>
        <w:spacing w:lineRule="auto" w:line="240"/>
        <w:ind w:left="709" w:right="0" w:hanging="709"/>
        <w:rPr/>
      </w:pPr>
      <w:r>
        <w:rPr>
          <w:rFonts w:cs="Times New Roman"/>
          <w:sz w:val="22"/>
          <w:shd w:fill="FFFFFF" w:val="clear"/>
          <w:lang w:val="en-US"/>
        </w:rPr>
        <w:t>Chaturvedi, N., &amp; McKeigue, P. M. (1994). Methods for epidemiological surveys of ethnic minority groups. </w:t>
      </w:r>
      <w:r>
        <w:rPr>
          <w:rFonts w:cs="Times New Roman"/>
          <w:i/>
          <w:iCs/>
          <w:sz w:val="22"/>
          <w:shd w:fill="FFFFFF" w:val="clear"/>
          <w:lang w:val="en-US"/>
        </w:rPr>
        <w:t>Journal of Epidemiology &amp; Community Health</w:t>
      </w:r>
      <w:r>
        <w:rPr>
          <w:rFonts w:cs="Times New Roman"/>
          <w:sz w:val="22"/>
          <w:shd w:fill="FFFFFF" w:val="clear"/>
          <w:lang w:val="en-US"/>
        </w:rPr>
        <w:t>, </w:t>
      </w:r>
      <w:r>
        <w:rPr>
          <w:rFonts w:cs="Times New Roman"/>
          <w:i/>
          <w:iCs/>
          <w:sz w:val="22"/>
          <w:shd w:fill="FFFFFF" w:val="clear"/>
          <w:lang w:val="en-US"/>
        </w:rPr>
        <w:t>48</w:t>
      </w:r>
      <w:r>
        <w:rPr>
          <w:rFonts w:cs="Times New Roman"/>
          <w:sz w:val="22"/>
          <w:shd w:fill="FFFFFF" w:val="clear"/>
          <w:lang w:val="en-US"/>
        </w:rPr>
        <w:t>(2), 107-111.</w:t>
      </w:r>
    </w:p>
    <w:p>
      <w:pPr>
        <w:pStyle w:val="Normal"/>
        <w:spacing w:lineRule="auto" w:line="240"/>
        <w:ind w:left="709" w:right="0" w:hanging="709"/>
        <w:rPr/>
      </w:pPr>
      <w:r>
        <w:rPr>
          <w:rFonts w:cs="Times New Roman"/>
          <w:sz w:val="22"/>
          <w:shd w:fill="FFFFFF" w:val="clear"/>
          <w:lang w:val="en-US"/>
        </w:rPr>
        <w:t xml:space="preserve">Cheeseman, N. &amp; Ford, R. (working paper). </w:t>
      </w:r>
      <w:r>
        <w:rPr>
          <w:sz w:val="22"/>
          <w:szCs w:val="20"/>
          <w:lang w:val="en-US"/>
        </w:rPr>
        <w:t xml:space="preserve">Ethnicity as a Political Cleavage. </w:t>
      </w:r>
      <w:r>
        <w:rPr>
          <w:i/>
          <w:iCs/>
          <w:sz w:val="22"/>
          <w:szCs w:val="20"/>
          <w:lang w:val="en-US"/>
        </w:rPr>
        <w:t>Afrobarometer Working Papers, Working paper no. 83</w:t>
      </w:r>
      <w:r>
        <w:rPr>
          <w:sz w:val="22"/>
          <w:szCs w:val="20"/>
          <w:lang w:val="en-US"/>
        </w:rPr>
        <w:t>.</w:t>
      </w:r>
    </w:p>
    <w:p>
      <w:pPr>
        <w:pStyle w:val="Normal"/>
        <w:spacing w:lineRule="auto" w:line="240"/>
        <w:ind w:left="709" w:right="0" w:hanging="709"/>
        <w:rPr/>
      </w:pPr>
      <w:r>
        <w:rPr>
          <w:rFonts w:cs="Times New Roman"/>
          <w:sz w:val="22"/>
          <w:shd w:fill="FFFFFF" w:val="clear"/>
          <w:lang w:val="en-US"/>
        </w:rPr>
        <w:t>Choudhry, S. (2008). Bridging Comparative Politics and Comparative Constitutional Law: Constitutional Design for Divided Societies. </w:t>
      </w:r>
      <w:r>
        <w:rPr>
          <w:rFonts w:cs="Times New Roman"/>
          <w:i/>
          <w:iCs/>
          <w:sz w:val="22"/>
          <w:shd w:fill="FFFFFF" w:val="clear"/>
          <w:lang w:val="en-US"/>
        </w:rPr>
        <w:t>Constitutional Design for Divided Societies: Intergration or Accommodation</w:t>
      </w:r>
      <w:r>
        <w:rPr>
          <w:rFonts w:cs="Times New Roman"/>
          <w:sz w:val="22"/>
          <w:shd w:fill="FFFFFF" w:val="clear"/>
          <w:lang w:val="en-US"/>
        </w:rPr>
        <w:t>, 09-01.</w:t>
      </w:r>
    </w:p>
    <w:p>
      <w:pPr>
        <w:pStyle w:val="Normal"/>
        <w:spacing w:lineRule="auto" w:line="240"/>
        <w:ind w:left="709" w:right="0" w:hanging="709"/>
        <w:rPr/>
      </w:pPr>
      <w:r>
        <w:rPr>
          <w:rFonts w:cs="Times New Roman"/>
          <w:sz w:val="22"/>
          <w:shd w:fill="FFFFFF" w:val="clear"/>
          <w:lang w:val="en-US"/>
        </w:rPr>
        <w:t>CIA. (2020</w:t>
      </w:r>
      <w:r>
        <w:rPr>
          <w:rFonts w:cs="Times New Roman"/>
          <w:i/>
          <w:iCs/>
          <w:sz w:val="22"/>
          <w:shd w:fill="FFFFFF" w:val="clear"/>
          <w:lang w:val="en-US"/>
        </w:rPr>
        <w:t>). The World Factbook: Field Listing – Ethnic Groups.</w:t>
      </w:r>
      <w:r>
        <w:rPr>
          <w:rFonts w:cs="Times New Roman"/>
          <w:sz w:val="22"/>
          <w:shd w:fill="FFFFFF" w:val="clear"/>
          <w:lang w:val="en-US"/>
        </w:rPr>
        <w:t xml:space="preserve"> </w:t>
      </w:r>
      <w:r>
        <w:rPr>
          <w:rFonts w:cs="Times New Roman"/>
          <w:sz w:val="22"/>
          <w:shd w:fill="FFFFFF" w:val="clear"/>
        </w:rPr>
        <w:t xml:space="preserve">Hentet fra: </w:t>
      </w:r>
      <w:hyperlink r:id="rId8">
        <w:r>
          <w:rPr>
            <w:rStyle w:val="InternetLink"/>
            <w:rFonts w:cs="Times New Roman"/>
            <w:sz w:val="22"/>
            <w:shd w:fill="FFFFFF" w:val="clear"/>
          </w:rPr>
          <w:t>https://www.cia.gov/the-world-factbook/field/ethnic-groups/</w:t>
        </w:r>
      </w:hyperlink>
      <w:r>
        <w:rPr>
          <w:rFonts w:cs="Times New Roman"/>
          <w:sz w:val="22"/>
          <w:shd w:fill="FFFFFF" w:val="clear"/>
        </w:rPr>
        <w:t xml:space="preserve"> </w:t>
      </w:r>
    </w:p>
    <w:p>
      <w:pPr>
        <w:pStyle w:val="Normal"/>
        <w:spacing w:lineRule="auto" w:line="240" w:before="0" w:after="0"/>
        <w:ind w:left="709" w:right="0" w:hanging="709"/>
        <w:rPr/>
      </w:pPr>
      <w:r>
        <w:rPr>
          <w:rFonts w:cs="Times New Roman"/>
          <w:sz w:val="22"/>
          <w:lang w:val="en-US"/>
        </w:rPr>
        <w:t xml:space="preserve">Citrin, J. (1974). Comment: the political relevance of trust in government: </w:t>
      </w:r>
      <w:r>
        <w:rPr>
          <w:rFonts w:cs="Times New Roman"/>
          <w:i/>
          <w:iCs/>
          <w:sz w:val="22"/>
          <w:lang w:val="en-US"/>
        </w:rPr>
        <w:t>The American</w:t>
      </w:r>
    </w:p>
    <w:p>
      <w:pPr>
        <w:pStyle w:val="Normal"/>
        <w:spacing w:lineRule="auto" w:line="240"/>
        <w:ind w:left="709" w:right="0" w:hanging="709"/>
        <w:rPr/>
      </w:pPr>
      <w:r>
        <w:rPr>
          <w:rFonts w:cs="Times New Roman"/>
          <w:i/>
          <w:iCs/>
          <w:sz w:val="22"/>
          <w:lang w:val="en-US"/>
        </w:rPr>
        <w:t>Political Science Review 68</w:t>
      </w:r>
      <w:r>
        <w:rPr>
          <w:rFonts w:cs="Times New Roman"/>
          <w:sz w:val="22"/>
          <w:lang w:val="en-US"/>
        </w:rPr>
        <w:t>(3): s. 973-988</w:t>
      </w:r>
    </w:p>
    <w:p>
      <w:pPr>
        <w:pStyle w:val="Normal"/>
        <w:spacing w:lineRule="auto" w:line="240"/>
        <w:ind w:left="709" w:right="0" w:hanging="709"/>
        <w:rPr/>
      </w:pPr>
      <w:r>
        <w:rPr>
          <w:rFonts w:cs="Times New Roman"/>
          <w:sz w:val="22"/>
          <w:lang w:val="en-US"/>
        </w:rPr>
        <w:t xml:space="preserve">Collier, P., Elliott, V. L., Hegre, H., Hoeffler, A., Reynal-Querol, M. &amp; Sambanis, N. (2003). </w:t>
      </w:r>
      <w:r>
        <w:rPr>
          <w:rFonts w:cs="Times New Roman"/>
          <w:i/>
          <w:iCs/>
          <w:sz w:val="22"/>
          <w:lang w:val="en-US"/>
        </w:rPr>
        <w:t>Breaking the Conflict Trap: Civil War and Development Policy.</w:t>
      </w:r>
      <w:r>
        <w:rPr>
          <w:rFonts w:cs="Times New Roman"/>
          <w:sz w:val="22"/>
          <w:lang w:val="en-US"/>
        </w:rPr>
        <w:t xml:space="preserve"> Washington, DC: Oxford University Press</w:t>
      </w:r>
    </w:p>
    <w:p>
      <w:pPr>
        <w:pStyle w:val="Normal"/>
        <w:spacing w:lineRule="auto" w:line="240"/>
        <w:ind w:left="709" w:right="0" w:hanging="709"/>
        <w:rPr/>
      </w:pPr>
      <w:r>
        <w:rPr>
          <w:rFonts w:cs="Times New Roman"/>
          <w:color w:val="000000"/>
          <w:sz w:val="22"/>
          <w:shd w:fill="FFFFFF" w:val="clear"/>
          <w:lang w:val="en-US"/>
        </w:rPr>
        <w:t>Cox, G. W., &amp; Thies, M. F. (1998). The cost of intraparty competition: The single, nontransferable vote and money politics in Japan. </w:t>
      </w:r>
      <w:r>
        <w:rPr>
          <w:rFonts w:cs="Times New Roman"/>
          <w:i/>
          <w:iCs/>
          <w:color w:val="000000"/>
          <w:sz w:val="22"/>
          <w:shd w:fill="FFFFFF" w:val="clear"/>
          <w:lang w:val="en-US"/>
        </w:rPr>
        <w:t>Comparative Political Studies</w:t>
      </w:r>
      <w:r>
        <w:rPr>
          <w:rFonts w:cs="Times New Roman"/>
          <w:color w:val="000000"/>
          <w:sz w:val="22"/>
          <w:shd w:fill="FFFFFF" w:val="clear"/>
          <w:lang w:val="en-US"/>
        </w:rPr>
        <w:t>, </w:t>
      </w:r>
      <w:r>
        <w:rPr>
          <w:rFonts w:cs="Times New Roman"/>
          <w:i/>
          <w:iCs/>
          <w:color w:val="000000"/>
          <w:sz w:val="22"/>
          <w:shd w:fill="FFFFFF" w:val="clear"/>
          <w:lang w:val="en-US"/>
        </w:rPr>
        <w:t>31</w:t>
      </w:r>
      <w:r>
        <w:rPr>
          <w:rFonts w:cs="Times New Roman"/>
          <w:color w:val="000000"/>
          <w:sz w:val="22"/>
          <w:shd w:fill="FFFFFF" w:val="clear"/>
          <w:lang w:val="en-US"/>
        </w:rPr>
        <w:t>(3), 267-291.</w:t>
      </w:r>
    </w:p>
    <w:p>
      <w:pPr>
        <w:pStyle w:val="Normal"/>
        <w:spacing w:lineRule="auto" w:line="240"/>
        <w:ind w:left="709" w:right="0" w:hanging="709"/>
        <w:rPr/>
      </w:pPr>
      <w:r>
        <w:rPr>
          <w:sz w:val="22"/>
          <w:szCs w:val="20"/>
          <w:shd w:fill="FFFFFF" w:val="clear"/>
          <w:lang w:val="en-US"/>
        </w:rPr>
        <w:t>Dalton, R. J. (2004). </w:t>
      </w:r>
      <w:r>
        <w:rPr>
          <w:i/>
          <w:iCs/>
          <w:sz w:val="22"/>
          <w:szCs w:val="20"/>
          <w:shd w:fill="FFFFFF" w:val="clear"/>
          <w:lang w:val="en-US"/>
        </w:rPr>
        <w:t>Democratic challenges, democratic choices</w:t>
      </w:r>
      <w:r>
        <w:rPr>
          <w:sz w:val="22"/>
          <w:szCs w:val="20"/>
          <w:shd w:fill="FFFFFF" w:val="clear"/>
          <w:lang w:val="en-US"/>
        </w:rPr>
        <w:t> (Vol. 10). Oxford: Oxford University Press.</w:t>
      </w:r>
    </w:p>
    <w:p>
      <w:pPr>
        <w:pStyle w:val="Normal"/>
        <w:spacing w:lineRule="auto" w:line="240"/>
        <w:ind w:left="709" w:right="0" w:hanging="709"/>
        <w:rPr/>
      </w:pPr>
      <w:r>
        <w:rPr>
          <w:rFonts w:cs="Times New Roman"/>
          <w:sz w:val="22"/>
          <w:shd w:fill="FFFFFF" w:val="clear"/>
          <w:lang w:val="en-US"/>
        </w:rPr>
        <w:t>De Juan, A., &amp; Pierskalla, J. H. (2016). Civil war violence and political trust: Microlevel evidence from Nepal. </w:t>
      </w:r>
      <w:r>
        <w:rPr>
          <w:rFonts w:cs="Times New Roman"/>
          <w:i/>
          <w:iCs/>
          <w:sz w:val="22"/>
          <w:shd w:fill="FFFFFF" w:val="clear"/>
          <w:lang w:val="en-US"/>
        </w:rPr>
        <w:t>Conflict Management and Peace Science</w:t>
      </w:r>
      <w:r>
        <w:rPr>
          <w:rFonts w:cs="Times New Roman"/>
          <w:sz w:val="22"/>
          <w:shd w:fill="FFFFFF" w:val="clear"/>
          <w:lang w:val="en-US"/>
        </w:rPr>
        <w:t>, </w:t>
      </w:r>
      <w:r>
        <w:rPr>
          <w:rFonts w:cs="Times New Roman"/>
          <w:i/>
          <w:iCs/>
          <w:sz w:val="22"/>
          <w:shd w:fill="FFFFFF" w:val="clear"/>
          <w:lang w:val="en-US"/>
        </w:rPr>
        <w:t>33</w:t>
      </w:r>
      <w:r>
        <w:rPr>
          <w:rFonts w:cs="Times New Roman"/>
          <w:sz w:val="22"/>
          <w:shd w:fill="FFFFFF" w:val="clear"/>
          <w:lang w:val="en-US"/>
        </w:rPr>
        <w:t>(1), 67-88.</w:t>
      </w:r>
    </w:p>
    <w:p>
      <w:pPr>
        <w:pStyle w:val="Normal"/>
        <w:spacing w:lineRule="auto" w:line="240"/>
        <w:ind w:left="709" w:right="0" w:hanging="709"/>
        <w:rPr/>
      </w:pPr>
      <w:r>
        <w:rPr>
          <w:rFonts w:cs="Times New Roman"/>
          <w:sz w:val="22"/>
          <w:lang w:val="en-US"/>
        </w:rPr>
        <w:t xml:space="preserve">Diamond, L. (1999). </w:t>
      </w:r>
      <w:r>
        <w:rPr>
          <w:rFonts w:cs="Times New Roman"/>
          <w:i/>
          <w:iCs/>
          <w:sz w:val="22"/>
          <w:lang w:val="en-US"/>
        </w:rPr>
        <w:t xml:space="preserve">Developing democracy. </w:t>
      </w:r>
      <w:r>
        <w:rPr>
          <w:rFonts w:cs="Times New Roman"/>
          <w:sz w:val="22"/>
          <w:lang w:val="en-US"/>
        </w:rPr>
        <w:t>Baltimore: John Hopkins University Press</w:t>
      </w:r>
    </w:p>
    <w:p>
      <w:pPr>
        <w:pStyle w:val="Normal"/>
        <w:spacing w:lineRule="auto" w:line="240"/>
        <w:ind w:left="709" w:right="0" w:hanging="709"/>
        <w:rPr/>
      </w:pPr>
      <w:r>
        <w:rPr>
          <w:rFonts w:cs="Times New Roman"/>
          <w:color w:val="000000"/>
          <w:sz w:val="22"/>
          <w:shd w:fill="FFFFFF" w:val="clear"/>
          <w:lang w:val="en-US"/>
        </w:rPr>
        <w:t>Dyrstad, K., Bakke, K. M., &amp; Binningsbø, H. M. (2021). Perceptions of Peace Agreements and Political Trust in Post-War Guatemala, Nepal, and Northern Ireland. </w:t>
      </w:r>
      <w:r>
        <w:rPr>
          <w:rFonts w:cs="Times New Roman"/>
          <w:i/>
          <w:iCs/>
          <w:color w:val="000000"/>
          <w:sz w:val="22"/>
          <w:shd w:fill="FFFFFF" w:val="clear"/>
          <w:lang w:val="en-US"/>
        </w:rPr>
        <w:t>International Peacekeeping</w:t>
      </w:r>
      <w:r>
        <w:rPr>
          <w:rFonts w:cs="Times New Roman"/>
          <w:color w:val="000000"/>
          <w:sz w:val="22"/>
          <w:shd w:fill="FFFFFF" w:val="clear"/>
          <w:lang w:val="en-US"/>
        </w:rPr>
        <w:t>, 1-26.</w:t>
      </w:r>
    </w:p>
    <w:p>
      <w:pPr>
        <w:pStyle w:val="Normal"/>
        <w:spacing w:lineRule="auto" w:line="240"/>
        <w:ind w:left="709" w:right="0" w:hanging="709"/>
        <w:rPr/>
      </w:pPr>
      <w:r>
        <w:rPr>
          <w:rFonts w:cs="Times New Roman"/>
          <w:sz w:val="22"/>
          <w:lang w:val="en-US"/>
        </w:rPr>
        <w:t xml:space="preserve">Dyrstad, K. &amp; Binningsbø, H. M. (working paper). Power sharing and institutional confidence: The case of Bosnia-Herzegovina. </w:t>
      </w:r>
      <w:r>
        <w:rPr>
          <w:rFonts w:cs="Times New Roman"/>
          <w:i/>
          <w:iCs/>
          <w:sz w:val="22"/>
          <w:lang w:val="en-US"/>
        </w:rPr>
        <w:t>Paper prepared for the 53rd International Studies Association Annual Convention, San Diego, 1-4 April 2012</w:t>
      </w:r>
    </w:p>
    <w:p>
      <w:pPr>
        <w:pStyle w:val="Normal"/>
        <w:spacing w:lineRule="auto" w:line="240"/>
        <w:ind w:left="709" w:right="0" w:hanging="709"/>
        <w:rPr/>
      </w:pPr>
      <w:r>
        <w:rPr>
          <w:rFonts w:cs="Times New Roman"/>
          <w:sz w:val="22"/>
          <w:lang w:val="nn-NO"/>
        </w:rPr>
        <w:t xml:space="preserve">Dyrstad, K. &amp; Binningsbø, H. M. (2012). </w:t>
      </w:r>
      <w:r>
        <w:rPr>
          <w:rFonts w:cs="Times New Roman"/>
          <w:sz w:val="22"/>
          <w:lang w:val="en-US"/>
        </w:rPr>
        <w:t xml:space="preserve">Power sharing and institutional confidence: The case of Bosnia-Herzegovina. In </w:t>
      </w:r>
      <w:r>
        <w:rPr>
          <w:rFonts w:cs="Times New Roman"/>
          <w:i/>
          <w:iCs/>
          <w:sz w:val="22"/>
          <w:lang w:val="en-US"/>
        </w:rPr>
        <w:t xml:space="preserve">Paper presented at the 53rd International Studies Association Annual Convention, San Diego, 1-4. </w:t>
      </w:r>
      <w:r>
        <w:rPr>
          <w:rFonts w:cs="Times New Roman"/>
          <w:i/>
          <w:iCs/>
          <w:sz w:val="22"/>
          <w:lang w:val="nn-NO"/>
        </w:rPr>
        <w:t>April</w:t>
      </w:r>
      <w:r>
        <w:rPr>
          <w:rFonts w:cs="Times New Roman"/>
          <w:sz w:val="22"/>
          <w:lang w:val="nn-NO"/>
        </w:rPr>
        <w:t>.</w:t>
      </w:r>
    </w:p>
    <w:p>
      <w:pPr>
        <w:pStyle w:val="Normal"/>
        <w:spacing w:lineRule="auto" w:line="240"/>
        <w:ind w:left="709" w:right="0" w:hanging="709"/>
        <w:rPr/>
      </w:pPr>
      <w:r>
        <w:rPr>
          <w:sz w:val="22"/>
          <w:szCs w:val="20"/>
          <w:shd w:fill="FFFFFF" w:val="clear"/>
          <w:lang w:val="nn-NO"/>
        </w:rPr>
        <w:t xml:space="preserve">Dyrstad, K., Buhaug, H., Ringdal, K., Simkus, A., &amp; Listhaug, O. (2011). </w:t>
      </w:r>
      <w:r>
        <w:rPr>
          <w:sz w:val="22"/>
          <w:szCs w:val="20"/>
          <w:shd w:fill="FFFFFF" w:val="clear"/>
          <w:lang w:val="en-US"/>
        </w:rPr>
        <w:t>Microfoundations of civil conflict reconciliation: Ethnicity and context. </w:t>
      </w:r>
      <w:r>
        <w:rPr>
          <w:i/>
          <w:iCs/>
          <w:sz w:val="22"/>
          <w:szCs w:val="20"/>
          <w:shd w:fill="FFFFFF" w:val="clear"/>
          <w:lang w:val="en-US"/>
        </w:rPr>
        <w:t>International Interactions</w:t>
      </w:r>
      <w:r>
        <w:rPr>
          <w:sz w:val="22"/>
          <w:szCs w:val="20"/>
          <w:shd w:fill="FFFFFF" w:val="clear"/>
          <w:lang w:val="en-US"/>
        </w:rPr>
        <w:t>, </w:t>
      </w:r>
      <w:r>
        <w:rPr>
          <w:i/>
          <w:iCs/>
          <w:sz w:val="22"/>
          <w:szCs w:val="20"/>
          <w:shd w:fill="FFFFFF" w:val="clear"/>
          <w:lang w:val="en-US"/>
        </w:rPr>
        <w:t>37</w:t>
      </w:r>
      <w:r>
        <w:rPr>
          <w:sz w:val="22"/>
          <w:szCs w:val="20"/>
          <w:shd w:fill="FFFFFF" w:val="clear"/>
          <w:lang w:val="en-US"/>
        </w:rPr>
        <w:t>(4), 363-387.</w:t>
      </w:r>
    </w:p>
    <w:p>
      <w:pPr>
        <w:pStyle w:val="Normal"/>
        <w:spacing w:lineRule="auto" w:line="240" w:before="0" w:after="0"/>
        <w:ind w:left="709" w:right="0" w:hanging="709"/>
        <w:rPr/>
      </w:pPr>
      <w:r>
        <w:rPr>
          <w:rFonts w:cs="Times New Roman"/>
          <w:sz w:val="22"/>
          <w:lang w:val="en-US"/>
        </w:rPr>
        <w:t xml:space="preserve">Easton, D. (1975). A re-assessment of the concept of political support: </w:t>
      </w:r>
      <w:r>
        <w:rPr>
          <w:rFonts w:cs="Times New Roman"/>
          <w:i/>
          <w:iCs/>
          <w:sz w:val="22"/>
          <w:lang w:val="en-US"/>
        </w:rPr>
        <w:t>British Journal of</w:t>
      </w:r>
    </w:p>
    <w:p>
      <w:pPr>
        <w:pStyle w:val="Normal"/>
        <w:spacing w:lineRule="auto" w:line="240"/>
        <w:ind w:left="709" w:right="0" w:hanging="709"/>
        <w:rPr/>
      </w:pPr>
      <w:r>
        <w:rPr>
          <w:rFonts w:cs="Times New Roman"/>
          <w:i/>
          <w:iCs/>
          <w:sz w:val="22"/>
          <w:lang w:val="en-US"/>
        </w:rPr>
        <w:t>Political Science, 5</w:t>
      </w:r>
      <w:r>
        <w:rPr>
          <w:rFonts w:cs="Times New Roman"/>
          <w:sz w:val="22"/>
          <w:lang w:val="en-US"/>
        </w:rPr>
        <w:t>(4), s. 435-457</w:t>
      </w:r>
    </w:p>
    <w:p>
      <w:pPr>
        <w:pStyle w:val="Normal"/>
        <w:spacing w:lineRule="auto" w:line="240" w:before="0" w:after="0"/>
        <w:ind w:left="709" w:right="0" w:hanging="709"/>
        <w:rPr>
          <w:rFonts w:cs="Times New Roman"/>
          <w:sz w:val="22"/>
          <w:lang w:val="en-US"/>
        </w:rPr>
      </w:pPr>
      <w:r>
        <w:rPr>
          <w:rFonts w:cs="Times New Roman"/>
          <w:sz w:val="22"/>
          <w:lang w:val="en-US"/>
        </w:rPr>
        <w:t>Ekeh, P. (1990). Social anthropology and two contrasting uses of tribalism in Africa:</w:t>
      </w:r>
    </w:p>
    <w:p>
      <w:pPr>
        <w:pStyle w:val="Normal"/>
        <w:spacing w:lineRule="auto" w:line="240"/>
        <w:ind w:left="709" w:right="0" w:hanging="709"/>
        <w:rPr/>
      </w:pPr>
      <w:r>
        <w:rPr>
          <w:rFonts w:cs="Times New Roman"/>
          <w:i/>
          <w:iCs/>
          <w:sz w:val="22"/>
          <w:lang w:val="en-US"/>
        </w:rPr>
        <w:t>Comparative Studies in Society and History, 32</w:t>
      </w:r>
      <w:r>
        <w:rPr>
          <w:rFonts w:cs="Times New Roman"/>
          <w:sz w:val="22"/>
          <w:lang w:val="en-US"/>
        </w:rPr>
        <w:t>(4), s. 660-700</w:t>
      </w:r>
    </w:p>
    <w:p>
      <w:pPr>
        <w:pStyle w:val="Normal"/>
        <w:spacing w:lineRule="auto" w:line="240"/>
        <w:ind w:left="709" w:right="0" w:hanging="709"/>
        <w:rPr/>
      </w:pPr>
      <w:r>
        <w:rPr>
          <w:rFonts w:cs="Times New Roman"/>
          <w:sz w:val="22"/>
          <w:szCs w:val="20"/>
          <w:lang w:val="en-US"/>
        </w:rPr>
        <w:t xml:space="preserve">Elasy, T. A. &amp; Gaddy, G. (1998). Measuring Subjective Outcomes. </w:t>
      </w:r>
      <w:r>
        <w:rPr>
          <w:rFonts w:cs="Times New Roman"/>
          <w:i/>
          <w:iCs/>
          <w:sz w:val="22"/>
          <w:szCs w:val="20"/>
          <w:lang w:val="en-US"/>
        </w:rPr>
        <w:t>Journal of General Internal Medicine, 13</w:t>
      </w:r>
      <w:r>
        <w:rPr>
          <w:rFonts w:cs="Times New Roman"/>
          <w:sz w:val="22"/>
          <w:szCs w:val="20"/>
          <w:lang w:val="en-US"/>
        </w:rPr>
        <w:t xml:space="preserve">(1), 757-761. Hentet fra: </w:t>
      </w:r>
      <w:hyperlink r:id="rId9">
        <w:r>
          <w:rPr>
            <w:rStyle w:val="InternetLink"/>
            <w:rFonts w:cs="Times New Roman"/>
            <w:sz w:val="22"/>
            <w:szCs w:val="20"/>
            <w:lang w:val="en-US"/>
          </w:rPr>
          <w:t>http://doi.org/10.1046/j.1525-1497.1998.00228.x</w:t>
        </w:r>
      </w:hyperlink>
    </w:p>
    <w:p>
      <w:pPr>
        <w:pStyle w:val="Normal"/>
        <w:spacing w:lineRule="auto" w:line="240"/>
        <w:ind w:left="709" w:right="0" w:hanging="709"/>
        <w:rPr/>
      </w:pPr>
      <w:r>
        <w:rPr>
          <w:rFonts w:cs="Times New Roman"/>
          <w:sz w:val="22"/>
          <w:lang w:val="en-US"/>
        </w:rPr>
        <w:t xml:space="preserve">Englebert, P. (2000). </w:t>
      </w:r>
      <w:r>
        <w:rPr>
          <w:rFonts w:cs="Times New Roman"/>
          <w:i/>
          <w:iCs/>
          <w:sz w:val="22"/>
          <w:lang w:val="en-US"/>
        </w:rPr>
        <w:t>State Legitimacy and Development in Africa.</w:t>
      </w:r>
      <w:r>
        <w:rPr>
          <w:rFonts w:cs="Times New Roman"/>
          <w:sz w:val="22"/>
          <w:lang w:val="en-US"/>
        </w:rPr>
        <w:t xml:space="preserve"> London: Lynne Rienner.</w:t>
      </w:r>
    </w:p>
    <w:p>
      <w:pPr>
        <w:pStyle w:val="Normal"/>
        <w:spacing w:lineRule="auto" w:line="240"/>
        <w:ind w:left="709" w:right="0" w:hanging="709"/>
        <w:rPr/>
      </w:pPr>
      <w:r>
        <w:rPr>
          <w:rFonts w:cs="Times New Roman"/>
          <w:color w:val="000000"/>
          <w:sz w:val="22"/>
          <w:shd w:fill="FFFFFF" w:val="clear"/>
          <w:lang w:val="en-US"/>
        </w:rPr>
        <w:t>Enloe, C. (1989). </w:t>
      </w:r>
      <w:r>
        <w:rPr>
          <w:rFonts w:cs="Times New Roman"/>
          <w:i/>
          <w:iCs/>
          <w:color w:val="000000"/>
          <w:sz w:val="22"/>
          <w:shd w:fill="FFFFFF" w:val="clear"/>
          <w:lang w:val="en-US"/>
        </w:rPr>
        <w:t>Bananas, beaches and bases: Making feminist sense of international politics</w:t>
      </w:r>
      <w:r>
        <w:rPr>
          <w:rFonts w:cs="Times New Roman"/>
          <w:color w:val="000000"/>
          <w:sz w:val="22"/>
          <w:shd w:fill="FFFFFF" w:val="clear"/>
          <w:lang w:val="en-US"/>
        </w:rPr>
        <w:t>. Univ of California Press.</w:t>
      </w:r>
    </w:p>
    <w:p>
      <w:pPr>
        <w:pStyle w:val="Normal"/>
        <w:spacing w:lineRule="auto" w:line="240"/>
        <w:ind w:left="709" w:right="0" w:hanging="709"/>
        <w:rPr/>
      </w:pPr>
      <w:r>
        <w:rPr>
          <w:rFonts w:cs="Times New Roman"/>
          <w:color w:val="000000"/>
          <w:sz w:val="22"/>
          <w:shd w:fill="FFFFFF" w:val="clear"/>
          <w:lang w:val="en-US"/>
        </w:rPr>
        <w:t>Enloe, C. (2005). What if patriarchy is “the big picture”? An afterword. </w:t>
      </w:r>
      <w:r>
        <w:rPr>
          <w:rFonts w:cs="Times New Roman"/>
          <w:i/>
          <w:iCs/>
          <w:color w:val="000000"/>
          <w:sz w:val="22"/>
          <w:shd w:fill="FFFFFF" w:val="clear"/>
          <w:lang w:val="en-US"/>
        </w:rPr>
        <w:t>Gender, conflict, and peacekeeping</w:t>
      </w:r>
      <w:r>
        <w:rPr>
          <w:rFonts w:cs="Times New Roman"/>
          <w:color w:val="000000"/>
          <w:sz w:val="22"/>
          <w:shd w:fill="FFFFFF" w:val="clear"/>
          <w:lang w:val="en-US"/>
        </w:rPr>
        <w:t>, 280-283.</w:t>
      </w:r>
    </w:p>
    <w:p>
      <w:pPr>
        <w:pStyle w:val="Normal"/>
        <w:spacing w:lineRule="auto" w:line="240"/>
        <w:ind w:left="709" w:right="0" w:hanging="709"/>
        <w:rPr/>
      </w:pPr>
      <w:r>
        <w:rPr>
          <w:rFonts w:cs="Times New Roman"/>
          <w:sz w:val="22"/>
          <w:shd w:fill="FFFFFF" w:val="clear"/>
          <w:lang w:val="en-US"/>
        </w:rPr>
        <w:t>Fisk, K. &amp; Cherney, A. (2017). Pathways to institutional legitimacy in postconflict societies: perceptions of process and performance in Nepal. </w:t>
      </w:r>
      <w:r>
        <w:rPr>
          <w:rFonts w:cs="Times New Roman"/>
          <w:i/>
          <w:iCs/>
          <w:sz w:val="22"/>
          <w:shd w:fill="FFFFFF" w:val="clear"/>
          <w:lang w:val="en-US"/>
        </w:rPr>
        <w:t>Governance</w:t>
      </w:r>
      <w:r>
        <w:rPr>
          <w:rFonts w:cs="Times New Roman"/>
          <w:sz w:val="22"/>
          <w:shd w:fill="FFFFFF" w:val="clear"/>
          <w:lang w:val="en-US"/>
        </w:rPr>
        <w:t>, </w:t>
      </w:r>
      <w:r>
        <w:rPr>
          <w:rFonts w:cs="Times New Roman"/>
          <w:i/>
          <w:iCs/>
          <w:sz w:val="22"/>
          <w:shd w:fill="FFFFFF" w:val="clear"/>
          <w:lang w:val="en-US"/>
        </w:rPr>
        <w:t>30</w:t>
      </w:r>
      <w:r>
        <w:rPr>
          <w:rFonts w:cs="Times New Roman"/>
          <w:sz w:val="22"/>
          <w:shd w:fill="FFFFFF" w:val="clear"/>
          <w:lang w:val="en-US"/>
        </w:rPr>
        <w:t>(2), 263-281.</w:t>
      </w:r>
    </w:p>
    <w:p>
      <w:pPr>
        <w:pStyle w:val="Normal"/>
        <w:spacing w:lineRule="auto" w:line="240"/>
        <w:ind w:left="709" w:right="0" w:hanging="709"/>
        <w:rPr/>
      </w:pPr>
      <w:r>
        <w:rPr>
          <w:rFonts w:cs="Times New Roman"/>
          <w:sz w:val="22"/>
          <w:shd w:fill="FFFFFF" w:val="clear"/>
          <w:lang w:val="en-US"/>
        </w:rPr>
        <w:t>Ford, M. E. &amp; Kelly, P. A. (2005). Conceptualizing and categorizing race and ethnicity in health services research. </w:t>
      </w:r>
      <w:r>
        <w:rPr>
          <w:rFonts w:cs="Times New Roman"/>
          <w:i/>
          <w:iCs/>
          <w:sz w:val="22"/>
          <w:shd w:fill="FFFFFF" w:val="clear"/>
          <w:lang w:val="en-US"/>
        </w:rPr>
        <w:t>Health services research</w:t>
      </w:r>
      <w:r>
        <w:rPr>
          <w:rFonts w:cs="Times New Roman"/>
          <w:sz w:val="22"/>
          <w:shd w:fill="FFFFFF" w:val="clear"/>
          <w:lang w:val="en-US"/>
        </w:rPr>
        <w:t>, </w:t>
      </w:r>
      <w:r>
        <w:rPr>
          <w:rFonts w:cs="Times New Roman"/>
          <w:i/>
          <w:iCs/>
          <w:sz w:val="22"/>
          <w:shd w:fill="FFFFFF" w:val="clear"/>
          <w:lang w:val="en-US"/>
        </w:rPr>
        <w:t>40</w:t>
      </w:r>
      <w:r>
        <w:rPr>
          <w:rFonts w:cs="Times New Roman"/>
          <w:sz w:val="22"/>
          <w:shd w:fill="FFFFFF" w:val="clear"/>
          <w:lang w:val="en-US"/>
        </w:rPr>
        <w:t>(5p2), 1658-1675.</w:t>
      </w:r>
    </w:p>
    <w:p>
      <w:pPr>
        <w:pStyle w:val="Normal"/>
        <w:spacing w:lineRule="auto" w:line="240"/>
        <w:ind w:left="709" w:right="0" w:hanging="709"/>
        <w:rPr/>
      </w:pPr>
      <w:r>
        <w:rPr>
          <w:sz w:val="22"/>
          <w:szCs w:val="20"/>
          <w:shd w:fill="FFFFFF" w:val="clear"/>
          <w:lang w:val="en-US"/>
        </w:rPr>
        <w:t>Franck, R. &amp; Rainer, I. (2012). Does the leader's ethnicity matter? Ethnic favoritism, education, and health in sub-Saharan Africa. </w:t>
      </w:r>
      <w:r>
        <w:rPr>
          <w:i/>
          <w:iCs/>
          <w:sz w:val="22"/>
          <w:szCs w:val="20"/>
          <w:shd w:fill="FFFFFF" w:val="clear"/>
          <w:lang w:val="en-US"/>
        </w:rPr>
        <w:t>American Political Science Review, 106</w:t>
      </w:r>
      <w:r>
        <w:rPr>
          <w:sz w:val="22"/>
          <w:szCs w:val="20"/>
          <w:shd w:fill="FFFFFF" w:val="clear"/>
          <w:lang w:val="en-US"/>
        </w:rPr>
        <w:t>(2), 294-325.</w:t>
      </w:r>
    </w:p>
    <w:p>
      <w:pPr>
        <w:pStyle w:val="Normal"/>
        <w:spacing w:lineRule="auto" w:line="240"/>
        <w:ind w:left="709" w:right="0" w:hanging="709"/>
        <w:rPr/>
      </w:pPr>
      <w:r>
        <w:rPr>
          <w:rFonts w:cs="Times New Roman"/>
          <w:color w:val="000000"/>
          <w:sz w:val="22"/>
          <w:shd w:fill="FFFFFF" w:val="clear"/>
          <w:lang w:val="en-US"/>
        </w:rPr>
        <w:t>Galtung, J. (1990). Cultural violence. </w:t>
      </w:r>
      <w:r>
        <w:rPr>
          <w:rFonts w:cs="Times New Roman"/>
          <w:i/>
          <w:iCs/>
          <w:color w:val="000000"/>
          <w:sz w:val="22"/>
          <w:shd w:fill="FFFFFF" w:val="clear"/>
          <w:lang w:val="en-US"/>
        </w:rPr>
        <w:t>Journal of peace research</w:t>
      </w:r>
      <w:r>
        <w:rPr>
          <w:rFonts w:cs="Times New Roman"/>
          <w:color w:val="000000"/>
          <w:sz w:val="22"/>
          <w:shd w:fill="FFFFFF" w:val="clear"/>
          <w:lang w:val="en-US"/>
        </w:rPr>
        <w:t>, </w:t>
      </w:r>
      <w:r>
        <w:rPr>
          <w:rFonts w:cs="Times New Roman"/>
          <w:i/>
          <w:iCs/>
          <w:color w:val="000000"/>
          <w:sz w:val="22"/>
          <w:shd w:fill="FFFFFF" w:val="clear"/>
          <w:lang w:val="en-US"/>
        </w:rPr>
        <w:t>27</w:t>
      </w:r>
      <w:r>
        <w:rPr>
          <w:rFonts w:cs="Times New Roman"/>
          <w:color w:val="000000"/>
          <w:sz w:val="22"/>
          <w:shd w:fill="FFFFFF" w:val="clear"/>
          <w:lang w:val="en-US"/>
        </w:rPr>
        <w:t>(3), 291-305.</w:t>
      </w:r>
    </w:p>
    <w:p>
      <w:pPr>
        <w:pStyle w:val="Normal"/>
        <w:spacing w:lineRule="auto" w:line="240"/>
        <w:ind w:left="709" w:right="0" w:hanging="709"/>
        <w:rPr/>
      </w:pPr>
      <w:r>
        <w:rPr>
          <w:rStyle w:val="Hlfldcontribauthor"/>
          <w:rFonts w:cs="Times New Roman"/>
          <w:sz w:val="22"/>
          <w:lang w:val="en-US"/>
        </w:rPr>
        <w:t>Gamson, </w:t>
      </w:r>
      <w:r>
        <w:rPr>
          <w:rStyle w:val="Nlmgivennames"/>
          <w:rFonts w:cs="Times New Roman"/>
          <w:sz w:val="22"/>
          <w:lang w:val="en-US"/>
        </w:rPr>
        <w:t>W. A.</w:t>
      </w:r>
      <w:r>
        <w:rPr>
          <w:rFonts w:cs="Times New Roman"/>
          <w:sz w:val="22"/>
          <w:lang w:val="en-US"/>
        </w:rPr>
        <w:t> (</w:t>
      </w:r>
      <w:r>
        <w:rPr>
          <w:rStyle w:val="Nlmyear"/>
          <w:rFonts w:cs="Times New Roman"/>
          <w:sz w:val="22"/>
          <w:lang w:val="en-US"/>
        </w:rPr>
        <w:t>1968)</w:t>
      </w:r>
      <w:r>
        <w:rPr>
          <w:rFonts w:cs="Times New Roman"/>
          <w:sz w:val="22"/>
          <w:lang w:val="en-US"/>
        </w:rPr>
        <w:t>. </w:t>
      </w:r>
      <w:r>
        <w:rPr>
          <w:rFonts w:cs="Times New Roman"/>
          <w:i/>
          <w:iCs/>
          <w:sz w:val="22"/>
          <w:lang w:val="en-US"/>
        </w:rPr>
        <w:t>Power and Discontent</w:t>
      </w:r>
      <w:r>
        <w:rPr>
          <w:rFonts w:cs="Times New Roman"/>
          <w:sz w:val="22"/>
          <w:lang w:val="en-US"/>
        </w:rPr>
        <w:t>, </w:t>
      </w:r>
      <w:r>
        <w:rPr>
          <w:rStyle w:val="Nlmpublisherloc"/>
          <w:rFonts w:cs="Times New Roman"/>
          <w:sz w:val="22"/>
          <w:lang w:val="en-US"/>
        </w:rPr>
        <w:t>Homewood</w:t>
      </w:r>
      <w:r>
        <w:rPr>
          <w:rFonts w:cs="Times New Roman"/>
          <w:sz w:val="22"/>
          <w:lang w:val="en-US"/>
        </w:rPr>
        <w:t>: </w:t>
      </w:r>
      <w:r>
        <w:rPr>
          <w:rStyle w:val="Nlmpublishername"/>
          <w:rFonts w:cs="Times New Roman"/>
          <w:sz w:val="22"/>
          <w:lang w:val="en-US"/>
        </w:rPr>
        <w:t>Dorsey Press</w:t>
      </w:r>
      <w:r>
        <w:rPr>
          <w:rFonts w:cs="Times New Roman"/>
          <w:sz w:val="22"/>
          <w:lang w:val="en-US"/>
        </w:rPr>
        <w:t>. </w:t>
      </w:r>
    </w:p>
    <w:p>
      <w:pPr>
        <w:pStyle w:val="Normal"/>
        <w:spacing w:lineRule="auto" w:line="240"/>
        <w:ind w:left="709" w:right="0" w:hanging="709"/>
        <w:rPr/>
      </w:pPr>
      <w:r>
        <w:rPr>
          <w:rFonts w:cs="Times New Roman"/>
          <w:color w:val="000000"/>
          <w:sz w:val="22"/>
          <w:shd w:fill="FFFFFF" w:val="clear"/>
        </w:rPr>
        <w:t xml:space="preserve">Geddes, B., &amp; Neto, A. R. (1992). </w:t>
      </w:r>
      <w:r>
        <w:rPr>
          <w:rFonts w:cs="Times New Roman"/>
          <w:color w:val="000000"/>
          <w:sz w:val="22"/>
          <w:shd w:fill="FFFFFF" w:val="clear"/>
          <w:lang w:val="en-US"/>
        </w:rPr>
        <w:t>Institutional sources of corruption in Brazil. </w:t>
      </w:r>
      <w:r>
        <w:rPr>
          <w:rFonts w:cs="Times New Roman"/>
          <w:i/>
          <w:iCs/>
          <w:color w:val="000000"/>
          <w:sz w:val="22"/>
          <w:shd w:fill="FFFFFF" w:val="clear"/>
          <w:lang w:val="en-US"/>
        </w:rPr>
        <w:t>Third World Quarterly</w:t>
      </w:r>
      <w:r>
        <w:rPr>
          <w:rFonts w:cs="Times New Roman"/>
          <w:color w:val="000000"/>
          <w:sz w:val="22"/>
          <w:shd w:fill="FFFFFF" w:val="clear"/>
          <w:lang w:val="en-US"/>
        </w:rPr>
        <w:t>, </w:t>
      </w:r>
      <w:r>
        <w:rPr>
          <w:rFonts w:cs="Times New Roman"/>
          <w:i/>
          <w:iCs/>
          <w:color w:val="000000"/>
          <w:sz w:val="22"/>
          <w:shd w:fill="FFFFFF" w:val="clear"/>
          <w:lang w:val="en-US"/>
        </w:rPr>
        <w:t>13</w:t>
      </w:r>
      <w:r>
        <w:rPr>
          <w:rFonts w:cs="Times New Roman"/>
          <w:color w:val="000000"/>
          <w:sz w:val="22"/>
          <w:shd w:fill="FFFFFF" w:val="clear"/>
          <w:lang w:val="en-US"/>
        </w:rPr>
        <w:t>(4), 641-661.</w:t>
      </w:r>
    </w:p>
    <w:p>
      <w:pPr>
        <w:pStyle w:val="Normal"/>
        <w:spacing w:lineRule="auto" w:line="240"/>
        <w:ind w:left="709" w:right="0" w:hanging="709"/>
        <w:rPr/>
      </w:pPr>
      <w:r>
        <w:rPr>
          <w:rFonts w:cs="Times New Roman"/>
          <w:color w:val="000000"/>
          <w:sz w:val="22"/>
          <w:shd w:fill="FFFFFF" w:val="clear"/>
          <w:lang w:val="en-US"/>
        </w:rPr>
        <w:t>Gizelis, T. I. (2018). Systematic study of gender, conflict, and peace. </w:t>
      </w:r>
      <w:r>
        <w:rPr>
          <w:rFonts w:cs="Times New Roman"/>
          <w:i/>
          <w:iCs/>
          <w:color w:val="000000"/>
          <w:sz w:val="22"/>
          <w:shd w:fill="FFFFFF" w:val="clear"/>
          <w:lang w:val="en-US"/>
        </w:rPr>
        <w:t>Peace Economics, Peace Science and Public Policy</w:t>
      </w:r>
      <w:r>
        <w:rPr>
          <w:rFonts w:cs="Times New Roman"/>
          <w:color w:val="000000"/>
          <w:sz w:val="22"/>
          <w:shd w:fill="FFFFFF" w:val="clear"/>
          <w:lang w:val="en-US"/>
        </w:rPr>
        <w:t>, </w:t>
      </w:r>
      <w:r>
        <w:rPr>
          <w:rFonts w:cs="Times New Roman"/>
          <w:i/>
          <w:iCs/>
          <w:color w:val="000000"/>
          <w:sz w:val="22"/>
          <w:shd w:fill="FFFFFF" w:val="clear"/>
          <w:lang w:val="en-US"/>
        </w:rPr>
        <w:t>24</w:t>
      </w:r>
      <w:r>
        <w:rPr>
          <w:rFonts w:cs="Times New Roman"/>
          <w:color w:val="000000"/>
          <w:sz w:val="22"/>
          <w:shd w:fill="FFFFFF" w:val="clear"/>
          <w:lang w:val="en-US"/>
        </w:rPr>
        <w:t>(4).</w:t>
      </w:r>
    </w:p>
    <w:p>
      <w:pPr>
        <w:pStyle w:val="Normal"/>
        <w:spacing w:lineRule="auto" w:line="240"/>
        <w:ind w:left="709" w:right="0" w:hanging="709"/>
        <w:rPr/>
      </w:pPr>
      <w:r>
        <w:rPr>
          <w:sz w:val="22"/>
          <w:szCs w:val="20"/>
          <w:shd w:fill="FFFFFF" w:val="clear"/>
          <w:lang w:val="en-US"/>
        </w:rPr>
        <w:t>Glaser, C. L. (1992). Political consequences of military strategy: Expanding and refining the spiral and deterrence models. </w:t>
      </w:r>
      <w:r>
        <w:rPr>
          <w:i/>
          <w:iCs/>
          <w:sz w:val="22"/>
          <w:szCs w:val="20"/>
          <w:shd w:fill="FFFFFF" w:val="clear"/>
          <w:lang w:val="en-US"/>
        </w:rPr>
        <w:t>World Politics: A Quarterly Journal of International Relations</w:t>
      </w:r>
      <w:r>
        <w:rPr>
          <w:sz w:val="22"/>
          <w:szCs w:val="20"/>
          <w:shd w:fill="FFFFFF" w:val="clear"/>
          <w:lang w:val="en-US"/>
        </w:rPr>
        <w:t>, 497-538.</w:t>
      </w:r>
    </w:p>
    <w:p>
      <w:pPr>
        <w:pStyle w:val="Normal"/>
        <w:spacing w:lineRule="auto" w:line="240"/>
        <w:ind w:left="709" w:right="0" w:hanging="709"/>
        <w:rPr/>
      </w:pPr>
      <w:r>
        <w:rPr>
          <w:rFonts w:cs="Times New Roman"/>
          <w:color w:val="000000"/>
          <w:sz w:val="22"/>
          <w:shd w:fill="FFFFFF" w:val="clear"/>
          <w:lang w:val="en-US"/>
        </w:rPr>
        <w:t>Glassmyer, K. &amp; Sambanis, N. (2008). Rebel—military integration and civil war termination. </w:t>
      </w:r>
      <w:r>
        <w:rPr>
          <w:rFonts w:cs="Times New Roman"/>
          <w:i/>
          <w:iCs/>
          <w:color w:val="000000"/>
          <w:sz w:val="22"/>
          <w:shd w:fill="FFFFFF" w:val="clear"/>
          <w:lang w:val="en-US"/>
        </w:rPr>
        <w:t>Journal of Peace Research</w:t>
      </w:r>
      <w:r>
        <w:rPr>
          <w:rFonts w:cs="Times New Roman"/>
          <w:color w:val="000000"/>
          <w:sz w:val="22"/>
          <w:shd w:fill="FFFFFF" w:val="clear"/>
          <w:lang w:val="en-US"/>
        </w:rPr>
        <w:t>, </w:t>
      </w:r>
      <w:r>
        <w:rPr>
          <w:rFonts w:cs="Times New Roman"/>
          <w:i/>
          <w:iCs/>
          <w:color w:val="000000"/>
          <w:sz w:val="22"/>
          <w:shd w:fill="FFFFFF" w:val="clear"/>
          <w:lang w:val="en-US"/>
        </w:rPr>
        <w:t>45</w:t>
      </w:r>
      <w:r>
        <w:rPr>
          <w:rFonts w:cs="Times New Roman"/>
          <w:color w:val="000000"/>
          <w:sz w:val="22"/>
          <w:shd w:fill="FFFFFF" w:val="clear"/>
          <w:lang w:val="en-US"/>
        </w:rPr>
        <w:t>(3), 365-384.</w:t>
      </w:r>
    </w:p>
    <w:p>
      <w:pPr>
        <w:pStyle w:val="Normal"/>
        <w:spacing w:lineRule="auto" w:line="240"/>
        <w:ind w:left="709" w:right="0" w:hanging="709"/>
        <w:rPr/>
      </w:pPr>
      <w:r>
        <w:rPr>
          <w:sz w:val="22"/>
          <w:szCs w:val="20"/>
          <w:shd w:fill="FFFFFF" w:val="clear"/>
          <w:lang w:val="en-US"/>
        </w:rPr>
        <w:t>Glick, P. &amp; Sahn, D. E. (1997). Gender and education impacts on employment and earnings in West Africa: Evidence from Guinea. </w:t>
      </w:r>
      <w:r>
        <w:rPr>
          <w:i/>
          <w:iCs/>
          <w:sz w:val="22"/>
          <w:szCs w:val="20"/>
          <w:shd w:fill="FFFFFF" w:val="clear"/>
          <w:lang w:val="en-US"/>
        </w:rPr>
        <w:t>Economic Development and Cultural Change</w:t>
      </w:r>
      <w:r>
        <w:rPr>
          <w:sz w:val="22"/>
          <w:szCs w:val="20"/>
          <w:shd w:fill="FFFFFF" w:val="clear"/>
          <w:lang w:val="en-US"/>
        </w:rPr>
        <w:t>, </w:t>
      </w:r>
      <w:r>
        <w:rPr>
          <w:i/>
          <w:iCs/>
          <w:sz w:val="22"/>
          <w:szCs w:val="20"/>
          <w:shd w:fill="FFFFFF" w:val="clear"/>
          <w:lang w:val="en-US"/>
        </w:rPr>
        <w:t>45</w:t>
      </w:r>
      <w:r>
        <w:rPr>
          <w:sz w:val="22"/>
          <w:szCs w:val="20"/>
          <w:shd w:fill="FFFFFF" w:val="clear"/>
          <w:lang w:val="en-US"/>
        </w:rPr>
        <w:t>(4), 793-823.</w:t>
      </w:r>
    </w:p>
    <w:p>
      <w:pPr>
        <w:pStyle w:val="Normal"/>
        <w:spacing w:lineRule="auto" w:line="240"/>
        <w:ind w:left="709" w:right="0" w:hanging="709"/>
        <w:rPr/>
      </w:pPr>
      <w:r>
        <w:rPr>
          <w:sz w:val="22"/>
          <w:szCs w:val="20"/>
          <w:shd w:fill="FFFFFF" w:val="clear"/>
          <w:lang w:val="en-US"/>
        </w:rPr>
        <w:t>Godefroidt, A., Langer, A. &amp; Meuleman, B. (2017). Developing political trust in a developing country: The impact of institutional and cultural factors on political trust in Ghana. </w:t>
      </w:r>
      <w:r>
        <w:rPr>
          <w:i/>
          <w:iCs/>
          <w:sz w:val="22"/>
          <w:szCs w:val="20"/>
          <w:shd w:fill="FFFFFF" w:val="clear"/>
          <w:lang w:val="en-US"/>
        </w:rPr>
        <w:t>Democratization</w:t>
      </w:r>
      <w:r>
        <w:rPr>
          <w:sz w:val="22"/>
          <w:szCs w:val="20"/>
          <w:shd w:fill="FFFFFF" w:val="clear"/>
          <w:lang w:val="en-US"/>
        </w:rPr>
        <w:t>, </w:t>
      </w:r>
      <w:r>
        <w:rPr>
          <w:i/>
          <w:iCs/>
          <w:sz w:val="22"/>
          <w:szCs w:val="20"/>
          <w:shd w:fill="FFFFFF" w:val="clear"/>
          <w:lang w:val="en-US"/>
        </w:rPr>
        <w:t>24</w:t>
      </w:r>
      <w:r>
        <w:rPr>
          <w:sz w:val="22"/>
          <w:szCs w:val="20"/>
          <w:shd w:fill="FFFFFF" w:val="clear"/>
          <w:lang w:val="en-US"/>
        </w:rPr>
        <w:t>(6), 906-928.</w:t>
      </w:r>
    </w:p>
    <w:p>
      <w:pPr>
        <w:pStyle w:val="Normal"/>
        <w:spacing w:lineRule="auto" w:line="240"/>
        <w:rPr/>
      </w:pPr>
      <w:r>
        <w:rPr>
          <w:sz w:val="22"/>
          <w:szCs w:val="20"/>
          <w:shd w:fill="FFFFFF" w:val="clear"/>
          <w:lang w:val="en-US"/>
        </w:rPr>
        <w:t>Gul, N. (2007). Women in conflict zones: Case study of Nepal. </w:t>
      </w:r>
      <w:r>
        <w:rPr>
          <w:i/>
          <w:iCs/>
          <w:sz w:val="22"/>
          <w:szCs w:val="20"/>
          <w:shd w:fill="FFFFFF" w:val="clear"/>
          <w:lang w:val="en-US"/>
        </w:rPr>
        <w:t>Pakistan Horizon</w:t>
      </w:r>
      <w:r>
        <w:rPr>
          <w:sz w:val="22"/>
          <w:szCs w:val="20"/>
          <w:shd w:fill="FFFFFF" w:val="clear"/>
          <w:lang w:val="en-US"/>
        </w:rPr>
        <w:t>, </w:t>
      </w:r>
      <w:r>
        <w:rPr>
          <w:i/>
          <w:iCs/>
          <w:sz w:val="22"/>
          <w:szCs w:val="20"/>
          <w:shd w:fill="FFFFFF" w:val="clear"/>
          <w:lang w:val="en-US"/>
        </w:rPr>
        <w:t>60</w:t>
      </w:r>
      <w:r>
        <w:rPr>
          <w:sz w:val="22"/>
          <w:szCs w:val="20"/>
          <w:shd w:fill="FFFFFF" w:val="clear"/>
          <w:lang w:val="en-US"/>
        </w:rPr>
        <w:t>(4), 69-79.</w:t>
      </w:r>
    </w:p>
    <w:p>
      <w:pPr>
        <w:pStyle w:val="Normal"/>
        <w:spacing w:lineRule="auto" w:line="240"/>
        <w:ind w:left="709" w:right="0" w:hanging="709"/>
        <w:rPr/>
      </w:pPr>
      <w:r>
        <w:rPr>
          <w:sz w:val="22"/>
          <w:szCs w:val="20"/>
          <w:shd w:fill="FFFFFF" w:val="clear"/>
          <w:lang w:val="en-US"/>
        </w:rPr>
        <w:t>Haddad, L., &amp; Maluccio, J. A. (2003). Trust, membership in groups, and household welfare: Evidence from KwaZulu-Natal, South Africa. </w:t>
      </w:r>
      <w:r>
        <w:rPr>
          <w:i/>
          <w:iCs/>
          <w:sz w:val="22"/>
          <w:szCs w:val="20"/>
          <w:shd w:fill="FFFFFF" w:val="clear"/>
          <w:lang w:val="en-US"/>
        </w:rPr>
        <w:t>Economic Development and Cultural Change</w:t>
      </w:r>
      <w:r>
        <w:rPr>
          <w:sz w:val="22"/>
          <w:szCs w:val="20"/>
          <w:shd w:fill="FFFFFF" w:val="clear"/>
          <w:lang w:val="en-US"/>
        </w:rPr>
        <w:t>, </w:t>
      </w:r>
      <w:r>
        <w:rPr>
          <w:i/>
          <w:iCs/>
          <w:sz w:val="22"/>
          <w:szCs w:val="20"/>
          <w:shd w:fill="FFFFFF" w:val="clear"/>
          <w:lang w:val="en-US"/>
        </w:rPr>
        <w:t>51</w:t>
      </w:r>
      <w:r>
        <w:rPr>
          <w:sz w:val="22"/>
          <w:szCs w:val="20"/>
          <w:shd w:fill="FFFFFF" w:val="clear"/>
          <w:lang w:val="en-US"/>
        </w:rPr>
        <w:t>(3), 573-601.</w:t>
      </w:r>
    </w:p>
    <w:p>
      <w:pPr>
        <w:pStyle w:val="Normal"/>
        <w:spacing w:lineRule="auto" w:line="240"/>
        <w:ind w:left="709" w:right="0" w:hanging="709"/>
        <w:rPr/>
      </w:pPr>
      <w:r>
        <w:rPr>
          <w:sz w:val="22"/>
          <w:szCs w:val="20"/>
          <w:shd w:fill="FFFFFF" w:val="clear"/>
          <w:lang w:val="en-US"/>
        </w:rPr>
        <w:t>Hadzic, D., &amp; Tavits, M. (2020). Wartime Violence and Post-War Women's Representation. </w:t>
      </w:r>
      <w:r>
        <w:rPr>
          <w:i/>
          <w:iCs/>
          <w:sz w:val="22"/>
          <w:szCs w:val="20"/>
          <w:shd w:fill="FFFFFF" w:val="clear"/>
          <w:lang w:val="en-US"/>
        </w:rPr>
        <w:t>British Journal of Political Science</w:t>
      </w:r>
      <w:r>
        <w:rPr>
          <w:sz w:val="22"/>
          <w:szCs w:val="20"/>
          <w:shd w:fill="FFFFFF" w:val="clear"/>
          <w:lang w:val="en-US"/>
        </w:rPr>
        <w:t>, 1-16.</w:t>
      </w:r>
    </w:p>
    <w:p>
      <w:pPr>
        <w:pStyle w:val="Normal"/>
        <w:spacing w:lineRule="auto" w:line="240"/>
        <w:ind w:left="709" w:right="0" w:hanging="709"/>
        <w:rPr/>
      </w:pPr>
      <w:r>
        <w:rPr>
          <w:rFonts w:cs="Times New Roman"/>
          <w:sz w:val="22"/>
          <w:lang w:val="en-US"/>
        </w:rPr>
        <w:t xml:space="preserve">Haggard, S. &amp; Kaufman, R. R. (2016). </w:t>
      </w:r>
      <w:r>
        <w:rPr>
          <w:rFonts w:cs="Times New Roman"/>
          <w:i/>
          <w:sz w:val="22"/>
          <w:lang w:val="en-US"/>
        </w:rPr>
        <w:t>Dictators and Democrats.</w:t>
      </w:r>
      <w:r>
        <w:rPr>
          <w:rFonts w:cs="Times New Roman"/>
          <w:sz w:val="22"/>
          <w:lang w:val="en-US"/>
        </w:rPr>
        <w:t xml:space="preserve"> New Jersey: Princeton University Press.</w:t>
      </w:r>
    </w:p>
    <w:p>
      <w:pPr>
        <w:pStyle w:val="Normal"/>
        <w:spacing w:lineRule="auto" w:line="240"/>
        <w:ind w:left="709" w:right="0" w:hanging="709"/>
        <w:rPr/>
      </w:pPr>
      <w:r>
        <w:rPr>
          <w:sz w:val="22"/>
          <w:szCs w:val="20"/>
          <w:shd w:fill="FFFFFF" w:val="clear"/>
          <w:lang w:val="en-US"/>
        </w:rPr>
        <w:t>Hakura, M. D., Hussain, M. M., Newiak, M. M., Thakoor, V. &amp; Yang, M. F. (2016). </w:t>
      </w:r>
      <w:r>
        <w:rPr>
          <w:i/>
          <w:iCs/>
          <w:sz w:val="22"/>
          <w:szCs w:val="20"/>
          <w:shd w:fill="FFFFFF" w:val="clear"/>
          <w:lang w:val="en-US"/>
        </w:rPr>
        <w:t>Inequality, gender gaps and economic growth: Comparative evidence for sub-Saharan Africa</w:t>
      </w:r>
      <w:r>
        <w:rPr>
          <w:sz w:val="22"/>
          <w:szCs w:val="20"/>
          <w:shd w:fill="FFFFFF" w:val="clear"/>
          <w:lang w:val="en-US"/>
        </w:rPr>
        <w:t>. International Monetary Fund.</w:t>
      </w:r>
    </w:p>
    <w:p>
      <w:pPr>
        <w:pStyle w:val="Normal"/>
        <w:spacing w:lineRule="auto" w:line="240"/>
        <w:ind w:left="709" w:right="0" w:hanging="709"/>
        <w:rPr/>
      </w:pPr>
      <w:r>
        <w:rPr>
          <w:rFonts w:cs="Times New Roman"/>
          <w:sz w:val="22"/>
          <w:lang w:val="en-US"/>
        </w:rPr>
        <w:t xml:space="preserve">Hartzell, C. &amp; Hoddie, M. (2001). Stabilizing the peace after civil war: An investigation of some key variables. </w:t>
      </w:r>
      <w:r>
        <w:rPr>
          <w:rFonts w:cs="Times New Roman"/>
          <w:i/>
          <w:iCs/>
          <w:sz w:val="22"/>
          <w:lang w:val="en-US"/>
        </w:rPr>
        <w:t>International Organization 55</w:t>
      </w:r>
      <w:r>
        <w:rPr>
          <w:rFonts w:cs="Times New Roman"/>
          <w:sz w:val="22"/>
          <w:lang w:val="en-US"/>
        </w:rPr>
        <w:t>(1): s. 183–208.</w:t>
      </w:r>
    </w:p>
    <w:p>
      <w:pPr>
        <w:pStyle w:val="Normal"/>
        <w:spacing w:lineRule="auto" w:line="240"/>
        <w:ind w:left="709" w:right="0" w:hanging="709"/>
        <w:rPr/>
      </w:pPr>
      <w:r>
        <w:rPr>
          <w:rFonts w:cs="Times New Roman"/>
          <w:sz w:val="22"/>
          <w:lang w:val="en-US"/>
        </w:rPr>
        <w:t xml:space="preserve">Hartzell, C. &amp; Hoddie, M. (2003). Institutionalizing peace: Power sharing and post-civil war conflict management. </w:t>
      </w:r>
      <w:r>
        <w:rPr>
          <w:rFonts w:cs="Times New Roman"/>
          <w:i/>
          <w:iCs/>
          <w:sz w:val="22"/>
          <w:lang w:val="en-US"/>
        </w:rPr>
        <w:t>American Journal of Political Science 47</w:t>
      </w:r>
      <w:r>
        <w:rPr>
          <w:rFonts w:cs="Times New Roman"/>
          <w:sz w:val="22"/>
          <w:lang w:val="en-US"/>
        </w:rPr>
        <w:t>(2): s. 318–332.</w:t>
      </w:r>
    </w:p>
    <w:p>
      <w:pPr>
        <w:pStyle w:val="Normal"/>
        <w:spacing w:lineRule="auto" w:line="240"/>
        <w:ind w:left="709" w:right="0" w:hanging="709"/>
        <w:rPr>
          <w:rFonts w:cs="Times New Roman"/>
          <w:sz w:val="22"/>
          <w:lang w:val="en-US"/>
        </w:rPr>
      </w:pPr>
      <w:r>
        <w:rPr>
          <w:rFonts w:cs="Times New Roman"/>
          <w:sz w:val="22"/>
          <w:lang w:val="en-US"/>
        </w:rPr>
        <w:t>Hartzell, C. &amp; Hoddie, M (2007) Crafting Peace. Power-sharing Institutions and the Negotiated Settlement of Civil Wars. University Park, PA: Pennsylvania State University Press.</w:t>
      </w:r>
    </w:p>
    <w:p>
      <w:pPr>
        <w:pStyle w:val="Normal"/>
        <w:spacing w:lineRule="auto" w:line="240"/>
        <w:ind w:left="709" w:right="0" w:hanging="709"/>
        <w:rPr/>
      </w:pPr>
      <w:r>
        <w:rPr>
          <w:rFonts w:cs="Times New Roman"/>
          <w:color w:val="000000"/>
          <w:sz w:val="22"/>
          <w:shd w:fill="FFFFFF" w:val="clear"/>
          <w:lang w:val="en-US"/>
        </w:rPr>
        <w:t>Hauge, W. (2015). Disarmament, Demobilization and Reintegration Processes (DDR): The Gender Asset. </w:t>
      </w:r>
      <w:r>
        <w:rPr>
          <w:rFonts w:cs="Times New Roman"/>
          <w:i/>
          <w:iCs/>
          <w:color w:val="000000"/>
          <w:sz w:val="22"/>
          <w:shd w:fill="FFFFFF" w:val="clear"/>
          <w:lang w:val="en-US"/>
        </w:rPr>
        <w:t>Oslo: Peace Research Institute Oslo (PRIO)</w:t>
      </w:r>
      <w:r>
        <w:rPr>
          <w:rFonts w:cs="Times New Roman"/>
          <w:color w:val="000000"/>
          <w:sz w:val="22"/>
          <w:shd w:fill="FFFFFF" w:val="clear"/>
          <w:lang w:val="en-US"/>
        </w:rPr>
        <w:t>.</w:t>
      </w:r>
    </w:p>
    <w:p>
      <w:pPr>
        <w:pStyle w:val="Normal"/>
        <w:spacing w:lineRule="auto" w:line="240"/>
        <w:ind w:left="709" w:right="0" w:hanging="709"/>
        <w:rPr/>
      </w:pPr>
      <w:r>
        <w:rPr>
          <w:rFonts w:cs="Times New Roman"/>
          <w:color w:val="000000"/>
          <w:sz w:val="22"/>
          <w:shd w:fill="FFFFFF" w:val="clear"/>
          <w:lang w:val="en-US"/>
        </w:rPr>
        <w:t>Hauge, W. I. (2020). Gender dimensions of DDR–beyond victimization and dehumanization: tracking the thematic. </w:t>
      </w:r>
      <w:r>
        <w:rPr>
          <w:rFonts w:cs="Times New Roman"/>
          <w:i/>
          <w:iCs/>
          <w:color w:val="000000"/>
          <w:sz w:val="22"/>
          <w:shd w:fill="FFFFFF" w:val="clear"/>
          <w:lang w:val="en-US"/>
        </w:rPr>
        <w:t>International Feminist Journal of Politics</w:t>
      </w:r>
      <w:r>
        <w:rPr>
          <w:rFonts w:cs="Times New Roman"/>
          <w:color w:val="000000"/>
          <w:sz w:val="22"/>
          <w:shd w:fill="FFFFFF" w:val="clear"/>
          <w:lang w:val="en-US"/>
        </w:rPr>
        <w:t>, </w:t>
      </w:r>
      <w:r>
        <w:rPr>
          <w:rFonts w:cs="Times New Roman"/>
          <w:i/>
          <w:iCs/>
          <w:color w:val="000000"/>
          <w:sz w:val="22"/>
          <w:shd w:fill="FFFFFF" w:val="clear"/>
          <w:lang w:val="en-US"/>
        </w:rPr>
        <w:t>22</w:t>
      </w:r>
      <w:r>
        <w:rPr>
          <w:rFonts w:cs="Times New Roman"/>
          <w:color w:val="000000"/>
          <w:sz w:val="22"/>
          <w:shd w:fill="FFFFFF" w:val="clear"/>
          <w:lang w:val="en-US"/>
        </w:rPr>
        <w:t>(2), 206-226.</w:t>
      </w:r>
    </w:p>
    <w:p>
      <w:pPr>
        <w:pStyle w:val="Normal"/>
        <w:spacing w:lineRule="auto" w:line="240"/>
        <w:ind w:left="709" w:right="0" w:hanging="709"/>
        <w:rPr/>
      </w:pPr>
      <w:r>
        <w:rPr>
          <w:sz w:val="22"/>
          <w:szCs w:val="20"/>
          <w:shd w:fill="FFFFFF" w:val="clear"/>
          <w:lang w:val="en-US"/>
        </w:rPr>
        <w:t>Hayes, B. C., &amp; McAllister, I. (2013). Gender and consociational power-sharing in Northern Ireland. </w:t>
      </w:r>
      <w:r>
        <w:rPr>
          <w:i/>
          <w:iCs/>
          <w:sz w:val="22"/>
          <w:szCs w:val="20"/>
          <w:shd w:fill="FFFFFF" w:val="clear"/>
          <w:lang w:val="en-US"/>
        </w:rPr>
        <w:t>International Political Science Review</w:t>
      </w:r>
      <w:r>
        <w:rPr>
          <w:sz w:val="22"/>
          <w:szCs w:val="20"/>
          <w:shd w:fill="FFFFFF" w:val="clear"/>
          <w:lang w:val="en-US"/>
        </w:rPr>
        <w:t>, </w:t>
      </w:r>
      <w:r>
        <w:rPr>
          <w:i/>
          <w:iCs/>
          <w:sz w:val="22"/>
          <w:szCs w:val="20"/>
          <w:shd w:fill="FFFFFF" w:val="clear"/>
          <w:lang w:val="en-US"/>
        </w:rPr>
        <w:t>34</w:t>
      </w:r>
      <w:r>
        <w:rPr>
          <w:sz w:val="22"/>
          <w:szCs w:val="20"/>
          <w:shd w:fill="FFFFFF" w:val="clear"/>
          <w:lang w:val="en-US"/>
        </w:rPr>
        <w:t>(2), 123-139.</w:t>
      </w:r>
    </w:p>
    <w:p>
      <w:pPr>
        <w:pStyle w:val="Normal"/>
        <w:spacing w:lineRule="auto" w:line="240"/>
        <w:ind w:left="709" w:right="0" w:hanging="709"/>
        <w:rPr/>
      </w:pPr>
      <w:r>
        <w:rPr>
          <w:rFonts w:cs="Times New Roman"/>
          <w:sz w:val="22"/>
          <w:lang w:val="en-US"/>
        </w:rPr>
        <w:t xml:space="preserve">Hetherington, M. J. (1998). The political relevance of political trust. </w:t>
      </w:r>
      <w:r>
        <w:rPr>
          <w:rFonts w:cs="Times New Roman"/>
          <w:i/>
          <w:iCs/>
          <w:sz w:val="22"/>
          <w:lang w:val="en-US"/>
        </w:rPr>
        <w:t>American Political Science Review 92(</w:t>
      </w:r>
      <w:r>
        <w:rPr>
          <w:rFonts w:cs="Times New Roman"/>
          <w:sz w:val="22"/>
          <w:lang w:val="en-US"/>
        </w:rPr>
        <w:t>4): s. 791–808.</w:t>
      </w:r>
    </w:p>
    <w:p>
      <w:pPr>
        <w:pStyle w:val="Normal"/>
        <w:spacing w:lineRule="auto" w:line="240"/>
        <w:ind w:left="709" w:right="0" w:hanging="709"/>
        <w:rPr/>
      </w:pPr>
      <w:r>
        <w:rPr>
          <w:rFonts w:cs="Times New Roman"/>
          <w:color w:val="000000"/>
          <w:sz w:val="22"/>
          <w:lang w:val="en-US"/>
        </w:rPr>
        <w:t xml:space="preserve">Hetherington, M. J. (2005). </w:t>
      </w:r>
      <w:r>
        <w:rPr>
          <w:rFonts w:cs="Times New Roman"/>
          <w:i/>
          <w:iCs/>
          <w:color w:val="000000"/>
          <w:sz w:val="22"/>
          <w:lang w:val="en-US"/>
        </w:rPr>
        <w:t>Why Trust Matters: Declining Political Trust and the Demise of American Liberalism. Princeton</w:t>
      </w:r>
      <w:r>
        <w:rPr>
          <w:rFonts w:cs="Times New Roman"/>
          <w:color w:val="000000"/>
          <w:sz w:val="22"/>
          <w:lang w:val="en-US"/>
        </w:rPr>
        <w:t>, NJ: Princeton University Press.</w:t>
      </w:r>
    </w:p>
    <w:p>
      <w:pPr>
        <w:pStyle w:val="Normal"/>
        <w:spacing w:lineRule="auto" w:line="240"/>
        <w:ind w:left="709" w:right="0" w:hanging="709"/>
        <w:rPr/>
      </w:pPr>
      <w:r>
        <w:rPr>
          <w:rFonts w:cs="Times New Roman"/>
          <w:sz w:val="22"/>
          <w:lang w:val="en-US"/>
        </w:rPr>
        <w:t xml:space="preserve">Hoffman, A. M. (2002). A conceptualization of trust in international relations. </w:t>
      </w:r>
      <w:r>
        <w:rPr>
          <w:rFonts w:cs="Times New Roman"/>
          <w:i/>
          <w:iCs/>
          <w:sz w:val="22"/>
          <w:lang w:val="en-US"/>
        </w:rPr>
        <w:t>European Journal of International Relations, 8</w:t>
      </w:r>
      <w:r>
        <w:rPr>
          <w:rFonts w:cs="Times New Roman"/>
          <w:sz w:val="22"/>
          <w:lang w:val="en-US"/>
        </w:rPr>
        <w:t>(3): s. 375–401.</w:t>
      </w:r>
    </w:p>
    <w:p>
      <w:pPr>
        <w:pStyle w:val="Normal"/>
        <w:spacing w:lineRule="auto" w:line="240"/>
        <w:ind w:left="709" w:right="0" w:hanging="709"/>
        <w:rPr/>
      </w:pPr>
      <w:r>
        <w:rPr>
          <w:rFonts w:cs="Times New Roman"/>
          <w:sz w:val="22"/>
          <w:lang w:val="en-US"/>
        </w:rPr>
        <w:t xml:space="preserve">Holsti, K. J. (1996). </w:t>
      </w:r>
      <w:r>
        <w:rPr>
          <w:rFonts w:cs="Times New Roman"/>
          <w:i/>
          <w:iCs/>
          <w:sz w:val="22"/>
          <w:lang w:val="en-US"/>
        </w:rPr>
        <w:t>The State, War, and the State of War.</w:t>
      </w:r>
      <w:r>
        <w:rPr>
          <w:rFonts w:cs="Times New Roman"/>
          <w:sz w:val="22"/>
          <w:lang w:val="en-US"/>
        </w:rPr>
        <w:t xml:space="preserve"> New York: Cambridge University Press.</w:t>
      </w:r>
    </w:p>
    <w:p>
      <w:pPr>
        <w:pStyle w:val="Normal"/>
        <w:spacing w:lineRule="auto" w:line="240"/>
        <w:ind w:left="709" w:right="0" w:hanging="709"/>
        <w:rPr/>
      </w:pPr>
      <w:r>
        <w:rPr>
          <w:rFonts w:cs="Times New Roman"/>
          <w:sz w:val="22"/>
          <w:lang w:val="en-US"/>
        </w:rPr>
        <w:t xml:space="preserve">Hoddie, M. &amp; Hartzell, C. (2005). Signals of reconciliation: Institution-building and the resolution of civil wars. </w:t>
      </w:r>
      <w:r>
        <w:rPr>
          <w:rFonts w:cs="Times New Roman"/>
          <w:i/>
          <w:iCs/>
          <w:sz w:val="22"/>
          <w:lang w:val="en-US"/>
        </w:rPr>
        <w:t>International Studies Review 7</w:t>
      </w:r>
      <w:r>
        <w:rPr>
          <w:rFonts w:cs="Times New Roman"/>
          <w:sz w:val="22"/>
          <w:lang w:val="en-US"/>
        </w:rPr>
        <w:t>(1): s. 21–40.</w:t>
      </w:r>
    </w:p>
    <w:p>
      <w:pPr>
        <w:pStyle w:val="Normal"/>
        <w:spacing w:lineRule="auto" w:line="240"/>
        <w:ind w:left="709" w:right="0" w:hanging="709"/>
        <w:rPr>
          <w:rFonts w:cs="Times New Roman"/>
          <w:sz w:val="22"/>
          <w:shd w:fill="FFFFFF" w:val="clear"/>
          <w:lang w:val="en-US"/>
        </w:rPr>
      </w:pPr>
      <w:r>
        <w:rPr>
          <w:rFonts w:cs="Times New Roman"/>
          <w:sz w:val="22"/>
          <w:shd w:fill="FFFFFF" w:val="clear"/>
          <w:lang w:val="en-US"/>
        </w:rPr>
        <w:t>Horowitz, D. L. (1985). Ethnic Groups in Conflict, University of California press ed.</w:t>
      </w:r>
    </w:p>
    <w:p>
      <w:pPr>
        <w:pStyle w:val="Normal"/>
        <w:spacing w:lineRule="auto" w:line="240"/>
        <w:ind w:left="709" w:right="0" w:hanging="709"/>
        <w:rPr/>
      </w:pPr>
      <w:r>
        <w:rPr>
          <w:rFonts w:cs="Times New Roman"/>
          <w:sz w:val="22"/>
          <w:shd w:fill="FFFFFF" w:val="clear"/>
          <w:lang w:val="en-US"/>
        </w:rPr>
        <w:t>Horowitz, D. L. (2014). Ethnic power sharing: Three big problems. </w:t>
      </w:r>
      <w:r>
        <w:rPr>
          <w:rFonts w:cs="Times New Roman"/>
          <w:i/>
          <w:iCs/>
          <w:sz w:val="22"/>
          <w:shd w:fill="FFFFFF" w:val="clear"/>
          <w:lang w:val="en-US"/>
        </w:rPr>
        <w:t>Journal of democracy</w:t>
      </w:r>
      <w:r>
        <w:rPr>
          <w:rFonts w:cs="Times New Roman"/>
          <w:sz w:val="22"/>
          <w:shd w:fill="FFFFFF" w:val="clear"/>
          <w:lang w:val="en-US"/>
        </w:rPr>
        <w:t>, </w:t>
      </w:r>
      <w:r>
        <w:rPr>
          <w:rFonts w:cs="Times New Roman"/>
          <w:i/>
          <w:iCs/>
          <w:sz w:val="22"/>
          <w:shd w:fill="FFFFFF" w:val="clear"/>
          <w:lang w:val="en-US"/>
        </w:rPr>
        <w:t>25</w:t>
      </w:r>
      <w:r>
        <w:rPr>
          <w:rFonts w:cs="Times New Roman"/>
          <w:sz w:val="22"/>
          <w:shd w:fill="FFFFFF" w:val="clear"/>
          <w:lang w:val="en-US"/>
        </w:rPr>
        <w:t>(2), 5-20.</w:t>
      </w:r>
    </w:p>
    <w:p>
      <w:pPr>
        <w:pStyle w:val="Normal"/>
        <w:spacing w:lineRule="auto" w:line="240"/>
        <w:ind w:left="709" w:right="0" w:hanging="709"/>
        <w:rPr>
          <w:rFonts w:cs="Times New Roman"/>
          <w:sz w:val="22"/>
          <w:shd w:fill="FFFFFF" w:val="clear"/>
          <w:lang w:val="en-US"/>
        </w:rPr>
      </w:pPr>
      <w:r>
        <w:rPr>
          <w:rFonts w:cs="Times New Roman"/>
          <w:sz w:val="22"/>
          <w:shd w:fill="FFFFFF" w:val="clear"/>
          <w:lang w:val="en-US"/>
        </w:rPr>
        <w:t>Hox, J. J. (2010). Multilevel analysis. Techniques and applications. (2nd ed.). New York: Routledge.</w:t>
      </w:r>
    </w:p>
    <w:p>
      <w:pPr>
        <w:pStyle w:val="Normal"/>
        <w:spacing w:lineRule="auto" w:line="240"/>
        <w:ind w:left="709" w:right="0" w:hanging="709"/>
        <w:rPr/>
      </w:pPr>
      <w:r>
        <w:rPr>
          <w:rFonts w:cs="Times New Roman"/>
          <w:color w:val="000000"/>
          <w:sz w:val="22"/>
          <w:lang w:val="en-US"/>
        </w:rPr>
        <w:t xml:space="preserve">Htun M. (2004). The political representation of identity groups. </w:t>
      </w:r>
      <w:r>
        <w:rPr>
          <w:rFonts w:cs="Times New Roman"/>
          <w:i/>
          <w:iCs/>
          <w:color w:val="000000"/>
          <w:sz w:val="22"/>
          <w:lang w:val="en-US"/>
        </w:rPr>
        <w:t>Perspect. Polit. 2</w:t>
      </w:r>
      <w:r>
        <w:rPr>
          <w:rFonts w:cs="Times New Roman"/>
          <w:color w:val="000000"/>
          <w:sz w:val="22"/>
          <w:lang w:val="en-US"/>
        </w:rPr>
        <w:t>(3), 439–58</w:t>
      </w:r>
    </w:p>
    <w:p>
      <w:pPr>
        <w:pStyle w:val="Normal"/>
        <w:spacing w:lineRule="auto" w:line="240"/>
        <w:ind w:left="709" w:right="0" w:hanging="709"/>
        <w:rPr/>
      </w:pPr>
      <w:r>
        <w:rPr>
          <w:rFonts w:cs="Times New Roman"/>
          <w:color w:val="000000"/>
          <w:sz w:val="22"/>
          <w:lang w:val="en-US"/>
        </w:rPr>
        <w:t xml:space="preserve">Human Rights Watch. (2016). </w:t>
      </w:r>
      <w:r>
        <w:rPr>
          <w:rFonts w:cs="Times New Roman"/>
          <w:i/>
          <w:iCs/>
          <w:color w:val="000000"/>
          <w:sz w:val="22"/>
          <w:lang w:val="en-US"/>
        </w:rPr>
        <w:t>Burundi: Events of 2015.</w:t>
      </w:r>
      <w:r>
        <w:rPr>
          <w:rFonts w:cs="Times New Roman"/>
          <w:color w:val="000000"/>
          <w:sz w:val="22"/>
          <w:lang w:val="en-US"/>
        </w:rPr>
        <w:t xml:space="preserve"> Hentet fra: </w:t>
      </w:r>
      <w:hyperlink r:id="rId10">
        <w:r>
          <w:rPr>
            <w:rStyle w:val="InternetLink"/>
            <w:rFonts w:cs="Times New Roman"/>
            <w:sz w:val="22"/>
            <w:lang w:val="en-US"/>
          </w:rPr>
          <w:t>https://www.hrw.org/world-report/2016/country-chapters/burundi</w:t>
        </w:r>
      </w:hyperlink>
      <w:r>
        <w:rPr>
          <w:rFonts w:cs="Times New Roman"/>
          <w:color w:val="000000"/>
          <w:sz w:val="22"/>
          <w:lang w:val="en-US"/>
        </w:rPr>
        <w:t xml:space="preserve"> </w:t>
      </w:r>
    </w:p>
    <w:p>
      <w:pPr>
        <w:pStyle w:val="Normal"/>
        <w:spacing w:lineRule="auto" w:line="240"/>
        <w:ind w:left="709" w:right="0" w:hanging="709"/>
        <w:rPr/>
      </w:pPr>
      <w:r>
        <w:rPr>
          <w:rFonts w:cs="Times New Roman"/>
          <w:sz w:val="22"/>
          <w:shd w:fill="FFFFFF" w:val="clear"/>
          <w:lang w:val="en-US"/>
        </w:rPr>
        <w:t>Hutchison, M. L. &amp; Johnson, K. (2011). Capacity to trust? Institutional capacity, conflict, and political trust in Africa, 2000–2005. </w:t>
      </w:r>
      <w:r>
        <w:rPr>
          <w:rFonts w:cs="Times New Roman"/>
          <w:i/>
          <w:iCs/>
          <w:sz w:val="22"/>
          <w:shd w:fill="FFFFFF" w:val="clear"/>
          <w:lang w:val="en-US"/>
        </w:rPr>
        <w:t>Journal of Peace Research</w:t>
      </w:r>
      <w:r>
        <w:rPr>
          <w:rFonts w:cs="Times New Roman"/>
          <w:sz w:val="22"/>
          <w:shd w:fill="FFFFFF" w:val="clear"/>
          <w:lang w:val="en-US"/>
        </w:rPr>
        <w:t>, </w:t>
      </w:r>
      <w:r>
        <w:rPr>
          <w:rFonts w:cs="Times New Roman"/>
          <w:i/>
          <w:iCs/>
          <w:sz w:val="22"/>
          <w:shd w:fill="FFFFFF" w:val="clear"/>
          <w:lang w:val="en-US"/>
        </w:rPr>
        <w:t>48</w:t>
      </w:r>
      <w:r>
        <w:rPr>
          <w:rFonts w:cs="Times New Roman"/>
          <w:sz w:val="22"/>
          <w:shd w:fill="FFFFFF" w:val="clear"/>
          <w:lang w:val="en-US"/>
        </w:rPr>
        <w:t>(6), s. 737-752.</w:t>
      </w:r>
    </w:p>
    <w:p>
      <w:pPr>
        <w:pStyle w:val="Normal"/>
        <w:spacing w:lineRule="auto" w:line="240"/>
        <w:ind w:left="709" w:right="0" w:hanging="709"/>
        <w:rPr/>
      </w:pPr>
      <w:r>
        <w:rPr>
          <w:sz w:val="22"/>
          <w:szCs w:val="20"/>
          <w:shd w:fill="FFFFFF" w:val="clear"/>
          <w:lang w:val="en-US"/>
        </w:rPr>
        <w:t>Hutchison, M. L. (2011). Territorial threat and the decline of political trust in Africa: A multilevel analysis. </w:t>
      </w:r>
      <w:r>
        <w:rPr>
          <w:i/>
          <w:iCs/>
          <w:sz w:val="22"/>
          <w:szCs w:val="20"/>
          <w:shd w:fill="FFFFFF" w:val="clear"/>
          <w:lang w:val="en-US"/>
        </w:rPr>
        <w:t>Polity</w:t>
      </w:r>
      <w:r>
        <w:rPr>
          <w:sz w:val="22"/>
          <w:szCs w:val="20"/>
          <w:shd w:fill="FFFFFF" w:val="clear"/>
          <w:lang w:val="en-US"/>
        </w:rPr>
        <w:t>, </w:t>
      </w:r>
      <w:r>
        <w:rPr>
          <w:i/>
          <w:iCs/>
          <w:sz w:val="22"/>
          <w:szCs w:val="20"/>
          <w:shd w:fill="FFFFFF" w:val="clear"/>
          <w:lang w:val="en-US"/>
        </w:rPr>
        <w:t>43</w:t>
      </w:r>
      <w:r>
        <w:rPr>
          <w:sz w:val="22"/>
          <w:szCs w:val="20"/>
          <w:shd w:fill="FFFFFF" w:val="clear"/>
          <w:lang w:val="en-US"/>
        </w:rPr>
        <w:t>(4), 432-461.</w:t>
      </w:r>
    </w:p>
    <w:p>
      <w:pPr>
        <w:pStyle w:val="Normal"/>
        <w:spacing w:lineRule="auto" w:line="240"/>
        <w:ind w:left="709" w:right="0" w:hanging="709"/>
        <w:rPr/>
      </w:pPr>
      <w:r>
        <w:rPr>
          <w:sz w:val="22"/>
          <w:szCs w:val="20"/>
          <w:shd w:fill="FFFFFF" w:val="clear"/>
          <w:lang w:val="en-US"/>
        </w:rPr>
        <w:t>Joshi, M., &amp; Olsson, L. (2021). War termination and women's political rights. </w:t>
      </w:r>
      <w:r>
        <w:rPr>
          <w:i/>
          <w:iCs/>
          <w:sz w:val="22"/>
          <w:szCs w:val="20"/>
          <w:shd w:fill="FFFFFF" w:val="clear"/>
          <w:lang w:val="en-US"/>
        </w:rPr>
        <w:t>Social Science Research</w:t>
      </w:r>
      <w:r>
        <w:rPr>
          <w:sz w:val="22"/>
          <w:szCs w:val="20"/>
          <w:shd w:fill="FFFFFF" w:val="clear"/>
          <w:lang w:val="en-US"/>
        </w:rPr>
        <w:t>, </w:t>
      </w:r>
      <w:r>
        <w:rPr>
          <w:i/>
          <w:iCs/>
          <w:sz w:val="22"/>
          <w:szCs w:val="20"/>
          <w:shd w:fill="FFFFFF" w:val="clear"/>
          <w:lang w:val="en-US"/>
        </w:rPr>
        <w:t>94</w:t>
      </w:r>
      <w:r>
        <w:rPr>
          <w:sz w:val="22"/>
          <w:szCs w:val="20"/>
          <w:shd w:fill="FFFFFF" w:val="clear"/>
          <w:lang w:val="en-US"/>
        </w:rPr>
        <w:t>, 102523.</w:t>
      </w:r>
    </w:p>
    <w:p>
      <w:pPr>
        <w:pStyle w:val="Normal"/>
        <w:spacing w:lineRule="auto" w:line="240"/>
        <w:ind w:left="709" w:right="0" w:hanging="709"/>
        <w:rPr/>
      </w:pPr>
      <w:r>
        <w:rPr>
          <w:rFonts w:cs="Times New Roman"/>
          <w:sz w:val="22"/>
          <w:lang w:val="en-US"/>
        </w:rPr>
        <w:t xml:space="preserve">Jung, J. K. (2012). Power-sharing and democracy promotion in post-civil war peace-building. </w:t>
      </w:r>
      <w:r>
        <w:rPr>
          <w:rFonts w:cs="Times New Roman"/>
          <w:i/>
          <w:iCs/>
          <w:sz w:val="22"/>
          <w:lang w:val="en-US"/>
        </w:rPr>
        <w:t>Democratization,</w:t>
      </w:r>
      <w:r>
        <w:rPr>
          <w:rFonts w:cs="Times New Roman"/>
          <w:sz w:val="22"/>
          <w:lang w:val="en-US"/>
        </w:rPr>
        <w:t xml:space="preserve"> </w:t>
      </w:r>
      <w:r>
        <w:rPr>
          <w:rFonts w:cs="Times New Roman"/>
          <w:i/>
          <w:iCs/>
          <w:sz w:val="22"/>
          <w:lang w:val="en-US"/>
        </w:rPr>
        <w:t>19</w:t>
      </w:r>
      <w:r>
        <w:rPr>
          <w:rFonts w:cs="Times New Roman"/>
          <w:sz w:val="22"/>
          <w:lang w:val="en-US"/>
        </w:rPr>
        <w:t xml:space="preserve">(3), 486-506. </w:t>
      </w:r>
    </w:p>
    <w:p>
      <w:pPr>
        <w:pStyle w:val="Normal"/>
        <w:spacing w:lineRule="auto" w:line="240"/>
        <w:ind w:left="709" w:right="0" w:hanging="709"/>
        <w:rPr/>
      </w:pPr>
      <w:r>
        <w:rPr>
          <w:sz w:val="22"/>
          <w:szCs w:val="20"/>
          <w:shd w:fill="FFFFFF" w:val="clear"/>
          <w:lang w:val="en-US"/>
        </w:rPr>
        <w:t>Klasen, S., &amp; Lamanna, F. (2009). The impact of gender inequality in education and employment on economic growth: new evidence for a panel of countries. </w:t>
      </w:r>
      <w:r>
        <w:rPr>
          <w:i/>
          <w:iCs/>
          <w:sz w:val="22"/>
          <w:szCs w:val="20"/>
          <w:shd w:fill="FFFFFF" w:val="clear"/>
          <w:lang w:val="en-US"/>
        </w:rPr>
        <w:t>Feminist economics</w:t>
      </w:r>
      <w:r>
        <w:rPr>
          <w:sz w:val="22"/>
          <w:szCs w:val="20"/>
          <w:shd w:fill="FFFFFF" w:val="clear"/>
          <w:lang w:val="en-US"/>
        </w:rPr>
        <w:t>, </w:t>
      </w:r>
      <w:r>
        <w:rPr>
          <w:i/>
          <w:iCs/>
          <w:sz w:val="22"/>
          <w:szCs w:val="20"/>
          <w:shd w:fill="FFFFFF" w:val="clear"/>
          <w:lang w:val="en-US"/>
        </w:rPr>
        <w:t>15</w:t>
      </w:r>
      <w:r>
        <w:rPr>
          <w:sz w:val="22"/>
          <w:szCs w:val="20"/>
          <w:shd w:fill="FFFFFF" w:val="clear"/>
          <w:lang w:val="en-US"/>
        </w:rPr>
        <w:t>(3), 91-132.</w:t>
      </w:r>
    </w:p>
    <w:p>
      <w:pPr>
        <w:pStyle w:val="Normal"/>
        <w:spacing w:lineRule="auto" w:line="240"/>
        <w:ind w:left="709" w:right="0" w:hanging="709"/>
        <w:rPr>
          <w:sz w:val="22"/>
          <w:szCs w:val="20"/>
          <w:lang w:val="en-US"/>
        </w:rPr>
      </w:pPr>
      <w:r>
        <w:rPr>
          <w:sz w:val="22"/>
          <w:szCs w:val="20"/>
          <w:lang w:val="en-US"/>
        </w:rPr>
        <w:t>Knudsen, C., Mundt, A. &amp; Zartmann, I. W. (2000). Peace Agreements: The Case of Angola.</w:t>
      </w:r>
    </w:p>
    <w:p>
      <w:pPr>
        <w:pStyle w:val="Normal"/>
        <w:spacing w:lineRule="auto" w:line="240"/>
        <w:ind w:left="709" w:right="0" w:hanging="709"/>
        <w:rPr/>
      </w:pPr>
      <w:r>
        <w:rPr>
          <w:sz w:val="22"/>
          <w:szCs w:val="20"/>
          <w:shd w:fill="FFFFFF" w:val="clear"/>
          <w:lang w:val="en-US"/>
        </w:rPr>
        <w:t>Kunicova, J., &amp; Rose-Ackerman, S. (2001). Electoral rules as constraints on corruption: the risks of closed-list proportional representation. </w:t>
      </w:r>
      <w:r>
        <w:rPr>
          <w:i/>
          <w:iCs/>
          <w:sz w:val="22"/>
          <w:szCs w:val="20"/>
          <w:shd w:fill="FFFFFF" w:val="clear"/>
          <w:lang w:val="en-US"/>
        </w:rPr>
        <w:t>Department of Political Sciences, Yale University, New Haven, CT</w:t>
      </w:r>
      <w:r>
        <w:rPr>
          <w:sz w:val="22"/>
          <w:szCs w:val="20"/>
          <w:shd w:fill="FFFFFF" w:val="clear"/>
          <w:lang w:val="en-US"/>
        </w:rPr>
        <w:t>.</w:t>
      </w:r>
    </w:p>
    <w:p>
      <w:pPr>
        <w:pStyle w:val="Normal"/>
        <w:spacing w:lineRule="auto" w:line="240"/>
        <w:ind w:left="709" w:right="0" w:hanging="709"/>
        <w:rPr/>
      </w:pPr>
      <w:r>
        <w:rPr>
          <w:rFonts w:cs="Times New Roman"/>
          <w:color w:val="000000"/>
          <w:sz w:val="22"/>
          <w:shd w:fill="FFFFFF" w:val="clear"/>
          <w:lang w:val="en-US"/>
        </w:rPr>
        <w:t>Lemarchand, R. (2007). Consociationalism and power sharing in Africa: Rwanda, Burundi, and the Democratic Republic of the Congo. </w:t>
      </w:r>
      <w:r>
        <w:rPr>
          <w:rFonts w:cs="Times New Roman"/>
          <w:i/>
          <w:iCs/>
          <w:color w:val="000000"/>
          <w:sz w:val="22"/>
          <w:shd w:fill="FFFFFF" w:val="clear"/>
          <w:lang w:val="en-US"/>
        </w:rPr>
        <w:t>African affairs</w:t>
      </w:r>
      <w:r>
        <w:rPr>
          <w:rFonts w:cs="Times New Roman"/>
          <w:color w:val="000000"/>
          <w:sz w:val="22"/>
          <w:shd w:fill="FFFFFF" w:val="clear"/>
          <w:lang w:val="en-US"/>
        </w:rPr>
        <w:t>, </w:t>
      </w:r>
      <w:r>
        <w:rPr>
          <w:rFonts w:cs="Times New Roman"/>
          <w:i/>
          <w:iCs/>
          <w:color w:val="000000"/>
          <w:sz w:val="22"/>
          <w:shd w:fill="FFFFFF" w:val="clear"/>
          <w:lang w:val="en-US"/>
        </w:rPr>
        <w:t>106</w:t>
      </w:r>
      <w:r>
        <w:rPr>
          <w:rFonts w:cs="Times New Roman"/>
          <w:color w:val="000000"/>
          <w:sz w:val="22"/>
          <w:shd w:fill="FFFFFF" w:val="clear"/>
          <w:lang w:val="en-US"/>
        </w:rPr>
        <w:t>(422), 1-20.</w:t>
      </w:r>
    </w:p>
    <w:p>
      <w:pPr>
        <w:pStyle w:val="Normal"/>
        <w:spacing w:lineRule="auto" w:line="240"/>
        <w:ind w:left="709" w:right="0" w:hanging="709"/>
        <w:rPr/>
      </w:pPr>
      <w:r>
        <w:rPr>
          <w:rFonts w:cs="Times New Roman"/>
          <w:color w:val="000000"/>
          <w:sz w:val="22"/>
          <w:lang w:val="en-US"/>
        </w:rPr>
        <w:t xml:space="preserve">Lijphart A. (1969). Consociational democracy. </w:t>
      </w:r>
      <w:r>
        <w:rPr>
          <w:rFonts w:cs="Times New Roman"/>
          <w:i/>
          <w:iCs/>
          <w:color w:val="000000"/>
          <w:sz w:val="22"/>
          <w:lang w:val="en-US"/>
        </w:rPr>
        <w:t>World Politics 15</w:t>
      </w:r>
      <w:r>
        <w:rPr>
          <w:rFonts w:cs="Times New Roman"/>
          <w:color w:val="000000"/>
          <w:sz w:val="22"/>
          <w:lang w:val="en-US"/>
        </w:rPr>
        <w:t>(1), 207–225</w:t>
      </w:r>
    </w:p>
    <w:p>
      <w:pPr>
        <w:pStyle w:val="Normal"/>
        <w:spacing w:lineRule="auto" w:line="240"/>
        <w:ind w:left="709" w:right="0" w:hanging="709"/>
        <w:rPr/>
      </w:pPr>
      <w:r>
        <w:rPr>
          <w:rFonts w:cs="Times New Roman"/>
          <w:color w:val="000000"/>
          <w:sz w:val="22"/>
          <w:shd w:fill="FFFFFF" w:val="clear"/>
          <w:lang w:val="en-US"/>
        </w:rPr>
        <w:t>Lijphart, A. (1977). Democracy in Plural Societies New Haven. </w:t>
      </w:r>
      <w:r>
        <w:rPr>
          <w:rFonts w:cs="Times New Roman"/>
          <w:i/>
          <w:iCs/>
          <w:color w:val="000000"/>
          <w:sz w:val="22"/>
          <w:shd w:fill="FFFFFF" w:val="clear"/>
          <w:lang w:val="en-US"/>
        </w:rPr>
        <w:t>New Haven: Yale</w:t>
      </w:r>
      <w:r>
        <w:rPr>
          <w:rFonts w:cs="Times New Roman"/>
          <w:color w:val="000000"/>
          <w:sz w:val="22"/>
          <w:shd w:fill="FFFFFF" w:val="clear"/>
          <w:lang w:val="en-US"/>
        </w:rPr>
        <w:t>.</w:t>
      </w:r>
    </w:p>
    <w:p>
      <w:pPr>
        <w:pStyle w:val="Normal"/>
        <w:spacing w:lineRule="auto" w:line="240"/>
        <w:ind w:left="709" w:right="0" w:hanging="709"/>
        <w:rPr/>
      </w:pPr>
      <w:r>
        <w:rPr>
          <w:rFonts w:cs="Times New Roman"/>
          <w:sz w:val="22"/>
          <w:shd w:fill="FFFFFF" w:val="clear"/>
          <w:lang w:val="en-US"/>
        </w:rPr>
        <w:t>Lijphart, A. (2004). Constitutional design for divided societies. </w:t>
      </w:r>
      <w:r>
        <w:rPr>
          <w:rFonts w:cs="Times New Roman"/>
          <w:i/>
          <w:iCs/>
          <w:sz w:val="22"/>
          <w:shd w:fill="FFFFFF" w:val="clear"/>
          <w:lang w:val="en-US"/>
        </w:rPr>
        <w:t>Journal of democracy</w:t>
      </w:r>
      <w:r>
        <w:rPr>
          <w:rFonts w:cs="Times New Roman"/>
          <w:sz w:val="22"/>
          <w:shd w:fill="FFFFFF" w:val="clear"/>
          <w:lang w:val="en-US"/>
        </w:rPr>
        <w:t>, </w:t>
      </w:r>
      <w:r>
        <w:rPr>
          <w:rFonts w:cs="Times New Roman"/>
          <w:i/>
          <w:iCs/>
          <w:sz w:val="22"/>
          <w:shd w:fill="FFFFFF" w:val="clear"/>
          <w:lang w:val="en-US"/>
        </w:rPr>
        <w:t>15</w:t>
      </w:r>
      <w:r>
        <w:rPr>
          <w:rFonts w:cs="Times New Roman"/>
          <w:sz w:val="22"/>
          <w:shd w:fill="FFFFFF" w:val="clear"/>
          <w:lang w:val="en-US"/>
        </w:rPr>
        <w:t>(2), 96-109.</w:t>
      </w:r>
    </w:p>
    <w:p>
      <w:pPr>
        <w:pStyle w:val="Normal"/>
        <w:spacing w:lineRule="auto" w:line="240" w:before="0" w:after="0"/>
        <w:ind w:left="709" w:right="0" w:hanging="709"/>
        <w:rPr/>
      </w:pPr>
      <w:r>
        <w:rPr>
          <w:rFonts w:cs="Times New Roman"/>
          <w:sz w:val="22"/>
          <w:lang w:val="en-US"/>
        </w:rPr>
        <w:t xml:space="preserve">Linz, J. &amp; Stepan, A. (1996). Towards consolidated democracies: </w:t>
      </w:r>
      <w:r>
        <w:rPr>
          <w:rFonts w:cs="Times New Roman"/>
          <w:i/>
          <w:iCs/>
          <w:sz w:val="22"/>
          <w:lang w:val="en-US"/>
        </w:rPr>
        <w:t>Journal of</w:t>
      </w:r>
    </w:p>
    <w:p>
      <w:pPr>
        <w:pStyle w:val="Normal"/>
        <w:spacing w:lineRule="auto" w:line="240"/>
        <w:ind w:left="709" w:right="0" w:hanging="709"/>
        <w:rPr/>
      </w:pPr>
      <w:r>
        <w:rPr>
          <w:rFonts w:cs="Times New Roman"/>
          <w:i/>
          <w:iCs/>
          <w:sz w:val="22"/>
          <w:lang w:val="en-US"/>
        </w:rPr>
        <w:t>Democracy, 7</w:t>
      </w:r>
      <w:r>
        <w:rPr>
          <w:rFonts w:cs="Times New Roman"/>
          <w:sz w:val="22"/>
          <w:lang w:val="en-US"/>
        </w:rPr>
        <w:t>(2), s. 14-33</w:t>
      </w:r>
    </w:p>
    <w:p>
      <w:pPr>
        <w:pStyle w:val="Normal"/>
        <w:spacing w:lineRule="auto" w:line="240" w:before="0" w:after="0"/>
        <w:ind w:left="709" w:right="0" w:hanging="709"/>
        <w:rPr>
          <w:rFonts w:cs="Times New Roman"/>
          <w:sz w:val="22"/>
          <w:lang w:val="en-US"/>
        </w:rPr>
      </w:pPr>
      <w:r>
        <w:rPr>
          <w:rFonts w:cs="Times New Roman"/>
          <w:sz w:val="22"/>
          <w:lang w:val="en-US"/>
        </w:rPr>
        <w:t>Listhaug, O. (2005). Of oil wealth dissatisfaction and political trust in Norway: a resource</w:t>
      </w:r>
    </w:p>
    <w:p>
      <w:pPr>
        <w:pStyle w:val="Normal"/>
        <w:spacing w:lineRule="auto" w:line="240"/>
        <w:ind w:left="709" w:right="0" w:hanging="709"/>
        <w:rPr/>
      </w:pPr>
      <w:r>
        <w:rPr>
          <w:rFonts w:cs="Times New Roman"/>
          <w:sz w:val="22"/>
          <w:lang w:val="en-US"/>
        </w:rPr>
        <w:t xml:space="preserve">curse?: </w:t>
      </w:r>
      <w:r>
        <w:rPr>
          <w:rFonts w:cs="Times New Roman"/>
          <w:i/>
          <w:iCs/>
          <w:sz w:val="22"/>
          <w:lang w:val="en-US"/>
        </w:rPr>
        <w:t>West European Politics, 28</w:t>
      </w:r>
      <w:r>
        <w:rPr>
          <w:rFonts w:cs="Times New Roman"/>
          <w:sz w:val="22"/>
          <w:lang w:val="en-US"/>
        </w:rPr>
        <w:t>(4), s. 834-851</w:t>
      </w:r>
    </w:p>
    <w:p>
      <w:pPr>
        <w:pStyle w:val="Normal"/>
        <w:spacing w:lineRule="auto" w:line="240" w:before="0" w:after="0"/>
        <w:ind w:left="709" w:right="0" w:hanging="709"/>
        <w:rPr>
          <w:rFonts w:cs="Times New Roman"/>
          <w:sz w:val="22"/>
          <w:lang w:val="en-US"/>
        </w:rPr>
      </w:pPr>
      <w:r>
        <w:rPr>
          <w:rFonts w:cs="Times New Roman"/>
          <w:sz w:val="22"/>
          <w:lang w:val="en-US"/>
        </w:rPr>
        <w:t>Listhaug, O. &amp; Miller, A. (1999). Political performance and institutional trust. In Norris,</w:t>
      </w:r>
    </w:p>
    <w:p>
      <w:pPr>
        <w:pStyle w:val="Normal"/>
        <w:spacing w:lineRule="auto" w:line="240" w:before="0" w:after="0"/>
        <w:ind w:left="709" w:right="0" w:hanging="709"/>
        <w:rPr/>
      </w:pPr>
      <w:r>
        <w:rPr>
          <w:rFonts w:cs="Times New Roman"/>
          <w:sz w:val="22"/>
          <w:lang w:val="en-US"/>
        </w:rPr>
        <w:t xml:space="preserve">Pippa (ed). </w:t>
      </w:r>
      <w:r>
        <w:rPr>
          <w:rFonts w:cs="Times New Roman"/>
          <w:i/>
          <w:iCs/>
          <w:sz w:val="22"/>
          <w:lang w:val="en-US"/>
        </w:rPr>
        <w:t xml:space="preserve">Critical citizens: global support for democratic governance. </w:t>
      </w:r>
      <w:r>
        <w:rPr>
          <w:rFonts w:cs="Times New Roman"/>
          <w:sz w:val="22"/>
          <w:lang w:val="en-US"/>
        </w:rPr>
        <w:t>New York: Oxford</w:t>
      </w:r>
    </w:p>
    <w:p>
      <w:pPr>
        <w:pStyle w:val="Normal"/>
        <w:spacing w:lineRule="auto" w:line="240"/>
        <w:ind w:left="709" w:right="0" w:hanging="709"/>
        <w:rPr>
          <w:rFonts w:cs="Times New Roman"/>
          <w:sz w:val="22"/>
          <w:lang w:val="en-US"/>
        </w:rPr>
      </w:pPr>
      <w:r>
        <w:rPr>
          <w:rFonts w:cs="Times New Roman"/>
          <w:sz w:val="22"/>
          <w:lang w:val="en-US"/>
        </w:rPr>
        <w:t>University Press</w:t>
      </w:r>
    </w:p>
    <w:p>
      <w:pPr>
        <w:pStyle w:val="Normal"/>
        <w:spacing w:lineRule="auto" w:line="240"/>
        <w:ind w:left="709" w:right="0" w:hanging="709"/>
        <w:rPr/>
      </w:pPr>
      <w:r>
        <w:rPr>
          <w:rFonts w:cs="Times New Roman"/>
          <w:sz w:val="22"/>
          <w:shd w:fill="FFFFFF" w:val="clear"/>
          <w:lang w:val="en-US"/>
        </w:rPr>
        <w:t>Mamdani, M. (1996). </w:t>
      </w:r>
      <w:r>
        <w:rPr>
          <w:rFonts w:cs="Times New Roman"/>
          <w:i/>
          <w:iCs/>
          <w:sz w:val="22"/>
          <w:shd w:fill="FFFFFF" w:val="clear"/>
          <w:lang w:val="en-US"/>
        </w:rPr>
        <w:t>Citizen and subject: Contemporary Africa and the legacy of late colonialism</w:t>
      </w:r>
      <w:r>
        <w:rPr>
          <w:rFonts w:cs="Times New Roman"/>
          <w:sz w:val="22"/>
          <w:shd w:fill="FFFFFF" w:val="clear"/>
          <w:lang w:val="en-US"/>
        </w:rPr>
        <w:t>. Princeton University Press.</w:t>
      </w:r>
    </w:p>
    <w:p>
      <w:pPr>
        <w:pStyle w:val="Normal"/>
        <w:spacing w:lineRule="auto" w:line="240"/>
        <w:ind w:left="709" w:right="0" w:hanging="709"/>
        <w:rPr/>
      </w:pPr>
      <w:r>
        <w:rPr>
          <w:rFonts w:cs="Times New Roman"/>
          <w:color w:val="000000"/>
          <w:sz w:val="22"/>
          <w:shd w:fill="FFFFFF" w:val="clear"/>
          <w:lang w:val="en-US"/>
        </w:rPr>
        <w:t>Manchanda, R. (2001). Guns and burqa: Women in the Kashmir conflict. </w:t>
      </w:r>
      <w:r>
        <w:rPr>
          <w:rFonts w:cs="Times New Roman"/>
          <w:i/>
          <w:iCs/>
          <w:color w:val="000000"/>
          <w:sz w:val="22"/>
          <w:shd w:fill="FFFFFF" w:val="clear"/>
          <w:lang w:val="en-US"/>
        </w:rPr>
        <w:t>Women, war and peace in South Asia: Beyond victimhood to agency</w:t>
      </w:r>
      <w:r>
        <w:rPr>
          <w:rFonts w:cs="Times New Roman"/>
          <w:color w:val="000000"/>
          <w:sz w:val="22"/>
          <w:shd w:fill="FFFFFF" w:val="clear"/>
          <w:lang w:val="en-US"/>
        </w:rPr>
        <w:t>, 42-101.</w:t>
      </w:r>
    </w:p>
    <w:p>
      <w:pPr>
        <w:pStyle w:val="Normal"/>
        <w:spacing w:lineRule="auto" w:line="240"/>
        <w:ind w:left="709" w:right="0" w:hanging="709"/>
        <w:rPr/>
      </w:pPr>
      <w:r>
        <w:rPr>
          <w:sz w:val="22"/>
          <w:szCs w:val="20"/>
          <w:lang w:val="en-US"/>
        </w:rPr>
        <w:t xml:space="preserve">Mandela, N. (1989). Notes prepared by Nelson Mandela for his meeting with P. W. Botha 5 July 1989. </w:t>
      </w:r>
      <w:r>
        <w:rPr>
          <w:sz w:val="22"/>
          <w:szCs w:val="20"/>
        </w:rPr>
        <w:t xml:space="preserve">Hentet fra: </w:t>
      </w:r>
      <w:hyperlink r:id="rId11">
        <w:r>
          <w:rPr>
            <w:rStyle w:val="InternetLink"/>
            <w:sz w:val="22"/>
            <w:szCs w:val="20"/>
          </w:rPr>
          <w:t>https://www.nelsonmandela.org/omalley/index.php/site/q/03lv01538/04lv01600/05lv0164 0/06lv01642.htm</w:t>
        </w:r>
      </w:hyperlink>
      <w:r>
        <w:rPr>
          <w:sz w:val="22"/>
          <w:szCs w:val="20"/>
        </w:rPr>
        <w:t xml:space="preserve"> </w:t>
      </w:r>
    </w:p>
    <w:p>
      <w:pPr>
        <w:pStyle w:val="Normal"/>
        <w:spacing w:lineRule="auto" w:line="240"/>
        <w:ind w:left="709" w:right="0" w:hanging="709"/>
        <w:rPr/>
      </w:pPr>
      <w:r>
        <w:rPr>
          <w:sz w:val="22"/>
          <w:szCs w:val="20"/>
          <w:shd w:fill="FFFFFF" w:val="clear"/>
          <w:lang w:val="en-US"/>
        </w:rPr>
        <w:t>Mattes, M., &amp; Savun, B. (2009). Fostering peace after civil war: Commitment problems and agreement design. </w:t>
      </w:r>
      <w:r>
        <w:rPr>
          <w:i/>
          <w:iCs/>
          <w:sz w:val="22"/>
          <w:szCs w:val="20"/>
          <w:shd w:fill="FFFFFF" w:val="clear"/>
          <w:lang w:val="en-US"/>
        </w:rPr>
        <w:t>International studies quarterly</w:t>
      </w:r>
      <w:r>
        <w:rPr>
          <w:sz w:val="22"/>
          <w:szCs w:val="20"/>
          <w:shd w:fill="FFFFFF" w:val="clear"/>
          <w:lang w:val="en-US"/>
        </w:rPr>
        <w:t>, </w:t>
      </w:r>
      <w:r>
        <w:rPr>
          <w:i/>
          <w:iCs/>
          <w:sz w:val="22"/>
          <w:szCs w:val="20"/>
          <w:shd w:fill="FFFFFF" w:val="clear"/>
          <w:lang w:val="en-US"/>
        </w:rPr>
        <w:t>53</w:t>
      </w:r>
      <w:r>
        <w:rPr>
          <w:sz w:val="22"/>
          <w:szCs w:val="20"/>
          <w:shd w:fill="FFFFFF" w:val="clear"/>
          <w:lang w:val="en-US"/>
        </w:rPr>
        <w:t>(3), 737-759.</w:t>
      </w:r>
    </w:p>
    <w:p>
      <w:pPr>
        <w:pStyle w:val="Normal"/>
        <w:spacing w:lineRule="auto" w:line="240"/>
        <w:ind w:left="709" w:right="0" w:hanging="709"/>
        <w:rPr/>
      </w:pPr>
      <w:r>
        <w:rPr>
          <w:sz w:val="22"/>
          <w:szCs w:val="20"/>
          <w:shd w:fill="FFFFFF" w:val="clear"/>
          <w:lang w:val="en-US"/>
        </w:rPr>
        <w:t>Mattes, R. (2008). The material and political bases of lived poverty in Africa: Insights from the Afrobarometer. I </w:t>
      </w:r>
      <w:r>
        <w:rPr>
          <w:i/>
          <w:iCs/>
          <w:sz w:val="22"/>
          <w:szCs w:val="20"/>
          <w:shd w:fill="FFFFFF" w:val="clear"/>
          <w:lang w:val="en-US"/>
        </w:rPr>
        <w:t>Barometers of quality of life around the globe</w:t>
      </w:r>
      <w:r>
        <w:rPr>
          <w:sz w:val="22"/>
          <w:szCs w:val="20"/>
          <w:shd w:fill="FFFFFF" w:val="clear"/>
          <w:lang w:val="en-US"/>
        </w:rPr>
        <w:t> (s. 161-185). Dordrecht: Springer.</w:t>
      </w:r>
    </w:p>
    <w:p>
      <w:pPr>
        <w:pStyle w:val="Normal"/>
        <w:spacing w:lineRule="auto" w:line="240"/>
        <w:ind w:left="709" w:right="0" w:hanging="709"/>
        <w:rPr/>
      </w:pPr>
      <w:r>
        <w:rPr>
          <w:rFonts w:cs="Times New Roman"/>
          <w:sz w:val="22"/>
          <w:shd w:fill="FFFFFF" w:val="clear"/>
          <w:lang w:val="en-US"/>
        </w:rPr>
        <w:t>McKenney, N. R., &amp; Bennett, C. E. (1994). Issues regarding data on race and ethnicity: the Census Bureau experience. </w:t>
      </w:r>
      <w:r>
        <w:rPr>
          <w:rFonts w:cs="Times New Roman"/>
          <w:i/>
          <w:iCs/>
          <w:sz w:val="22"/>
          <w:shd w:fill="FFFFFF" w:val="clear"/>
          <w:lang w:val="en-US"/>
        </w:rPr>
        <w:t>Public health reports</w:t>
      </w:r>
      <w:r>
        <w:rPr>
          <w:rFonts w:cs="Times New Roman"/>
          <w:sz w:val="22"/>
          <w:shd w:fill="FFFFFF" w:val="clear"/>
          <w:lang w:val="en-US"/>
        </w:rPr>
        <w:t>, </w:t>
      </w:r>
      <w:r>
        <w:rPr>
          <w:rFonts w:cs="Times New Roman"/>
          <w:i/>
          <w:iCs/>
          <w:sz w:val="22"/>
          <w:shd w:fill="FFFFFF" w:val="clear"/>
          <w:lang w:val="en-US"/>
        </w:rPr>
        <w:t>109</w:t>
      </w:r>
      <w:r>
        <w:rPr>
          <w:rFonts w:cs="Times New Roman"/>
          <w:sz w:val="22"/>
          <w:shd w:fill="FFFFFF" w:val="clear"/>
          <w:lang w:val="en-US"/>
        </w:rPr>
        <w:t>(1), 16.</w:t>
      </w:r>
    </w:p>
    <w:p>
      <w:pPr>
        <w:pStyle w:val="Normal"/>
        <w:spacing w:lineRule="auto" w:line="240"/>
        <w:ind w:left="709" w:right="0" w:hanging="709"/>
        <w:rPr/>
      </w:pPr>
      <w:r>
        <w:rPr>
          <w:sz w:val="22"/>
          <w:szCs w:val="20"/>
          <w:shd w:fill="FFFFFF" w:val="clear"/>
          <w:lang w:val="en-US"/>
        </w:rPr>
        <w:t>McMahon, P. C., &amp; Western, J. (2009). The Death of Dayton-How to Stop Bosnia from Falling Apart. </w:t>
      </w:r>
      <w:r>
        <w:rPr>
          <w:i/>
          <w:iCs/>
          <w:sz w:val="22"/>
          <w:szCs w:val="20"/>
          <w:shd w:fill="FFFFFF" w:val="clear"/>
          <w:lang w:val="en-US"/>
        </w:rPr>
        <w:t>Foreign Aff.</w:t>
      </w:r>
      <w:r>
        <w:rPr>
          <w:sz w:val="22"/>
          <w:szCs w:val="20"/>
          <w:shd w:fill="FFFFFF" w:val="clear"/>
          <w:lang w:val="en-US"/>
        </w:rPr>
        <w:t>, </w:t>
      </w:r>
      <w:r>
        <w:rPr>
          <w:i/>
          <w:iCs/>
          <w:sz w:val="22"/>
          <w:szCs w:val="20"/>
          <w:shd w:fill="FFFFFF" w:val="clear"/>
          <w:lang w:val="en-US"/>
        </w:rPr>
        <w:t>88</w:t>
      </w:r>
      <w:r>
        <w:rPr>
          <w:sz w:val="22"/>
          <w:szCs w:val="20"/>
          <w:shd w:fill="FFFFFF" w:val="clear"/>
          <w:lang w:val="en-US"/>
        </w:rPr>
        <w:t>, 69.</w:t>
      </w:r>
    </w:p>
    <w:p>
      <w:pPr>
        <w:pStyle w:val="Normal"/>
        <w:spacing w:lineRule="auto" w:line="240"/>
        <w:ind w:left="709" w:right="0" w:hanging="709"/>
        <w:rPr/>
      </w:pPr>
      <w:r>
        <w:rPr>
          <w:rFonts w:cs="Times New Roman"/>
          <w:color w:val="000000"/>
          <w:sz w:val="22"/>
          <w:shd w:fill="FFFFFF" w:val="clear"/>
          <w:lang w:val="en-US"/>
        </w:rPr>
        <w:t>Mehler, A. (2009). Peace and power sharing in Africa: a not so obvious relationship. </w:t>
      </w:r>
      <w:r>
        <w:rPr>
          <w:rFonts w:cs="Times New Roman"/>
          <w:i/>
          <w:iCs/>
          <w:color w:val="000000"/>
          <w:sz w:val="22"/>
          <w:shd w:fill="FFFFFF" w:val="clear"/>
          <w:lang w:val="en-US"/>
        </w:rPr>
        <w:t>African Affairs</w:t>
      </w:r>
      <w:r>
        <w:rPr>
          <w:rFonts w:cs="Times New Roman"/>
          <w:color w:val="000000"/>
          <w:sz w:val="22"/>
          <w:shd w:fill="FFFFFF" w:val="clear"/>
          <w:lang w:val="en-US"/>
        </w:rPr>
        <w:t>, </w:t>
      </w:r>
      <w:r>
        <w:rPr>
          <w:rFonts w:cs="Times New Roman"/>
          <w:i/>
          <w:iCs/>
          <w:color w:val="000000"/>
          <w:sz w:val="22"/>
          <w:shd w:fill="FFFFFF" w:val="clear"/>
          <w:lang w:val="en-US"/>
        </w:rPr>
        <w:t>108</w:t>
      </w:r>
      <w:r>
        <w:rPr>
          <w:rFonts w:cs="Times New Roman"/>
          <w:color w:val="000000"/>
          <w:sz w:val="22"/>
          <w:shd w:fill="FFFFFF" w:val="clear"/>
          <w:lang w:val="en-US"/>
        </w:rPr>
        <w:t>(432), 453-473.</w:t>
      </w:r>
    </w:p>
    <w:p>
      <w:pPr>
        <w:pStyle w:val="Normal"/>
        <w:spacing w:lineRule="auto" w:line="240"/>
        <w:ind w:left="709" w:right="0" w:hanging="709"/>
        <w:rPr/>
      </w:pPr>
      <w:r>
        <w:rPr>
          <w:rFonts w:cs="Times New Roman"/>
          <w:color w:val="000000"/>
          <w:sz w:val="22"/>
          <w:shd w:fill="FFFFFF" w:val="clear"/>
          <w:lang w:val="en-US"/>
        </w:rPr>
        <w:t xml:space="preserve">Meijer, G. (2004). </w:t>
      </w:r>
      <w:r>
        <w:rPr>
          <w:rFonts w:cs="Times New Roman"/>
          <w:i/>
          <w:iCs/>
          <w:color w:val="000000"/>
          <w:sz w:val="22"/>
          <w:shd w:fill="FFFFFF" w:val="clear"/>
          <w:lang w:val="en-US"/>
        </w:rPr>
        <w:t>From Military Peace to Social Justice? The Angolan Peace Process.</w:t>
      </w:r>
      <w:r>
        <w:rPr>
          <w:rFonts w:cs="Times New Roman"/>
          <w:color w:val="000000"/>
          <w:sz w:val="22"/>
          <w:shd w:fill="FFFFFF" w:val="clear"/>
          <w:lang w:val="en-US"/>
        </w:rPr>
        <w:t xml:space="preserve"> (Conciliation Resources, rapport, 15).</w:t>
      </w:r>
    </w:p>
    <w:p>
      <w:pPr>
        <w:pStyle w:val="Normal"/>
        <w:spacing w:lineRule="auto" w:line="240"/>
        <w:ind w:left="709" w:right="0" w:hanging="709"/>
        <w:rPr/>
      </w:pPr>
      <w:r>
        <w:rPr>
          <w:rFonts w:cs="Times New Roman"/>
          <w:color w:val="000000"/>
          <w:sz w:val="22"/>
          <w:shd w:fill="FFFFFF" w:val="clear"/>
          <w:lang w:val="en-US"/>
        </w:rPr>
        <w:t>Meintjes, S., Turshen, M., &amp; Pillay, A. (2001). </w:t>
      </w:r>
      <w:r>
        <w:rPr>
          <w:rFonts w:cs="Times New Roman"/>
          <w:i/>
          <w:iCs/>
          <w:color w:val="000000"/>
          <w:sz w:val="22"/>
          <w:shd w:fill="FFFFFF" w:val="clear"/>
          <w:lang w:val="en-US"/>
        </w:rPr>
        <w:t>The aftermath: Women in post-conflict transformation</w:t>
      </w:r>
      <w:r>
        <w:rPr>
          <w:rFonts w:cs="Times New Roman"/>
          <w:color w:val="000000"/>
          <w:sz w:val="22"/>
          <w:shd w:fill="FFFFFF" w:val="clear"/>
          <w:lang w:val="en-US"/>
        </w:rPr>
        <w:t>. Zed Books.</w:t>
      </w:r>
    </w:p>
    <w:p>
      <w:pPr>
        <w:pStyle w:val="Normal"/>
        <w:spacing w:lineRule="auto" w:line="240"/>
        <w:ind w:left="709" w:right="0" w:hanging="709"/>
        <w:rPr/>
      </w:pPr>
      <w:r>
        <w:rPr>
          <w:sz w:val="22"/>
          <w:shd w:fill="FFFFFF" w:val="clear"/>
          <w:lang w:val="en-US"/>
        </w:rPr>
        <w:t>Melander, E. (2005). Gender equality and intrastate armed conflict. </w:t>
      </w:r>
      <w:r>
        <w:rPr>
          <w:i/>
          <w:iCs/>
          <w:sz w:val="22"/>
          <w:shd w:fill="FFFFFF" w:val="clear"/>
          <w:lang w:val="en-US"/>
        </w:rPr>
        <w:t>International Studies Quarterly</w:t>
      </w:r>
      <w:r>
        <w:rPr>
          <w:sz w:val="22"/>
          <w:shd w:fill="FFFFFF" w:val="clear"/>
          <w:lang w:val="en-US"/>
        </w:rPr>
        <w:t>, </w:t>
      </w:r>
      <w:r>
        <w:rPr>
          <w:i/>
          <w:iCs/>
          <w:sz w:val="22"/>
          <w:shd w:fill="FFFFFF" w:val="clear"/>
          <w:lang w:val="en-US"/>
        </w:rPr>
        <w:t>49</w:t>
      </w:r>
      <w:r>
        <w:rPr>
          <w:sz w:val="22"/>
          <w:shd w:fill="FFFFFF" w:val="clear"/>
          <w:lang w:val="en-US"/>
        </w:rPr>
        <w:t>(4), 695-714.</w:t>
      </w:r>
    </w:p>
    <w:p>
      <w:pPr>
        <w:pStyle w:val="Normal"/>
        <w:spacing w:lineRule="auto" w:line="240"/>
        <w:ind w:left="709" w:right="0" w:hanging="709"/>
        <w:rPr/>
      </w:pPr>
      <w:r>
        <w:rPr>
          <w:rStyle w:val="Eop"/>
          <w:rFonts w:cs="Times New Roman"/>
          <w:color w:val="000000"/>
          <w:sz w:val="22"/>
          <w:shd w:fill="FFFFFF" w:val="clear"/>
          <w:lang w:val="en-US"/>
        </w:rPr>
        <w:t xml:space="preserve">Midtbø, T. (2012). </w:t>
      </w:r>
      <w:r>
        <w:rPr>
          <w:rStyle w:val="Eop"/>
          <w:rFonts w:cs="Times New Roman"/>
          <w:i/>
          <w:iCs/>
          <w:color w:val="000000"/>
          <w:sz w:val="22"/>
          <w:shd w:fill="FFFFFF" w:val="clear"/>
          <w:lang w:val="en-US"/>
        </w:rPr>
        <w:t>Stata – En entusiastisk innføring.</w:t>
      </w:r>
      <w:r>
        <w:rPr>
          <w:rStyle w:val="Eop"/>
          <w:rFonts w:cs="Times New Roman"/>
          <w:color w:val="000000"/>
          <w:sz w:val="22"/>
          <w:shd w:fill="FFFFFF" w:val="clear"/>
          <w:lang w:val="en-US"/>
        </w:rPr>
        <w:t xml:space="preserve"> Oslo: Universitetsforlaget</w:t>
      </w:r>
    </w:p>
    <w:p>
      <w:pPr>
        <w:pStyle w:val="Normal"/>
        <w:spacing w:lineRule="auto" w:line="240"/>
        <w:ind w:left="709" w:right="0" w:hanging="709"/>
        <w:rPr/>
      </w:pPr>
      <w:r>
        <w:rPr>
          <w:sz w:val="22"/>
          <w:szCs w:val="20"/>
          <w:shd w:fill="FFFFFF" w:val="clear"/>
          <w:lang w:val="en-US"/>
        </w:rPr>
        <w:t>Milanovic, B. (2003). Is inequality in Africa really different?. </w:t>
      </w:r>
      <w:r>
        <w:rPr>
          <w:i/>
          <w:iCs/>
          <w:sz w:val="22"/>
          <w:szCs w:val="20"/>
          <w:shd w:fill="FFFFFF" w:val="clear"/>
          <w:lang w:val="en-US"/>
        </w:rPr>
        <w:t>World Bank Policy Research Working Paper</w:t>
      </w:r>
      <w:r>
        <w:rPr>
          <w:sz w:val="22"/>
          <w:szCs w:val="20"/>
          <w:shd w:fill="FFFFFF" w:val="clear"/>
          <w:lang w:val="en-US"/>
        </w:rPr>
        <w:t>, (3169).</w:t>
      </w:r>
    </w:p>
    <w:p>
      <w:pPr>
        <w:pStyle w:val="Normal"/>
        <w:spacing w:lineRule="auto" w:line="240" w:before="0" w:after="0"/>
        <w:ind w:left="709" w:right="0" w:hanging="709"/>
        <w:rPr/>
      </w:pPr>
      <w:r>
        <w:rPr>
          <w:rFonts w:cs="Times New Roman"/>
          <w:sz w:val="22"/>
          <w:lang w:val="en-US"/>
        </w:rPr>
        <w:t xml:space="preserve">Miller, A. H. (1974). Political issues and trust in government: 1964-1970: </w:t>
      </w:r>
      <w:r>
        <w:rPr>
          <w:rFonts w:cs="Times New Roman"/>
          <w:i/>
          <w:iCs/>
          <w:sz w:val="22"/>
          <w:lang w:val="en-US"/>
        </w:rPr>
        <w:t>The American</w:t>
      </w:r>
    </w:p>
    <w:p>
      <w:pPr>
        <w:pStyle w:val="Normal"/>
        <w:spacing w:lineRule="auto" w:line="240"/>
        <w:ind w:left="709" w:right="0" w:hanging="1"/>
        <w:rPr/>
      </w:pPr>
      <w:r>
        <w:rPr>
          <w:rFonts w:cs="Times New Roman"/>
          <w:i/>
          <w:iCs/>
          <w:sz w:val="22"/>
          <w:lang w:val="en-US"/>
        </w:rPr>
        <w:t>Political Science Review 68</w:t>
      </w:r>
      <w:r>
        <w:rPr>
          <w:rFonts w:cs="Times New Roman"/>
          <w:sz w:val="22"/>
          <w:lang w:val="en-US"/>
        </w:rPr>
        <w:t>(3), s. 951-972</w:t>
      </w:r>
    </w:p>
    <w:p>
      <w:pPr>
        <w:pStyle w:val="Normal"/>
        <w:spacing w:lineRule="auto" w:line="240" w:before="0" w:after="0"/>
        <w:ind w:left="709" w:right="0" w:hanging="709"/>
        <w:rPr/>
      </w:pPr>
      <w:r>
        <w:rPr>
          <w:rFonts w:cs="Times New Roman"/>
          <w:sz w:val="22"/>
          <w:lang w:val="en-US"/>
        </w:rPr>
        <w:t xml:space="preserve">Mishler, W. &amp; Rose, R. (1999). </w:t>
      </w:r>
      <w:r>
        <w:rPr>
          <w:rFonts w:cs="Times New Roman"/>
          <w:i/>
          <w:iCs/>
          <w:sz w:val="22"/>
          <w:lang w:val="en-US"/>
        </w:rPr>
        <w:t>Five years after the fall: trajectories, of support</w:t>
      </w:r>
    </w:p>
    <w:p>
      <w:pPr>
        <w:pStyle w:val="Normal"/>
        <w:spacing w:lineRule="auto" w:line="240" w:before="0" w:after="0"/>
        <w:ind w:left="709" w:right="0" w:hanging="1"/>
        <w:rPr/>
      </w:pPr>
      <w:r>
        <w:rPr>
          <w:rFonts w:cs="Times New Roman"/>
          <w:i/>
          <w:iCs/>
          <w:sz w:val="22"/>
          <w:lang w:val="en-US"/>
        </w:rPr>
        <w:t>for democracy in post-communist Europe.</w:t>
      </w:r>
      <w:r>
        <w:rPr>
          <w:rFonts w:cs="Times New Roman"/>
          <w:sz w:val="22"/>
          <w:lang w:val="en-US"/>
        </w:rPr>
        <w:t xml:space="preserve"> In Norris, Pippa (ed). </w:t>
      </w:r>
      <w:r>
        <w:rPr>
          <w:rFonts w:cs="Times New Roman"/>
          <w:i/>
          <w:iCs/>
          <w:sz w:val="22"/>
          <w:lang w:val="en-US"/>
        </w:rPr>
        <w:t>Critical citizens: global</w:t>
      </w:r>
    </w:p>
    <w:p>
      <w:pPr>
        <w:pStyle w:val="Normal"/>
        <w:spacing w:lineRule="auto" w:line="240"/>
        <w:ind w:left="709" w:right="0" w:hanging="1"/>
        <w:rPr/>
      </w:pPr>
      <w:r>
        <w:rPr>
          <w:rFonts w:cs="Times New Roman"/>
          <w:i/>
          <w:iCs/>
          <w:sz w:val="22"/>
          <w:lang w:val="en-US"/>
        </w:rPr>
        <w:t xml:space="preserve">support for democratic governance. </w:t>
      </w:r>
      <w:r>
        <w:rPr>
          <w:rFonts w:cs="Times New Roman"/>
          <w:sz w:val="22"/>
          <w:lang w:val="en-US"/>
        </w:rPr>
        <w:t>New York: Oxford University Press</w:t>
      </w:r>
    </w:p>
    <w:p>
      <w:pPr>
        <w:pStyle w:val="Normal"/>
        <w:spacing w:lineRule="auto" w:line="240"/>
        <w:ind w:left="709" w:right="0" w:hanging="709"/>
        <w:rPr/>
      </w:pPr>
      <w:r>
        <w:rPr>
          <w:rFonts w:cs="Times New Roman"/>
          <w:color w:val="000000"/>
          <w:sz w:val="22"/>
          <w:lang w:val="en-US"/>
        </w:rPr>
        <w:t xml:space="preserve">Mishler, W. &amp; Rose, R. (2001). What are the origins of political trust? Testing institutional and cultural theories in post-communist societies. </w:t>
      </w:r>
      <w:r>
        <w:rPr>
          <w:rFonts w:cs="Times New Roman"/>
          <w:i/>
          <w:iCs/>
          <w:color w:val="000000"/>
          <w:sz w:val="22"/>
          <w:lang w:val="en-US"/>
        </w:rPr>
        <w:t>Comparative Political Studies 34</w:t>
      </w:r>
      <w:r>
        <w:rPr>
          <w:rFonts w:cs="Times New Roman"/>
          <w:color w:val="000000"/>
          <w:sz w:val="22"/>
          <w:lang w:val="en-US"/>
        </w:rPr>
        <w:t>(1): s. 30–62.</w:t>
      </w:r>
    </w:p>
    <w:p>
      <w:pPr>
        <w:pStyle w:val="Normal"/>
        <w:spacing w:lineRule="auto" w:line="240"/>
        <w:ind w:left="709" w:right="0" w:hanging="709"/>
        <w:rPr/>
      </w:pPr>
      <w:r>
        <w:rPr>
          <w:rFonts w:cs="Times New Roman"/>
          <w:color w:val="000000"/>
          <w:sz w:val="22"/>
          <w:shd w:fill="FFFFFF" w:val="clear"/>
          <w:lang w:val="en-US"/>
        </w:rPr>
        <w:t>Mukherjee, B. (2006a). Does third-party enforcement or domestic institutions promote enduring peace after civil wars? Policy lessons from an empirical test. </w:t>
      </w:r>
      <w:r>
        <w:rPr>
          <w:rFonts w:cs="Times New Roman"/>
          <w:i/>
          <w:iCs/>
          <w:color w:val="000000"/>
          <w:sz w:val="22"/>
          <w:shd w:fill="FFFFFF" w:val="clear"/>
          <w:lang w:val="en-US"/>
        </w:rPr>
        <w:t>Foreign Policy Analysis</w:t>
      </w:r>
      <w:r>
        <w:rPr>
          <w:rFonts w:cs="Times New Roman"/>
          <w:color w:val="000000"/>
          <w:sz w:val="22"/>
          <w:shd w:fill="FFFFFF" w:val="clear"/>
          <w:lang w:val="en-US"/>
        </w:rPr>
        <w:t>, </w:t>
      </w:r>
      <w:r>
        <w:rPr>
          <w:rFonts w:cs="Times New Roman"/>
          <w:i/>
          <w:iCs/>
          <w:color w:val="000000"/>
          <w:sz w:val="22"/>
          <w:shd w:fill="FFFFFF" w:val="clear"/>
          <w:lang w:val="en-US"/>
        </w:rPr>
        <w:t>2</w:t>
      </w:r>
      <w:r>
        <w:rPr>
          <w:rFonts w:cs="Times New Roman"/>
          <w:color w:val="000000"/>
          <w:sz w:val="22"/>
          <w:shd w:fill="FFFFFF" w:val="clear"/>
          <w:lang w:val="en-US"/>
        </w:rPr>
        <w:t>(4), 405-430.</w:t>
      </w:r>
    </w:p>
    <w:p>
      <w:pPr>
        <w:pStyle w:val="Normal"/>
        <w:spacing w:lineRule="auto" w:line="240"/>
        <w:ind w:left="709" w:right="0" w:hanging="709"/>
        <w:rPr/>
      </w:pPr>
      <w:r>
        <w:rPr>
          <w:sz w:val="22"/>
          <w:szCs w:val="20"/>
          <w:shd w:fill="FFFFFF" w:val="clear"/>
          <w:lang w:val="en-US"/>
        </w:rPr>
        <w:t>Mukherjee, B. (2006b). Why political power-sharing agreements lead to enduring peaceful resolution of some civil wars, but not others?. </w:t>
      </w:r>
      <w:r>
        <w:rPr>
          <w:i/>
          <w:iCs/>
          <w:sz w:val="22"/>
          <w:szCs w:val="20"/>
          <w:shd w:fill="FFFFFF" w:val="clear"/>
          <w:lang w:val="en-US"/>
        </w:rPr>
        <w:t>International studies quarterly</w:t>
      </w:r>
      <w:r>
        <w:rPr>
          <w:sz w:val="22"/>
          <w:szCs w:val="20"/>
          <w:shd w:fill="FFFFFF" w:val="clear"/>
          <w:lang w:val="en-US"/>
        </w:rPr>
        <w:t>, </w:t>
      </w:r>
      <w:r>
        <w:rPr>
          <w:i/>
          <w:iCs/>
          <w:sz w:val="22"/>
          <w:szCs w:val="20"/>
          <w:shd w:fill="FFFFFF" w:val="clear"/>
          <w:lang w:val="en-US"/>
        </w:rPr>
        <w:t>50</w:t>
      </w:r>
      <w:r>
        <w:rPr>
          <w:sz w:val="22"/>
          <w:szCs w:val="20"/>
          <w:shd w:fill="FFFFFF" w:val="clear"/>
          <w:lang w:val="en-US"/>
        </w:rPr>
        <w:t>(2), 479-504.</w:t>
      </w:r>
    </w:p>
    <w:p>
      <w:pPr>
        <w:pStyle w:val="Normal"/>
        <w:spacing w:lineRule="auto" w:line="240"/>
        <w:ind w:left="709" w:right="0" w:hanging="709"/>
        <w:rPr/>
      </w:pPr>
      <w:r>
        <w:rPr>
          <w:sz w:val="22"/>
          <w:szCs w:val="20"/>
          <w:shd w:fill="FFFFFF" w:val="clear"/>
          <w:lang w:val="en-US"/>
        </w:rPr>
        <w:t>Nafziger, E. W. (2006). Development, inequality, and war in Africa. </w:t>
      </w:r>
      <w:r>
        <w:rPr>
          <w:i/>
          <w:iCs/>
          <w:sz w:val="22"/>
          <w:szCs w:val="20"/>
          <w:shd w:fill="FFFFFF" w:val="clear"/>
          <w:lang w:val="en-US"/>
        </w:rPr>
        <w:t>The Economics of Peace and Security Journal</w:t>
      </w:r>
      <w:r>
        <w:rPr>
          <w:sz w:val="22"/>
          <w:szCs w:val="20"/>
          <w:shd w:fill="FFFFFF" w:val="clear"/>
          <w:lang w:val="en-US"/>
        </w:rPr>
        <w:t>, </w:t>
      </w:r>
      <w:r>
        <w:rPr>
          <w:i/>
          <w:iCs/>
          <w:sz w:val="22"/>
          <w:szCs w:val="20"/>
          <w:shd w:fill="FFFFFF" w:val="clear"/>
          <w:lang w:val="en-US"/>
        </w:rPr>
        <w:t>1</w:t>
      </w:r>
      <w:r>
        <w:rPr>
          <w:sz w:val="22"/>
          <w:szCs w:val="20"/>
          <w:shd w:fill="FFFFFF" w:val="clear"/>
          <w:lang w:val="en-US"/>
        </w:rPr>
        <w:t>(1), 14-19.</w:t>
      </w:r>
    </w:p>
    <w:p>
      <w:pPr>
        <w:pStyle w:val="Normal"/>
        <w:spacing w:lineRule="auto" w:line="240" w:before="0" w:after="0"/>
        <w:ind w:left="709" w:right="0" w:hanging="709"/>
        <w:rPr/>
      </w:pPr>
      <w:r>
        <w:rPr>
          <w:rFonts w:cs="Times New Roman"/>
          <w:sz w:val="22"/>
          <w:lang w:val="en-US"/>
        </w:rPr>
        <w:t xml:space="preserve">Newton, K. (2007). </w:t>
      </w:r>
      <w:r>
        <w:rPr>
          <w:rFonts w:cs="Times New Roman"/>
          <w:i/>
          <w:iCs/>
          <w:sz w:val="22"/>
          <w:lang w:val="en-US"/>
        </w:rPr>
        <w:t>Social and political trust. In Dalton, Russell J and Klingemann</w:t>
      </w:r>
      <w:r>
        <w:rPr>
          <w:rFonts w:cs="Times New Roman"/>
          <w:sz w:val="22"/>
          <w:lang w:val="en-US"/>
        </w:rPr>
        <w:t>,</w:t>
      </w:r>
    </w:p>
    <w:p>
      <w:pPr>
        <w:pStyle w:val="Normal"/>
        <w:spacing w:lineRule="auto" w:line="240"/>
        <w:ind w:left="709" w:right="0" w:hanging="1"/>
        <w:rPr/>
      </w:pPr>
      <w:r>
        <w:rPr>
          <w:rFonts w:cs="Times New Roman"/>
          <w:sz w:val="22"/>
          <w:lang w:val="en-US"/>
        </w:rPr>
        <w:t xml:space="preserve">Hans-Dieter (ed) </w:t>
      </w:r>
      <w:r>
        <w:rPr>
          <w:rFonts w:cs="Times New Roman"/>
          <w:i/>
          <w:iCs/>
          <w:sz w:val="22"/>
          <w:lang w:val="en-US"/>
        </w:rPr>
        <w:t>Oxford Handbook of Political Behavior</w:t>
      </w:r>
      <w:r>
        <w:rPr>
          <w:rFonts w:cs="Times New Roman"/>
          <w:sz w:val="22"/>
          <w:lang w:val="en-US"/>
        </w:rPr>
        <w:t>, Oxford: Oxford University Press.</w:t>
      </w:r>
    </w:p>
    <w:p>
      <w:pPr>
        <w:pStyle w:val="Normal"/>
        <w:spacing w:lineRule="auto" w:line="240"/>
        <w:ind w:left="709" w:right="0" w:hanging="709"/>
        <w:rPr/>
      </w:pPr>
      <w:r>
        <w:rPr>
          <w:sz w:val="22"/>
          <w:szCs w:val="20"/>
          <w:shd w:fill="FFFFFF" w:val="clear"/>
        </w:rPr>
        <w:t xml:space="preserve">Nilsson, D. &amp; Söderberg K. M. (2011). </w:t>
      </w:r>
      <w:r>
        <w:rPr>
          <w:sz w:val="22"/>
          <w:szCs w:val="20"/>
          <w:shd w:fill="FFFFFF" w:val="clear"/>
          <w:lang w:val="en-US"/>
        </w:rPr>
        <w:t>Revisiting an elusive concept: A review of the debate on spoilers in peace processes. </w:t>
      </w:r>
      <w:r>
        <w:rPr>
          <w:i/>
          <w:iCs/>
          <w:sz w:val="22"/>
          <w:szCs w:val="20"/>
          <w:shd w:fill="FFFFFF" w:val="clear"/>
          <w:lang w:val="en-US"/>
        </w:rPr>
        <w:t>International Studies Review</w:t>
      </w:r>
      <w:r>
        <w:rPr>
          <w:sz w:val="22"/>
          <w:szCs w:val="20"/>
          <w:shd w:fill="FFFFFF" w:val="clear"/>
          <w:lang w:val="en-US"/>
        </w:rPr>
        <w:t>, </w:t>
      </w:r>
      <w:r>
        <w:rPr>
          <w:i/>
          <w:iCs/>
          <w:sz w:val="22"/>
          <w:szCs w:val="20"/>
          <w:shd w:fill="FFFFFF" w:val="clear"/>
          <w:lang w:val="en-US"/>
        </w:rPr>
        <w:t>13</w:t>
      </w:r>
      <w:r>
        <w:rPr>
          <w:sz w:val="22"/>
          <w:szCs w:val="20"/>
          <w:shd w:fill="FFFFFF" w:val="clear"/>
          <w:lang w:val="en-US"/>
        </w:rPr>
        <w:t>(4), 606-626.</w:t>
      </w:r>
    </w:p>
    <w:p>
      <w:pPr>
        <w:pStyle w:val="Normal"/>
        <w:spacing w:lineRule="auto" w:line="240"/>
        <w:ind w:left="709" w:right="0" w:hanging="709"/>
        <w:rPr/>
      </w:pPr>
      <w:r>
        <w:rPr>
          <w:rFonts w:cs="Times New Roman"/>
          <w:color w:val="000000"/>
          <w:sz w:val="22"/>
          <w:shd w:fill="FFFFFF" w:val="clear"/>
          <w:lang w:val="en-US"/>
        </w:rPr>
        <w:t>Norris, P. (2008). Driving democracy. </w:t>
      </w:r>
      <w:r>
        <w:rPr>
          <w:rFonts w:cs="Times New Roman"/>
          <w:i/>
          <w:iCs/>
          <w:color w:val="000000"/>
          <w:sz w:val="22"/>
          <w:shd w:fill="FFFFFF" w:val="clear"/>
          <w:lang w:val="en-US"/>
        </w:rPr>
        <w:t>Do Power-Sharing Institutions Work</w:t>
      </w:r>
      <w:r>
        <w:rPr>
          <w:rFonts w:cs="Times New Roman"/>
          <w:color w:val="000000"/>
          <w:sz w:val="22"/>
          <w:shd w:fill="FFFFFF" w:val="clear"/>
          <w:lang w:val="en-US"/>
        </w:rPr>
        <w:t>, 29-50.</w:t>
      </w:r>
    </w:p>
    <w:p>
      <w:pPr>
        <w:pStyle w:val="Normal"/>
        <w:spacing w:lineRule="auto" w:line="240" w:before="0" w:after="0"/>
        <w:ind w:left="709" w:right="0" w:hanging="709"/>
        <w:rPr>
          <w:rFonts w:cs="Times New Roman"/>
          <w:sz w:val="22"/>
          <w:lang w:val="en-US"/>
        </w:rPr>
      </w:pPr>
      <w:r>
        <w:rPr>
          <w:rFonts w:cs="Times New Roman"/>
          <w:sz w:val="22"/>
          <w:lang w:val="en-US"/>
        </w:rPr>
        <w:t>Ocan, C. (1992). Pastoralism and Crisis in North-Eastern Uganda: Factors that have</w:t>
      </w:r>
    </w:p>
    <w:p>
      <w:pPr>
        <w:pStyle w:val="Normal"/>
        <w:spacing w:lineRule="auto" w:line="240" w:before="0" w:after="0"/>
        <w:ind w:left="709" w:right="0" w:hanging="1"/>
        <w:rPr>
          <w:rFonts w:cs="Times New Roman"/>
          <w:sz w:val="22"/>
          <w:lang w:val="en-US"/>
        </w:rPr>
      </w:pPr>
      <w:r>
        <w:rPr>
          <w:rFonts w:cs="Times New Roman"/>
          <w:sz w:val="22"/>
          <w:lang w:val="en-US"/>
        </w:rPr>
        <w:t>determined social change in karamoja. Working paper No. 20, Centre for Basic Research,</w:t>
      </w:r>
    </w:p>
    <w:p>
      <w:pPr>
        <w:pStyle w:val="Normal"/>
        <w:spacing w:lineRule="auto" w:line="240"/>
        <w:ind w:left="709" w:right="0" w:hanging="1"/>
        <w:rPr>
          <w:rFonts w:cs="Times New Roman"/>
          <w:sz w:val="22"/>
          <w:lang w:val="en-US"/>
        </w:rPr>
      </w:pPr>
      <w:r>
        <w:rPr>
          <w:rFonts w:cs="Times New Roman"/>
          <w:sz w:val="22"/>
          <w:lang w:val="en-US"/>
        </w:rPr>
        <w:t>Kampala</w:t>
      </w:r>
    </w:p>
    <w:p>
      <w:pPr>
        <w:pStyle w:val="Normal"/>
        <w:spacing w:lineRule="auto" w:line="240"/>
        <w:ind w:left="709" w:right="0" w:hanging="709"/>
        <w:rPr/>
      </w:pPr>
      <w:r>
        <w:rPr>
          <w:rFonts w:cs="Times New Roman"/>
          <w:sz w:val="22"/>
          <w:shd w:fill="FFFFFF" w:val="clear"/>
          <w:lang w:val="en-US"/>
        </w:rPr>
        <w:t>Ottaway, M. (2003). Promoting democracy after conflict: The difficult choices. </w:t>
      </w:r>
      <w:r>
        <w:rPr>
          <w:rFonts w:cs="Times New Roman"/>
          <w:i/>
          <w:iCs/>
          <w:sz w:val="22"/>
          <w:shd w:fill="FFFFFF" w:val="clear"/>
          <w:lang w:val="en-US"/>
        </w:rPr>
        <w:t>International Studies Perspectives</w:t>
      </w:r>
      <w:r>
        <w:rPr>
          <w:rFonts w:cs="Times New Roman"/>
          <w:sz w:val="22"/>
          <w:shd w:fill="FFFFFF" w:val="clear"/>
          <w:lang w:val="en-US"/>
        </w:rPr>
        <w:t>, </w:t>
      </w:r>
      <w:r>
        <w:rPr>
          <w:rFonts w:cs="Times New Roman"/>
          <w:i/>
          <w:iCs/>
          <w:sz w:val="22"/>
          <w:shd w:fill="FFFFFF" w:val="clear"/>
          <w:lang w:val="en-US"/>
        </w:rPr>
        <w:t>4</w:t>
      </w:r>
      <w:r>
        <w:rPr>
          <w:rFonts w:cs="Times New Roman"/>
          <w:sz w:val="22"/>
          <w:shd w:fill="FFFFFF" w:val="clear"/>
          <w:lang w:val="en-US"/>
        </w:rPr>
        <w:t>(3), 314-322.</w:t>
      </w:r>
    </w:p>
    <w:p>
      <w:pPr>
        <w:pStyle w:val="Normal"/>
        <w:spacing w:lineRule="auto" w:line="240"/>
        <w:ind w:left="709" w:right="0" w:hanging="709"/>
        <w:rPr/>
      </w:pPr>
      <w:r>
        <w:rPr>
          <w:rFonts w:cs="Times New Roman"/>
          <w:color w:val="000000"/>
          <w:sz w:val="22"/>
          <w:shd w:fill="FFFFFF" w:val="clear"/>
          <w:lang w:val="en-US"/>
        </w:rPr>
        <w:t>Ottmann, M., &amp; Vüllers, J. (2014). The Power-Sharing Event Dataset (PSED): A new dataset on the promises and practices of power-sharing in post-conflict countries. </w:t>
      </w:r>
      <w:r>
        <w:rPr>
          <w:rFonts w:cs="Times New Roman"/>
          <w:i/>
          <w:iCs/>
          <w:color w:val="000000"/>
          <w:sz w:val="22"/>
          <w:shd w:fill="FFFFFF" w:val="clear"/>
          <w:lang w:val="en-US"/>
        </w:rPr>
        <w:t>Conflict Management and Peace Science</w:t>
      </w:r>
      <w:r>
        <w:rPr>
          <w:rFonts w:cs="Times New Roman"/>
          <w:color w:val="000000"/>
          <w:sz w:val="22"/>
          <w:shd w:fill="FFFFFF" w:val="clear"/>
          <w:lang w:val="en-US"/>
        </w:rPr>
        <w:t>, </w:t>
      </w:r>
      <w:r>
        <w:rPr>
          <w:rFonts w:cs="Times New Roman"/>
          <w:i/>
          <w:iCs/>
          <w:color w:val="000000"/>
          <w:sz w:val="22"/>
          <w:shd w:fill="FFFFFF" w:val="clear"/>
          <w:lang w:val="en-US"/>
        </w:rPr>
        <w:t>32</w:t>
      </w:r>
      <w:r>
        <w:rPr>
          <w:rFonts w:cs="Times New Roman"/>
          <w:color w:val="000000"/>
          <w:sz w:val="22"/>
          <w:shd w:fill="FFFFFF" w:val="clear"/>
          <w:lang w:val="en-US"/>
        </w:rPr>
        <w:t>(3), 327-350.</w:t>
      </w:r>
    </w:p>
    <w:p>
      <w:pPr>
        <w:pStyle w:val="Normal"/>
        <w:spacing w:lineRule="auto" w:line="240"/>
        <w:ind w:left="709" w:right="0" w:hanging="709"/>
        <w:rPr/>
      </w:pPr>
      <w:r>
        <w:rPr>
          <w:rFonts w:cs="Times New Roman"/>
          <w:color w:val="000000"/>
          <w:sz w:val="22"/>
          <w:shd w:fill="FFFFFF" w:val="clear"/>
          <w:lang w:val="en-US"/>
        </w:rPr>
        <w:t xml:space="preserve">Ottmann, M. &amp; Vüllers, J. (2015). Power-Sharing Event Dataset (PSED). </w:t>
      </w:r>
      <w:r>
        <w:rPr>
          <w:rFonts w:cs="Times New Roman"/>
          <w:i/>
          <w:iCs/>
          <w:color w:val="000000"/>
          <w:sz w:val="22"/>
          <w:shd w:fill="FFFFFF" w:val="clear"/>
          <w:lang w:val="en-US"/>
        </w:rPr>
        <w:t>Harvard Dataverse, V1.</w:t>
      </w:r>
      <w:r>
        <w:rPr>
          <w:rFonts w:cs="Times New Roman"/>
          <w:color w:val="000000"/>
          <w:sz w:val="22"/>
          <w:shd w:fill="FFFFFF" w:val="clear"/>
          <w:lang w:val="en-US"/>
        </w:rPr>
        <w:t xml:space="preserve"> Hentet fra: </w:t>
      </w:r>
      <w:hyperlink r:id="rId12">
        <w:r>
          <w:rPr>
            <w:rStyle w:val="InternetLink"/>
            <w:rFonts w:cs="Times New Roman"/>
            <w:sz w:val="22"/>
            <w:shd w:fill="FFFFFF" w:val="clear"/>
            <w:lang w:val="en-US"/>
          </w:rPr>
          <w:t>https://doi.org/10.7910/DVN/29657</w:t>
        </w:r>
      </w:hyperlink>
      <w:r>
        <w:rPr>
          <w:rFonts w:cs="Times New Roman"/>
          <w:color w:val="000000"/>
          <w:sz w:val="22"/>
          <w:shd w:fill="FFFFFF" w:val="clear"/>
          <w:lang w:val="en-US"/>
        </w:rPr>
        <w:t xml:space="preserve"> </w:t>
      </w:r>
    </w:p>
    <w:p>
      <w:pPr>
        <w:pStyle w:val="Normal"/>
        <w:spacing w:lineRule="auto" w:line="240"/>
        <w:ind w:left="709" w:right="0" w:hanging="709"/>
        <w:rPr/>
      </w:pPr>
      <w:r>
        <w:rPr>
          <w:rFonts w:cs="Times New Roman"/>
          <w:color w:val="000000"/>
          <w:sz w:val="22"/>
          <w:lang w:val="en-US"/>
        </w:rPr>
        <w:t xml:space="preserve">Peace Agreements Database (2021). </w:t>
      </w:r>
      <w:r>
        <w:rPr>
          <w:rFonts w:cs="Times New Roman"/>
          <w:i/>
          <w:iCs/>
          <w:color w:val="000000"/>
          <w:sz w:val="22"/>
          <w:lang w:val="en-US"/>
        </w:rPr>
        <w:t>The University of Edinburgh</w:t>
      </w:r>
      <w:r>
        <w:rPr>
          <w:rFonts w:cs="Times New Roman"/>
          <w:color w:val="000000"/>
          <w:sz w:val="22"/>
          <w:lang w:val="en-US"/>
        </w:rPr>
        <w:t xml:space="preserve">. </w:t>
      </w:r>
      <w:r>
        <w:rPr>
          <w:rFonts w:cs="Times New Roman"/>
          <w:color w:val="000000"/>
          <w:sz w:val="22"/>
        </w:rPr>
        <w:t xml:space="preserve">Hentet fra: </w:t>
      </w:r>
      <w:hyperlink r:id="rId13">
        <w:r>
          <w:rPr>
            <w:rStyle w:val="InternetLink"/>
            <w:rFonts w:cs="Times New Roman"/>
            <w:sz w:val="22"/>
          </w:rPr>
          <w:t>https://www.peaceagreements.org/</w:t>
        </w:r>
      </w:hyperlink>
      <w:r>
        <w:rPr>
          <w:rFonts w:cs="Times New Roman"/>
          <w:color w:val="000000"/>
          <w:sz w:val="22"/>
        </w:rPr>
        <w:t xml:space="preserve"> </w:t>
      </w:r>
    </w:p>
    <w:p>
      <w:pPr>
        <w:pStyle w:val="Normal"/>
        <w:spacing w:lineRule="auto" w:line="240"/>
        <w:ind w:left="709" w:right="0" w:hanging="709"/>
        <w:rPr>
          <w:rFonts w:cs="Times New Roman"/>
          <w:color w:val="000000"/>
          <w:sz w:val="22"/>
          <w:lang w:val="en-US"/>
        </w:rPr>
      </w:pPr>
      <w:r>
        <w:rPr>
          <w:rFonts w:cs="Times New Roman"/>
          <w:color w:val="000000"/>
          <w:sz w:val="22"/>
          <w:lang w:val="en-US"/>
        </w:rPr>
        <w:t>Posner D. (2005). Institutions and Ethnic Politics in Africa. Cambridge, UK: Cambridge Univ. Press</w:t>
      </w:r>
    </w:p>
    <w:p>
      <w:pPr>
        <w:pStyle w:val="Normal"/>
        <w:spacing w:lineRule="auto" w:line="240"/>
        <w:ind w:left="709" w:right="0" w:hanging="709"/>
        <w:rPr>
          <w:rFonts w:cs="Times New Roman"/>
          <w:sz w:val="22"/>
          <w:lang w:val="en-US"/>
        </w:rPr>
      </w:pPr>
      <w:r>
        <w:rPr>
          <w:rFonts w:cs="Times New Roman"/>
          <w:sz w:val="22"/>
          <w:lang w:val="en-US"/>
        </w:rPr>
        <w:t>Putnam, R. D., Leonardi, R. &amp; Nanetti, R. Y. (1993). Making Democracy Work. Princeton, NJ: Princeton University Press.</w:t>
      </w:r>
    </w:p>
    <w:p>
      <w:pPr>
        <w:pStyle w:val="Normal"/>
        <w:spacing w:lineRule="auto" w:line="240"/>
        <w:ind w:left="709" w:right="0" w:hanging="709"/>
        <w:rPr/>
      </w:pPr>
      <w:r>
        <w:rPr>
          <w:rFonts w:cs="Times New Roman"/>
          <w:color w:val="000000"/>
          <w:sz w:val="22"/>
          <w:shd w:fill="FFFFFF" w:val="clear"/>
          <w:lang w:val="en-US"/>
        </w:rPr>
        <w:t>Reardon, B. A. (1996). </w:t>
      </w:r>
      <w:r>
        <w:rPr>
          <w:rFonts w:cs="Times New Roman"/>
          <w:i/>
          <w:iCs/>
          <w:color w:val="000000"/>
          <w:sz w:val="22"/>
          <w:shd w:fill="FFFFFF" w:val="clear"/>
          <w:lang w:val="en-US"/>
        </w:rPr>
        <w:t>Sexism and the war system</w:t>
      </w:r>
      <w:r>
        <w:rPr>
          <w:rFonts w:cs="Times New Roman"/>
          <w:color w:val="000000"/>
          <w:sz w:val="22"/>
          <w:shd w:fill="FFFFFF" w:val="clear"/>
          <w:lang w:val="en-US"/>
        </w:rPr>
        <w:t>. Syracuse University Press.</w:t>
      </w:r>
    </w:p>
    <w:p>
      <w:pPr>
        <w:pStyle w:val="Normal"/>
        <w:spacing w:lineRule="auto" w:line="240"/>
        <w:ind w:left="709" w:right="0" w:hanging="709"/>
        <w:rPr/>
      </w:pPr>
      <w:r>
        <w:rPr>
          <w:rFonts w:cs="Times New Roman"/>
          <w:sz w:val="22"/>
          <w:lang w:val="en-US"/>
        </w:rPr>
        <w:t xml:space="preserve">Ridley, M. (1997). </w:t>
      </w:r>
      <w:r>
        <w:rPr>
          <w:rFonts w:cs="Times New Roman"/>
          <w:i/>
          <w:iCs/>
          <w:sz w:val="22"/>
          <w:lang w:val="en-US"/>
        </w:rPr>
        <w:t>The Origins of Virtues: Human Instincts and the Evolution of Cooperation.</w:t>
      </w:r>
      <w:r>
        <w:rPr>
          <w:rFonts w:cs="Times New Roman"/>
          <w:sz w:val="22"/>
          <w:lang w:val="en-US"/>
        </w:rPr>
        <w:t xml:space="preserve"> New York: Viking.</w:t>
      </w:r>
    </w:p>
    <w:p>
      <w:pPr>
        <w:pStyle w:val="Normal"/>
        <w:spacing w:lineRule="auto" w:line="240"/>
        <w:ind w:left="709" w:right="0" w:hanging="709"/>
        <w:rPr/>
      </w:pPr>
      <w:r>
        <w:rPr>
          <w:rFonts w:cs="Times New Roman"/>
          <w:sz w:val="22"/>
          <w:szCs w:val="20"/>
          <w:lang w:val="en-US"/>
        </w:rPr>
        <w:t xml:space="preserve">Ringdal, K. (2018). </w:t>
      </w:r>
      <w:r>
        <w:rPr>
          <w:rFonts w:cs="Times New Roman"/>
          <w:i/>
          <w:sz w:val="22"/>
          <w:szCs w:val="20"/>
          <w:lang w:val="en-US"/>
        </w:rPr>
        <w:t xml:space="preserve">Enhet og mangfold. </w:t>
      </w:r>
      <w:r>
        <w:rPr>
          <w:rFonts w:cs="Times New Roman"/>
          <w:sz w:val="22"/>
          <w:szCs w:val="20"/>
          <w:lang w:val="en-US"/>
        </w:rPr>
        <w:t>Bergen: Fagbokforlaget.</w:t>
      </w:r>
    </w:p>
    <w:p>
      <w:pPr>
        <w:pStyle w:val="Normal"/>
        <w:spacing w:lineRule="auto" w:line="240"/>
        <w:ind w:left="709" w:right="0" w:hanging="709"/>
        <w:rPr>
          <w:sz w:val="22"/>
          <w:szCs w:val="20"/>
          <w:shd w:fill="FFFFFF" w:val="clear"/>
          <w:lang w:val="en-US"/>
        </w:rPr>
      </w:pPr>
      <w:r>
        <w:rPr>
          <w:sz w:val="22"/>
          <w:szCs w:val="20"/>
          <w:shd w:fill="FFFFFF" w:val="clear"/>
          <w:lang w:val="en-US"/>
        </w:rPr>
        <w:t>Robinson, B. R. (2003). Income inequality and ethnicity: an international view. Presentert ved 27. General Conference of the International Association for Research in Income and Wealth, Stockholm, Sverige, August 18 – 24, 2002.</w:t>
      </w:r>
    </w:p>
    <w:p>
      <w:pPr>
        <w:pStyle w:val="Normal"/>
        <w:spacing w:lineRule="auto" w:line="240"/>
        <w:ind w:left="709" w:right="0" w:hanging="709"/>
        <w:rPr/>
      </w:pPr>
      <w:r>
        <w:rPr>
          <w:rFonts w:cs="Times New Roman"/>
          <w:color w:val="000000"/>
          <w:sz w:val="22"/>
          <w:shd w:fill="FFFFFF" w:val="clear"/>
          <w:lang w:val="en-US"/>
        </w:rPr>
        <w:t>Roeder, P. G., &amp; Rothchild, D. S. (Eds.). (2005). </w:t>
      </w:r>
      <w:r>
        <w:rPr>
          <w:rFonts w:cs="Times New Roman"/>
          <w:i/>
          <w:iCs/>
          <w:color w:val="000000"/>
          <w:sz w:val="22"/>
          <w:shd w:fill="FFFFFF" w:val="clear"/>
          <w:lang w:val="en-US"/>
        </w:rPr>
        <w:t>Sustainable peace: Power and democracy after civil wars</w:t>
      </w:r>
      <w:r>
        <w:rPr>
          <w:rFonts w:cs="Times New Roman"/>
          <w:color w:val="000000"/>
          <w:sz w:val="22"/>
          <w:shd w:fill="FFFFFF" w:val="clear"/>
          <w:lang w:val="en-US"/>
        </w:rPr>
        <w:t>. Cornell University Press</w:t>
      </w:r>
      <w:r>
        <w:rPr>
          <w:rFonts w:cs="Times New Roman"/>
          <w:color w:val="222222"/>
          <w:sz w:val="22"/>
          <w:shd w:fill="FFFFFF" w:val="clear"/>
          <w:lang w:val="en-US"/>
        </w:rPr>
        <w:t>.</w:t>
      </w:r>
    </w:p>
    <w:p>
      <w:pPr>
        <w:pStyle w:val="Normal"/>
        <w:spacing w:lineRule="auto" w:line="240"/>
        <w:ind w:left="709" w:right="0" w:hanging="709"/>
        <w:rPr/>
      </w:pPr>
      <w:r>
        <w:rPr>
          <w:rFonts w:cs="Times New Roman"/>
          <w:sz w:val="22"/>
          <w:lang w:val="en-US"/>
        </w:rPr>
        <w:t xml:space="preserve">Rooney, S. (2015). Why Power Sharing? Toward a Rational Theory. </w:t>
      </w:r>
      <w:r>
        <w:rPr>
          <w:rFonts w:cs="Times New Roman"/>
          <w:i/>
          <w:iCs/>
          <w:sz w:val="22"/>
          <w:lang w:val="en-US"/>
        </w:rPr>
        <w:t>Working paper</w:t>
      </w:r>
    </w:p>
    <w:p>
      <w:pPr>
        <w:pStyle w:val="Normal"/>
        <w:spacing w:lineRule="auto" w:line="240"/>
        <w:ind w:left="709" w:right="0" w:hanging="709"/>
        <w:rPr/>
      </w:pPr>
      <w:r>
        <w:rPr>
          <w:rFonts w:cs="Times New Roman"/>
          <w:color w:val="000000"/>
          <w:sz w:val="22"/>
          <w:shd w:fill="FFFFFF" w:val="clear"/>
          <w:lang w:val="en-US"/>
        </w:rPr>
        <w:t>Sacks, A., &amp; Larizza, M. (2012). Why quality matters: rebuilding trustworthy local government in post-conflict Sierra Leone. </w:t>
      </w:r>
      <w:r>
        <w:rPr>
          <w:rFonts w:cs="Times New Roman"/>
          <w:i/>
          <w:iCs/>
          <w:color w:val="000000"/>
          <w:sz w:val="22"/>
          <w:shd w:fill="FFFFFF" w:val="clear"/>
          <w:lang w:val="en-US"/>
        </w:rPr>
        <w:t>World Bank Policy Research Working Paper</w:t>
      </w:r>
      <w:r>
        <w:rPr>
          <w:rFonts w:cs="Times New Roman"/>
          <w:color w:val="000000"/>
          <w:sz w:val="22"/>
          <w:shd w:fill="FFFFFF" w:val="clear"/>
          <w:lang w:val="en-US"/>
        </w:rPr>
        <w:t>, (6021).</w:t>
      </w:r>
    </w:p>
    <w:p>
      <w:pPr>
        <w:pStyle w:val="Normal"/>
        <w:spacing w:lineRule="auto" w:line="240"/>
        <w:ind w:left="709" w:right="0" w:hanging="709"/>
        <w:rPr/>
      </w:pPr>
      <w:r>
        <w:rPr>
          <w:sz w:val="22"/>
          <w:szCs w:val="20"/>
          <w:shd w:fill="FFFFFF" w:val="clear"/>
          <w:lang w:val="en-US"/>
        </w:rPr>
        <w:t>Sandovici, M. E., &amp; Listhaug, O. (2010). Ethnic and linguistic minorities and political participation in Europe. </w:t>
      </w:r>
      <w:r>
        <w:rPr>
          <w:i/>
          <w:iCs/>
          <w:sz w:val="22"/>
          <w:szCs w:val="20"/>
          <w:shd w:fill="FFFFFF" w:val="clear"/>
          <w:lang w:val="en-US"/>
        </w:rPr>
        <w:t>International Journal of Comparative Sociology</w:t>
      </w:r>
      <w:r>
        <w:rPr>
          <w:sz w:val="22"/>
          <w:szCs w:val="20"/>
          <w:shd w:fill="FFFFFF" w:val="clear"/>
          <w:lang w:val="en-US"/>
        </w:rPr>
        <w:t>, </w:t>
      </w:r>
      <w:r>
        <w:rPr>
          <w:i/>
          <w:iCs/>
          <w:sz w:val="22"/>
          <w:szCs w:val="20"/>
          <w:shd w:fill="FFFFFF" w:val="clear"/>
          <w:lang w:val="en-US"/>
        </w:rPr>
        <w:t>51</w:t>
      </w:r>
      <w:r>
        <w:rPr>
          <w:sz w:val="22"/>
          <w:szCs w:val="20"/>
          <w:shd w:fill="FFFFFF" w:val="clear"/>
          <w:lang w:val="en-US"/>
        </w:rPr>
        <w:t>(1-2), 111-136.</w:t>
      </w:r>
    </w:p>
    <w:p>
      <w:pPr>
        <w:pStyle w:val="Normal"/>
        <w:spacing w:lineRule="auto" w:line="240"/>
        <w:ind w:left="709" w:right="0" w:hanging="709"/>
        <w:rPr/>
      </w:pPr>
      <w:r>
        <w:rPr>
          <w:sz w:val="22"/>
          <w:szCs w:val="20"/>
          <w:shd w:fill="FFFFFF" w:val="clear"/>
          <w:lang w:val="en-US"/>
        </w:rPr>
        <w:t xml:space="preserve">Schech, S. B., &amp; Alwy, A. (2004). Ethnic inequalities in education in Kenya. </w:t>
      </w:r>
      <w:r>
        <w:rPr>
          <w:i/>
          <w:iCs/>
          <w:sz w:val="22"/>
          <w:szCs w:val="20"/>
          <w:shd w:fill="FFFFFF" w:val="clear"/>
          <w:lang w:val="en-US"/>
        </w:rPr>
        <w:t>International Education Journal, 5</w:t>
      </w:r>
      <w:r>
        <w:rPr>
          <w:sz w:val="22"/>
          <w:szCs w:val="20"/>
          <w:shd w:fill="FFFFFF" w:val="clear"/>
          <w:lang w:val="en-US"/>
        </w:rPr>
        <w:t>(2), 266-274.</w:t>
      </w:r>
    </w:p>
    <w:p>
      <w:pPr>
        <w:pStyle w:val="Normal"/>
        <w:spacing w:lineRule="auto" w:line="240"/>
        <w:ind w:left="709" w:right="0" w:hanging="709"/>
        <w:rPr/>
      </w:pPr>
      <w:r>
        <w:rPr>
          <w:sz w:val="22"/>
          <w:szCs w:val="20"/>
          <w:lang w:val="en-US"/>
        </w:rPr>
        <w:t xml:space="preserve">Schoon, I., &amp; Cheng, H. (2011). Determinants of political trust: A lifetime learning model. </w:t>
      </w:r>
      <w:r>
        <w:rPr>
          <w:i/>
          <w:iCs/>
          <w:sz w:val="22"/>
          <w:szCs w:val="20"/>
          <w:lang w:val="en-US"/>
        </w:rPr>
        <w:t>Developmental psychology</w:t>
      </w:r>
      <w:r>
        <w:rPr>
          <w:sz w:val="22"/>
          <w:szCs w:val="20"/>
          <w:lang w:val="en-US"/>
        </w:rPr>
        <w:t xml:space="preserve">, </w:t>
      </w:r>
      <w:r>
        <w:rPr>
          <w:i/>
          <w:iCs/>
          <w:sz w:val="22"/>
          <w:szCs w:val="20"/>
          <w:lang w:val="en-US"/>
        </w:rPr>
        <w:t>47</w:t>
      </w:r>
      <w:r>
        <w:rPr>
          <w:sz w:val="22"/>
          <w:szCs w:val="20"/>
          <w:lang w:val="en-US"/>
        </w:rPr>
        <w:t xml:space="preserve">(3), 619-631. Hentet fra: </w:t>
      </w:r>
      <w:hyperlink r:id="rId14">
        <w:r>
          <w:rPr>
            <w:rStyle w:val="InternetLink"/>
            <w:sz w:val="22"/>
            <w:szCs w:val="20"/>
            <w:lang w:val="en-US"/>
          </w:rPr>
          <w:t>https://doi.org/10.1037/a0021817</w:t>
        </w:r>
      </w:hyperlink>
      <w:r>
        <w:rPr>
          <w:sz w:val="22"/>
          <w:szCs w:val="20"/>
          <w:lang w:val="en-US"/>
        </w:rPr>
        <w:t xml:space="preserve"> </w:t>
      </w:r>
    </w:p>
    <w:p>
      <w:pPr>
        <w:pStyle w:val="Normal"/>
        <w:spacing w:lineRule="auto" w:line="240"/>
        <w:ind w:left="709" w:right="0" w:hanging="709"/>
        <w:rPr/>
      </w:pPr>
      <w:r>
        <w:rPr>
          <w:rFonts w:cs="Times New Roman"/>
          <w:sz w:val="22"/>
          <w:szCs w:val="20"/>
          <w:shd w:fill="FFFFFF" w:val="clear"/>
          <w:lang w:val="en-US"/>
        </w:rPr>
        <w:t>Shabaya, J. &amp; Konadu‐Agyemang, K. (2004). Unequal access, unequal participation: some spatial and socio‐economic dimensions of the gender gap in education in Africa with special reference to Ghana, Zimbabwe and Kenya. </w:t>
      </w:r>
      <w:r>
        <w:rPr>
          <w:rFonts w:cs="Times New Roman"/>
          <w:i/>
          <w:iCs/>
          <w:sz w:val="22"/>
          <w:szCs w:val="20"/>
          <w:shd w:fill="FFFFFF" w:val="clear"/>
          <w:lang w:val="en-US"/>
        </w:rPr>
        <w:t>Compare: A Journal of Comparative and International Education</w:t>
      </w:r>
      <w:r>
        <w:rPr>
          <w:rFonts w:cs="Times New Roman"/>
          <w:sz w:val="22"/>
          <w:szCs w:val="20"/>
          <w:shd w:fill="FFFFFF" w:val="clear"/>
          <w:lang w:val="en-US"/>
        </w:rPr>
        <w:t>, </w:t>
      </w:r>
      <w:r>
        <w:rPr>
          <w:rFonts w:cs="Times New Roman"/>
          <w:i/>
          <w:iCs/>
          <w:sz w:val="22"/>
          <w:szCs w:val="20"/>
          <w:shd w:fill="FFFFFF" w:val="clear"/>
          <w:lang w:val="en-US"/>
        </w:rPr>
        <w:t>34</w:t>
      </w:r>
      <w:r>
        <w:rPr>
          <w:rFonts w:cs="Times New Roman"/>
          <w:sz w:val="22"/>
          <w:szCs w:val="20"/>
          <w:shd w:fill="FFFFFF" w:val="clear"/>
          <w:lang w:val="en-US"/>
        </w:rPr>
        <w:t>(4), 395-424.</w:t>
      </w:r>
    </w:p>
    <w:p>
      <w:pPr>
        <w:pStyle w:val="Normal"/>
        <w:spacing w:lineRule="auto" w:line="240"/>
        <w:ind w:left="709" w:right="0" w:hanging="709"/>
        <w:rPr/>
      </w:pPr>
      <w:r>
        <w:rPr>
          <w:rFonts w:cs="Times New Roman"/>
          <w:sz w:val="22"/>
          <w:shd w:fill="FFFFFF" w:val="clear"/>
          <w:lang w:val="en-US"/>
        </w:rPr>
        <w:t>Senior, P. A., &amp; Bhopal, R. (1994). Ethnicity as a variable in epidemiological research. </w:t>
      </w:r>
      <w:r>
        <w:rPr>
          <w:rFonts w:cs="Times New Roman"/>
          <w:i/>
          <w:iCs/>
          <w:sz w:val="22"/>
          <w:shd w:fill="FFFFFF" w:val="clear"/>
          <w:lang w:val="en-US"/>
        </w:rPr>
        <w:t>Bmj</w:t>
      </w:r>
      <w:r>
        <w:rPr>
          <w:rFonts w:cs="Times New Roman"/>
          <w:sz w:val="22"/>
          <w:shd w:fill="FFFFFF" w:val="clear"/>
          <w:lang w:val="en-US"/>
        </w:rPr>
        <w:t>, </w:t>
      </w:r>
      <w:r>
        <w:rPr>
          <w:rFonts w:cs="Times New Roman"/>
          <w:i/>
          <w:iCs/>
          <w:sz w:val="22"/>
          <w:shd w:fill="FFFFFF" w:val="clear"/>
          <w:lang w:val="en-US"/>
        </w:rPr>
        <w:t>309</w:t>
      </w:r>
      <w:r>
        <w:rPr>
          <w:rFonts w:cs="Times New Roman"/>
          <w:sz w:val="22"/>
          <w:shd w:fill="FFFFFF" w:val="clear"/>
          <w:lang w:val="en-US"/>
        </w:rPr>
        <w:t>(6950), 327-330.</w:t>
      </w:r>
    </w:p>
    <w:p>
      <w:pPr>
        <w:pStyle w:val="Normal"/>
        <w:spacing w:lineRule="auto" w:line="240"/>
        <w:ind w:left="709" w:right="0" w:hanging="709"/>
        <w:rPr/>
      </w:pPr>
      <w:r>
        <w:rPr>
          <w:sz w:val="22"/>
          <w:szCs w:val="20"/>
          <w:lang w:val="en-US"/>
        </w:rPr>
        <w:t xml:space="preserve">Skog, O. J. (2017). </w:t>
      </w:r>
      <w:r>
        <w:rPr>
          <w:i/>
          <w:iCs/>
          <w:sz w:val="22"/>
          <w:szCs w:val="20"/>
          <w:lang w:val="en-US"/>
        </w:rPr>
        <w:t>Å Forklare Sosiale Fenomener</w:t>
      </w:r>
      <w:r>
        <w:rPr>
          <w:sz w:val="22"/>
          <w:szCs w:val="20"/>
          <w:lang w:val="en-US"/>
        </w:rPr>
        <w:t>. Oslo: Gyldendal Akademisk.</w:t>
      </w:r>
    </w:p>
    <w:p>
      <w:pPr>
        <w:pStyle w:val="Normal"/>
        <w:spacing w:lineRule="auto" w:line="240"/>
        <w:ind w:left="709" w:right="0" w:hanging="709"/>
        <w:rPr/>
      </w:pPr>
      <w:r>
        <w:rPr>
          <w:sz w:val="22"/>
          <w:lang w:val="en-US"/>
        </w:rPr>
        <w:t xml:space="preserve">Snijders, T. A. &amp; Bosker, R. J. (2012). </w:t>
      </w:r>
      <w:r>
        <w:rPr>
          <w:i/>
          <w:iCs/>
          <w:sz w:val="22"/>
          <w:lang w:val="en-US"/>
        </w:rPr>
        <w:t>Multilevel Analysis. An Introduction to Basic and Advanced Multilevel Modeling</w:t>
      </w:r>
      <w:r>
        <w:rPr>
          <w:sz w:val="22"/>
          <w:lang w:val="en-US"/>
        </w:rPr>
        <w:t>. 2</w:t>
      </w:r>
      <w:r>
        <w:rPr>
          <w:sz w:val="14"/>
          <w:szCs w:val="14"/>
          <w:lang w:val="en-US"/>
        </w:rPr>
        <w:t xml:space="preserve">nd </w:t>
      </w:r>
      <w:r>
        <w:rPr>
          <w:sz w:val="22"/>
          <w:lang w:val="en-US"/>
        </w:rPr>
        <w:t>Edition. Sage Publication.</w:t>
      </w:r>
    </w:p>
    <w:p>
      <w:pPr>
        <w:pStyle w:val="Normal"/>
        <w:spacing w:lineRule="auto" w:line="240"/>
        <w:ind w:left="709" w:right="0" w:hanging="709"/>
        <w:rPr/>
      </w:pPr>
      <w:r>
        <w:rPr>
          <w:rFonts w:cs="Times New Roman"/>
          <w:color w:val="000000"/>
          <w:sz w:val="22"/>
          <w:shd w:fill="FFFFFF" w:val="clear"/>
          <w:lang w:val="en-US"/>
        </w:rPr>
        <w:t>Spears, I. S. (2000). Understanding inclusive peace agreements in Africa: the problems of sharing power. </w:t>
      </w:r>
      <w:r>
        <w:rPr>
          <w:rFonts w:cs="Times New Roman"/>
          <w:i/>
          <w:iCs/>
          <w:color w:val="000000"/>
          <w:sz w:val="22"/>
          <w:shd w:fill="FFFFFF" w:val="clear"/>
          <w:lang w:val="en-US"/>
        </w:rPr>
        <w:t>Third World Quarterly</w:t>
      </w:r>
      <w:r>
        <w:rPr>
          <w:rFonts w:cs="Times New Roman"/>
          <w:color w:val="000000"/>
          <w:sz w:val="22"/>
          <w:shd w:fill="FFFFFF" w:val="clear"/>
          <w:lang w:val="en-US"/>
        </w:rPr>
        <w:t>, </w:t>
      </w:r>
      <w:r>
        <w:rPr>
          <w:rFonts w:cs="Times New Roman"/>
          <w:i/>
          <w:iCs/>
          <w:color w:val="000000"/>
          <w:sz w:val="22"/>
          <w:shd w:fill="FFFFFF" w:val="clear"/>
          <w:lang w:val="en-US"/>
        </w:rPr>
        <w:t>21</w:t>
      </w:r>
      <w:r>
        <w:rPr>
          <w:rFonts w:cs="Times New Roman"/>
          <w:color w:val="000000"/>
          <w:sz w:val="22"/>
          <w:shd w:fill="FFFFFF" w:val="clear"/>
          <w:lang w:val="en-US"/>
        </w:rPr>
        <w:t>(1), 105-118.</w:t>
      </w:r>
    </w:p>
    <w:p>
      <w:pPr>
        <w:pStyle w:val="Normal"/>
        <w:spacing w:lineRule="auto" w:line="240"/>
        <w:ind w:left="709" w:right="0" w:hanging="709"/>
        <w:rPr/>
      </w:pPr>
      <w:r>
        <w:rPr>
          <w:rFonts w:cs="Times New Roman"/>
          <w:color w:val="000000"/>
          <w:sz w:val="22"/>
          <w:shd w:fill="FFFFFF" w:val="clear"/>
          <w:lang w:val="en-US"/>
        </w:rPr>
        <w:t>Spears, I. S. (2002). Africa: the limits of power-sharing. </w:t>
      </w:r>
      <w:r>
        <w:rPr>
          <w:rFonts w:cs="Times New Roman"/>
          <w:i/>
          <w:iCs/>
          <w:color w:val="000000"/>
          <w:sz w:val="22"/>
          <w:shd w:fill="FFFFFF" w:val="clear"/>
          <w:lang w:val="en-US"/>
        </w:rPr>
        <w:t>Journal of Democracy</w:t>
      </w:r>
      <w:r>
        <w:rPr>
          <w:rFonts w:cs="Times New Roman"/>
          <w:color w:val="000000"/>
          <w:sz w:val="22"/>
          <w:shd w:fill="FFFFFF" w:val="clear"/>
          <w:lang w:val="en-US"/>
        </w:rPr>
        <w:t>, </w:t>
      </w:r>
      <w:r>
        <w:rPr>
          <w:rFonts w:cs="Times New Roman"/>
          <w:i/>
          <w:iCs/>
          <w:color w:val="000000"/>
          <w:sz w:val="22"/>
          <w:shd w:fill="FFFFFF" w:val="clear"/>
          <w:lang w:val="en-US"/>
        </w:rPr>
        <w:t>13</w:t>
      </w:r>
      <w:r>
        <w:rPr>
          <w:rFonts w:cs="Times New Roman"/>
          <w:color w:val="000000"/>
          <w:sz w:val="22"/>
          <w:shd w:fill="FFFFFF" w:val="clear"/>
          <w:lang w:val="en-US"/>
        </w:rPr>
        <w:t>(3), 123-136.</w:t>
      </w:r>
    </w:p>
    <w:p>
      <w:pPr>
        <w:pStyle w:val="Normal"/>
        <w:spacing w:lineRule="auto" w:line="240"/>
        <w:ind w:left="709" w:right="0" w:hanging="709"/>
        <w:rPr/>
      </w:pPr>
      <w:r>
        <w:rPr>
          <w:rFonts w:cs="Times New Roman"/>
          <w:color w:val="000000"/>
          <w:sz w:val="22"/>
          <w:shd w:fill="FFFFFF" w:val="clear"/>
          <w:lang w:val="en-US"/>
        </w:rPr>
        <w:t>Sriram, C. L., &amp; Zahar, M. J. (2009). The perils of power-sharing: Africa and beyond. </w:t>
      </w:r>
      <w:r>
        <w:rPr>
          <w:rFonts w:cs="Times New Roman"/>
          <w:i/>
          <w:iCs/>
          <w:color w:val="000000"/>
          <w:sz w:val="22"/>
          <w:shd w:fill="FFFFFF" w:val="clear"/>
          <w:lang w:val="en-US"/>
        </w:rPr>
        <w:t>Africa Spectrum</w:t>
      </w:r>
      <w:r>
        <w:rPr>
          <w:rFonts w:cs="Times New Roman"/>
          <w:color w:val="000000"/>
          <w:sz w:val="22"/>
          <w:shd w:fill="FFFFFF" w:val="clear"/>
          <w:lang w:val="en-US"/>
        </w:rPr>
        <w:t>, </w:t>
      </w:r>
      <w:r>
        <w:rPr>
          <w:rFonts w:cs="Times New Roman"/>
          <w:i/>
          <w:iCs/>
          <w:color w:val="000000"/>
          <w:sz w:val="22"/>
          <w:shd w:fill="FFFFFF" w:val="clear"/>
          <w:lang w:val="en-US"/>
        </w:rPr>
        <w:t>44</w:t>
      </w:r>
      <w:r>
        <w:rPr>
          <w:rFonts w:cs="Times New Roman"/>
          <w:color w:val="000000"/>
          <w:sz w:val="22"/>
          <w:shd w:fill="FFFFFF" w:val="clear"/>
          <w:lang w:val="en-US"/>
        </w:rPr>
        <w:t>(3), 11-39.</w:t>
      </w:r>
    </w:p>
    <w:p>
      <w:pPr>
        <w:pStyle w:val="Normal"/>
        <w:spacing w:lineRule="auto" w:line="240"/>
        <w:ind w:left="709" w:right="0" w:hanging="709"/>
        <w:rPr/>
      </w:pPr>
      <w:r>
        <w:rPr>
          <w:sz w:val="22"/>
          <w:shd w:fill="FFFFFF" w:val="clear"/>
          <w:lang w:val="en-US"/>
        </w:rPr>
        <w:t>Staniland, P. (2015). Militias, ideology, and the state. </w:t>
      </w:r>
      <w:r>
        <w:rPr>
          <w:i/>
          <w:iCs/>
          <w:sz w:val="22"/>
          <w:shd w:fill="FFFFFF" w:val="clear"/>
          <w:lang w:val="en-US"/>
        </w:rPr>
        <w:t>Journal of Conflict Resolution</w:t>
      </w:r>
      <w:r>
        <w:rPr>
          <w:sz w:val="22"/>
          <w:shd w:fill="FFFFFF" w:val="clear"/>
          <w:lang w:val="en-US"/>
        </w:rPr>
        <w:t>, </w:t>
      </w:r>
      <w:r>
        <w:rPr>
          <w:i/>
          <w:iCs/>
          <w:sz w:val="22"/>
          <w:shd w:fill="FFFFFF" w:val="clear"/>
          <w:lang w:val="en-US"/>
        </w:rPr>
        <w:t>59</w:t>
      </w:r>
      <w:r>
        <w:rPr>
          <w:sz w:val="22"/>
          <w:shd w:fill="FFFFFF" w:val="clear"/>
          <w:lang w:val="en-US"/>
        </w:rPr>
        <w:t>(5), 770-793.</w:t>
      </w:r>
    </w:p>
    <w:p>
      <w:pPr>
        <w:pStyle w:val="Normal"/>
        <w:spacing w:lineRule="auto" w:line="240"/>
        <w:ind w:left="709" w:right="0" w:hanging="709"/>
        <w:rPr/>
      </w:pPr>
      <w:r>
        <w:rPr>
          <w:color w:val="000000"/>
          <w:sz w:val="22"/>
          <w:szCs w:val="20"/>
          <w:shd w:fill="FFFFFF" w:val="clear"/>
          <w:lang w:val="en-US"/>
        </w:rPr>
        <w:t>Stasavage, D. (2005). Democracy and education spending in Africa. </w:t>
      </w:r>
      <w:r>
        <w:rPr>
          <w:i/>
          <w:iCs/>
          <w:color w:val="000000"/>
          <w:sz w:val="22"/>
          <w:szCs w:val="20"/>
          <w:shd w:fill="FFFFFF" w:val="clear"/>
          <w:lang w:val="en-US"/>
        </w:rPr>
        <w:t>American journal of political science</w:t>
      </w:r>
      <w:r>
        <w:rPr>
          <w:color w:val="000000"/>
          <w:sz w:val="22"/>
          <w:szCs w:val="20"/>
          <w:shd w:fill="FFFFFF" w:val="clear"/>
          <w:lang w:val="en-US"/>
        </w:rPr>
        <w:t>, </w:t>
      </w:r>
      <w:r>
        <w:rPr>
          <w:i/>
          <w:iCs/>
          <w:color w:val="000000"/>
          <w:sz w:val="22"/>
          <w:szCs w:val="20"/>
          <w:shd w:fill="FFFFFF" w:val="clear"/>
          <w:lang w:val="en-US"/>
        </w:rPr>
        <w:t>49</w:t>
      </w:r>
      <w:r>
        <w:rPr>
          <w:color w:val="000000"/>
          <w:sz w:val="22"/>
          <w:szCs w:val="20"/>
          <w:shd w:fill="FFFFFF" w:val="clear"/>
          <w:lang w:val="en-US"/>
        </w:rPr>
        <w:t>(2), 343-358.</w:t>
      </w:r>
    </w:p>
    <w:p>
      <w:pPr>
        <w:pStyle w:val="Normal"/>
        <w:spacing w:lineRule="auto" w:line="240"/>
        <w:ind w:left="709" w:right="0" w:hanging="709"/>
        <w:rPr/>
      </w:pPr>
      <w:r>
        <w:rPr>
          <w:sz w:val="22"/>
          <w:szCs w:val="20"/>
          <w:shd w:fill="FFFFFF" w:val="clear"/>
          <w:lang w:val="en-US"/>
        </w:rPr>
        <w:t>Stedman, S. J. (1991). </w:t>
      </w:r>
      <w:r>
        <w:rPr>
          <w:i/>
          <w:iCs/>
          <w:sz w:val="22"/>
          <w:szCs w:val="20"/>
          <w:shd w:fill="FFFFFF" w:val="clear"/>
          <w:lang w:val="en-US"/>
        </w:rPr>
        <w:t>Peacemaking in civil war: International mediation in Zimbabwe, 1974-1980.</w:t>
      </w:r>
      <w:r>
        <w:rPr>
          <w:sz w:val="22"/>
          <w:szCs w:val="20"/>
          <w:shd w:fill="FFFFFF" w:val="clear"/>
          <w:lang w:val="en-US"/>
        </w:rPr>
        <w:t xml:space="preserve"> Boulder, CO: L. Rienner Publishers.</w:t>
      </w:r>
    </w:p>
    <w:p>
      <w:pPr>
        <w:pStyle w:val="Normal"/>
        <w:spacing w:lineRule="auto" w:line="240"/>
        <w:ind w:left="709" w:right="0" w:hanging="709"/>
        <w:rPr/>
      </w:pPr>
      <w:r>
        <w:rPr>
          <w:sz w:val="22"/>
          <w:shd w:fill="FFFFFF" w:val="clear"/>
          <w:lang w:val="en-US"/>
        </w:rPr>
        <w:t xml:space="preserve">Stedman, S. J. (1997). Spoiler problems in peace processes. </w:t>
      </w:r>
      <w:r>
        <w:rPr>
          <w:i/>
          <w:iCs/>
          <w:sz w:val="22"/>
          <w:shd w:fill="FFFFFF" w:val="clear"/>
          <w:lang w:val="en-US"/>
        </w:rPr>
        <w:t>International security, 22</w:t>
      </w:r>
      <w:r>
        <w:rPr>
          <w:sz w:val="22"/>
          <w:shd w:fill="FFFFFF" w:val="clear"/>
          <w:lang w:val="en-US"/>
        </w:rPr>
        <w:t>(2), 5-53.</w:t>
      </w:r>
    </w:p>
    <w:p>
      <w:pPr>
        <w:pStyle w:val="Normal"/>
        <w:spacing w:lineRule="auto" w:line="240"/>
        <w:ind w:left="709" w:right="0" w:hanging="709"/>
        <w:rPr/>
      </w:pPr>
      <w:r>
        <w:rPr>
          <w:sz w:val="22"/>
          <w:szCs w:val="20"/>
          <w:shd w:fill="FFFFFF" w:val="clear"/>
          <w:lang w:val="en-US"/>
        </w:rPr>
        <w:t>Stedman, S. J. (2003). Peace processes and the challenges of violence. Kapittel i </w:t>
      </w:r>
      <w:r>
        <w:rPr>
          <w:i/>
          <w:iCs/>
          <w:sz w:val="22"/>
          <w:szCs w:val="20"/>
          <w:shd w:fill="FFFFFF" w:val="clear"/>
          <w:lang w:val="en-US"/>
        </w:rPr>
        <w:t>Contemporary Peacemaking</w:t>
      </w:r>
      <w:r>
        <w:rPr>
          <w:sz w:val="22"/>
          <w:szCs w:val="20"/>
          <w:shd w:fill="FFFFFF" w:val="clear"/>
          <w:lang w:val="en-US"/>
        </w:rPr>
        <w:t> (s. 103-113). Palgrave Macmillan, London.</w:t>
      </w:r>
    </w:p>
    <w:p>
      <w:pPr>
        <w:pStyle w:val="Normal"/>
        <w:spacing w:lineRule="auto" w:line="240"/>
        <w:ind w:left="709" w:right="0" w:hanging="709"/>
        <w:rPr/>
      </w:pPr>
      <w:r>
        <w:rPr>
          <w:rFonts w:cs="Times New Roman"/>
          <w:color w:val="000000"/>
          <w:sz w:val="22"/>
          <w:lang w:val="en-US"/>
        </w:rPr>
        <w:t xml:space="preserve">Stokes, D. E. (1962). </w:t>
      </w:r>
      <w:r>
        <w:rPr>
          <w:rFonts w:cs="Times New Roman"/>
          <w:i/>
          <w:iCs/>
          <w:color w:val="000000"/>
          <w:sz w:val="22"/>
          <w:lang w:val="en-US"/>
        </w:rPr>
        <w:t>Popular evaluations of government: An empirical assessment</w:t>
      </w:r>
      <w:r>
        <w:rPr>
          <w:rFonts w:cs="Times New Roman"/>
          <w:color w:val="000000"/>
          <w:sz w:val="22"/>
          <w:lang w:val="en-US"/>
        </w:rPr>
        <w:t>. In: Harlan Cleveland &amp; Harold D Lasswell (eds) Ethics and Bigness: Scientific, Academic, Religious, Political, and Military. New York: Harper &amp; Brothers, 61–72.</w:t>
      </w:r>
    </w:p>
    <w:p>
      <w:pPr>
        <w:pStyle w:val="Normal"/>
        <w:spacing w:lineRule="auto" w:line="240"/>
        <w:ind w:left="709" w:right="0" w:hanging="709"/>
        <w:rPr/>
      </w:pPr>
      <w:r>
        <w:rPr>
          <w:rFonts w:cs="Times New Roman"/>
          <w:color w:val="000000"/>
          <w:sz w:val="22"/>
          <w:shd w:fill="FFFFFF" w:val="clear"/>
          <w:lang w:val="en-US"/>
        </w:rPr>
        <w:t>Stoyan, A. T., Niedzwiecki, S., Morgan, J., Hartlyn, J. &amp; Espinal, R. (</w:t>
      </w:r>
      <w:r>
        <w:rPr>
          <w:rStyle w:val="Nlmyear"/>
          <w:rFonts w:cs="Times New Roman"/>
          <w:color w:val="000000"/>
          <w:sz w:val="22"/>
          <w:shd w:fill="FFFFFF" w:val="clear"/>
          <w:lang w:val="en-US"/>
        </w:rPr>
        <w:t>2016</w:t>
      </w:r>
      <w:r>
        <w:rPr>
          <w:rFonts w:cs="Times New Roman"/>
          <w:color w:val="000000"/>
          <w:sz w:val="22"/>
          <w:shd w:fill="FFFFFF" w:val="clear"/>
          <w:lang w:val="en-US"/>
        </w:rPr>
        <w:t>). </w:t>
      </w:r>
      <w:r>
        <w:rPr>
          <w:rStyle w:val="Nlmarticletitle"/>
          <w:rFonts w:cs="Times New Roman"/>
          <w:color w:val="000000"/>
          <w:sz w:val="22"/>
          <w:shd w:fill="FFFFFF" w:val="clear"/>
          <w:lang w:val="en-US"/>
        </w:rPr>
        <w:t>Trust in government institutions: The effects of performance and participation in the Dominican Republic and Haiti</w:t>
      </w:r>
      <w:r>
        <w:rPr>
          <w:rFonts w:cs="Times New Roman"/>
          <w:color w:val="000000"/>
          <w:sz w:val="22"/>
          <w:shd w:fill="FFFFFF" w:val="clear"/>
          <w:lang w:val="en-US"/>
        </w:rPr>
        <w:t>. International Political Science Review 37(1): </w:t>
      </w:r>
      <w:r>
        <w:rPr>
          <w:rStyle w:val="Nlmfpage"/>
          <w:rFonts w:cs="Times New Roman"/>
          <w:color w:val="000000"/>
          <w:sz w:val="22"/>
          <w:shd w:fill="FFFFFF" w:val="clear"/>
          <w:lang w:val="en-US"/>
        </w:rPr>
        <w:t>18</w:t>
      </w:r>
      <w:r>
        <w:rPr>
          <w:rFonts w:cs="Times New Roman"/>
          <w:color w:val="000000"/>
          <w:sz w:val="22"/>
          <w:shd w:fill="FFFFFF" w:val="clear"/>
          <w:lang w:val="en-US"/>
        </w:rPr>
        <w:t>–</w:t>
      </w:r>
      <w:r>
        <w:rPr>
          <w:rStyle w:val="Nlmlpage"/>
          <w:rFonts w:cs="Times New Roman"/>
          <w:color w:val="000000"/>
          <w:sz w:val="22"/>
          <w:shd w:fill="FFFFFF" w:val="clear"/>
          <w:lang w:val="en-US"/>
        </w:rPr>
        <w:t>35</w:t>
      </w:r>
      <w:r>
        <w:rPr>
          <w:rFonts w:cs="Times New Roman"/>
          <w:color w:val="000000"/>
          <w:sz w:val="22"/>
          <w:shd w:fill="FFFFFF" w:val="clear"/>
          <w:lang w:val="en-US"/>
        </w:rPr>
        <w:t>.</w:t>
      </w:r>
    </w:p>
    <w:p>
      <w:pPr>
        <w:pStyle w:val="Normal"/>
        <w:spacing w:lineRule="auto" w:line="240"/>
        <w:ind w:left="709" w:right="0" w:hanging="709"/>
        <w:rPr/>
      </w:pPr>
      <w:r>
        <w:rPr>
          <w:sz w:val="22"/>
          <w:szCs w:val="20"/>
          <w:shd w:fill="FFFFFF" w:val="clear"/>
          <w:lang w:val="en-US"/>
        </w:rPr>
        <w:t>Svensson, I. (2007). Bargaining, bias and peace brokers: How rebels commit to peace. </w:t>
      </w:r>
      <w:r>
        <w:rPr>
          <w:i/>
          <w:iCs/>
          <w:sz w:val="22"/>
          <w:szCs w:val="20"/>
          <w:shd w:fill="FFFFFF" w:val="clear"/>
          <w:lang w:val="en-US"/>
        </w:rPr>
        <w:t>Journal of Peace Research</w:t>
      </w:r>
      <w:r>
        <w:rPr>
          <w:sz w:val="22"/>
          <w:szCs w:val="20"/>
          <w:shd w:fill="FFFFFF" w:val="clear"/>
          <w:lang w:val="en-US"/>
        </w:rPr>
        <w:t>, </w:t>
      </w:r>
      <w:r>
        <w:rPr>
          <w:i/>
          <w:iCs/>
          <w:sz w:val="22"/>
          <w:szCs w:val="20"/>
          <w:shd w:fill="FFFFFF" w:val="clear"/>
          <w:lang w:val="en-US"/>
        </w:rPr>
        <w:t>44</w:t>
      </w:r>
      <w:r>
        <w:rPr>
          <w:sz w:val="22"/>
          <w:szCs w:val="20"/>
          <w:shd w:fill="FFFFFF" w:val="clear"/>
          <w:lang w:val="en-US"/>
        </w:rPr>
        <w:t>(2), 177-194.</w:t>
      </w:r>
    </w:p>
    <w:p>
      <w:pPr>
        <w:pStyle w:val="Normal"/>
        <w:spacing w:lineRule="auto" w:line="240"/>
        <w:ind w:left="709" w:right="0" w:hanging="709"/>
        <w:rPr/>
      </w:pPr>
      <w:r>
        <w:rPr>
          <w:sz w:val="22"/>
          <w:szCs w:val="20"/>
          <w:shd w:fill="FFFFFF" w:val="clear"/>
          <w:lang w:val="en-US"/>
        </w:rPr>
        <w:t>Thomas, D. (1996). Education across generations in South Africa. </w:t>
      </w:r>
      <w:r>
        <w:rPr>
          <w:i/>
          <w:iCs/>
          <w:sz w:val="22"/>
          <w:szCs w:val="20"/>
          <w:shd w:fill="FFFFFF" w:val="clear"/>
          <w:lang w:val="en-US"/>
        </w:rPr>
        <w:t>The American Economic Review</w:t>
      </w:r>
      <w:r>
        <w:rPr>
          <w:sz w:val="22"/>
          <w:szCs w:val="20"/>
          <w:shd w:fill="FFFFFF" w:val="clear"/>
          <w:lang w:val="en-US"/>
        </w:rPr>
        <w:t>, </w:t>
      </w:r>
      <w:r>
        <w:rPr>
          <w:i/>
          <w:iCs/>
          <w:sz w:val="22"/>
          <w:szCs w:val="20"/>
          <w:shd w:fill="FFFFFF" w:val="clear"/>
          <w:lang w:val="en-US"/>
        </w:rPr>
        <w:t>86</w:t>
      </w:r>
      <w:r>
        <w:rPr>
          <w:sz w:val="22"/>
          <w:szCs w:val="20"/>
          <w:shd w:fill="FFFFFF" w:val="clear"/>
          <w:lang w:val="en-US"/>
        </w:rPr>
        <w:t>(2), 330-334.</w:t>
      </w:r>
    </w:p>
    <w:p>
      <w:pPr>
        <w:pStyle w:val="Normal"/>
        <w:spacing w:lineRule="auto" w:line="240"/>
        <w:ind w:left="709" w:right="0" w:hanging="709"/>
        <w:rPr/>
      </w:pPr>
      <w:r>
        <w:rPr>
          <w:rFonts w:cs="Times New Roman"/>
          <w:color w:val="000000"/>
          <w:sz w:val="22"/>
          <w:shd w:fill="FFFFFF" w:val="clear"/>
          <w:lang w:val="en-US"/>
        </w:rPr>
        <w:t>Tripp, A. M. (2015). </w:t>
      </w:r>
      <w:r>
        <w:rPr>
          <w:rFonts w:cs="Times New Roman"/>
          <w:i/>
          <w:iCs/>
          <w:color w:val="000000"/>
          <w:sz w:val="22"/>
          <w:shd w:fill="FFFFFF" w:val="clear"/>
          <w:lang w:val="en-US"/>
        </w:rPr>
        <w:t>Women and power in post-conflict Africa</w:t>
      </w:r>
      <w:r>
        <w:rPr>
          <w:rFonts w:cs="Times New Roman"/>
          <w:color w:val="000000"/>
          <w:sz w:val="22"/>
          <w:shd w:fill="FFFFFF" w:val="clear"/>
          <w:lang w:val="en-US"/>
        </w:rPr>
        <w:t>. Cambridge University Press.</w:t>
      </w:r>
    </w:p>
    <w:p>
      <w:pPr>
        <w:pStyle w:val="Normal"/>
        <w:spacing w:lineRule="auto" w:line="240"/>
        <w:ind w:left="709" w:right="0" w:hanging="709"/>
        <w:rPr/>
      </w:pPr>
      <w:r>
        <w:rPr>
          <w:sz w:val="22"/>
          <w:szCs w:val="20"/>
          <w:shd w:fill="FFFFFF" w:val="clear"/>
          <w:lang w:val="en-US"/>
        </w:rPr>
        <w:t>Tripp, A. M. (2016). Women's movements and constitution making after civil unrest and conflict in Africa: the cases of Kenya and Somalia. </w:t>
      </w:r>
      <w:r>
        <w:rPr>
          <w:i/>
          <w:iCs/>
          <w:sz w:val="22"/>
          <w:szCs w:val="20"/>
          <w:shd w:fill="FFFFFF" w:val="clear"/>
          <w:lang w:val="en-US"/>
        </w:rPr>
        <w:t>Politics &amp; gender</w:t>
      </w:r>
      <w:r>
        <w:rPr>
          <w:sz w:val="22"/>
          <w:szCs w:val="20"/>
          <w:shd w:fill="FFFFFF" w:val="clear"/>
          <w:lang w:val="en-US"/>
        </w:rPr>
        <w:t>, </w:t>
      </w:r>
      <w:r>
        <w:rPr>
          <w:i/>
          <w:iCs/>
          <w:sz w:val="22"/>
          <w:szCs w:val="20"/>
          <w:shd w:fill="FFFFFF" w:val="clear"/>
          <w:lang w:val="en-US"/>
        </w:rPr>
        <w:t>12</w:t>
      </w:r>
      <w:r>
        <w:rPr>
          <w:sz w:val="22"/>
          <w:szCs w:val="20"/>
          <w:shd w:fill="FFFFFF" w:val="clear"/>
          <w:lang w:val="en-US"/>
        </w:rPr>
        <w:t>(1), 78.</w:t>
      </w:r>
    </w:p>
    <w:p>
      <w:pPr>
        <w:pStyle w:val="Normal"/>
        <w:spacing w:lineRule="auto" w:line="240"/>
        <w:ind w:left="709" w:right="0" w:hanging="709"/>
        <w:rPr/>
      </w:pPr>
      <w:r>
        <w:rPr>
          <w:rFonts w:cs="Times New Roman"/>
          <w:color w:val="000000"/>
          <w:sz w:val="22"/>
          <w:shd w:fill="FFFFFF" w:val="clear"/>
          <w:lang w:val="en-US"/>
        </w:rPr>
        <w:t>Tull, D. M., &amp; Mehler, A. (2005). The hidden costs of power-sharing: Reproducing insurgent violence in Africa. </w:t>
      </w:r>
      <w:r>
        <w:rPr>
          <w:rFonts w:cs="Times New Roman"/>
          <w:i/>
          <w:iCs/>
          <w:color w:val="000000"/>
          <w:sz w:val="22"/>
          <w:shd w:fill="FFFFFF" w:val="clear"/>
          <w:lang w:val="en-US"/>
        </w:rPr>
        <w:t>African affairs</w:t>
      </w:r>
      <w:r>
        <w:rPr>
          <w:rFonts w:cs="Times New Roman"/>
          <w:color w:val="000000"/>
          <w:sz w:val="22"/>
          <w:shd w:fill="FFFFFF" w:val="clear"/>
          <w:lang w:val="en-US"/>
        </w:rPr>
        <w:t>, </w:t>
      </w:r>
      <w:r>
        <w:rPr>
          <w:rFonts w:cs="Times New Roman"/>
          <w:i/>
          <w:iCs/>
          <w:color w:val="000000"/>
          <w:sz w:val="22"/>
          <w:shd w:fill="FFFFFF" w:val="clear"/>
          <w:lang w:val="en-US"/>
        </w:rPr>
        <w:t>104</w:t>
      </w:r>
      <w:r>
        <w:rPr>
          <w:rFonts w:cs="Times New Roman"/>
          <w:color w:val="000000"/>
          <w:sz w:val="22"/>
          <w:shd w:fill="FFFFFF" w:val="clear"/>
          <w:lang w:val="en-US"/>
        </w:rPr>
        <w:t>(416), 375-398.</w:t>
      </w:r>
    </w:p>
    <w:p>
      <w:pPr>
        <w:pStyle w:val="Normal"/>
        <w:spacing w:lineRule="auto" w:line="240"/>
        <w:ind w:left="709" w:right="0" w:hanging="709"/>
        <w:rPr/>
      </w:pPr>
      <w:r>
        <w:rPr>
          <w:rFonts w:cs="Times New Roman"/>
          <w:color w:val="222222"/>
          <w:sz w:val="22"/>
          <w:shd w:fill="FFFFFF" w:val="clear"/>
          <w:lang w:val="en-US"/>
        </w:rPr>
        <w:t>Upreti, B. R., Shivakoti, S., &amp; Bharati, K. (2018). Frustrated and confused: Mapping the socio-political struggles of female ex-combatants in Nepal. </w:t>
      </w:r>
      <w:r>
        <w:rPr>
          <w:rFonts w:cs="Times New Roman"/>
          <w:i/>
          <w:iCs/>
          <w:color w:val="222222"/>
          <w:sz w:val="22"/>
          <w:shd w:fill="FFFFFF" w:val="clear"/>
          <w:lang w:val="en-US"/>
        </w:rPr>
        <w:t>Journal of International Women's Studies</w:t>
      </w:r>
      <w:r>
        <w:rPr>
          <w:rFonts w:cs="Times New Roman"/>
          <w:color w:val="222222"/>
          <w:sz w:val="22"/>
          <w:shd w:fill="FFFFFF" w:val="clear"/>
          <w:lang w:val="en-US"/>
        </w:rPr>
        <w:t>, </w:t>
      </w:r>
      <w:r>
        <w:rPr>
          <w:rFonts w:cs="Times New Roman"/>
          <w:i/>
          <w:iCs/>
          <w:color w:val="222222"/>
          <w:sz w:val="22"/>
          <w:shd w:fill="FFFFFF" w:val="clear"/>
          <w:lang w:val="en-US"/>
        </w:rPr>
        <w:t>19</w:t>
      </w:r>
      <w:r>
        <w:rPr>
          <w:rFonts w:cs="Times New Roman"/>
          <w:color w:val="222222"/>
          <w:sz w:val="22"/>
          <w:shd w:fill="FFFFFF" w:val="clear"/>
          <w:lang w:val="en-US"/>
        </w:rPr>
        <w:t>(4), 32-52.</w:t>
      </w:r>
    </w:p>
    <w:p>
      <w:pPr>
        <w:pStyle w:val="Normal"/>
        <w:spacing w:lineRule="auto" w:line="240"/>
        <w:ind w:left="709" w:right="0" w:hanging="709"/>
        <w:rPr/>
      </w:pPr>
      <w:r>
        <w:rPr>
          <w:sz w:val="22"/>
          <w:szCs w:val="20"/>
          <w:shd w:fill="FFFFFF" w:val="clear"/>
          <w:lang w:val="en-US"/>
        </w:rPr>
        <w:t>Uslaner, E. M. (2017). Political trust, corruption, and inequality. I </w:t>
      </w:r>
      <w:r>
        <w:rPr>
          <w:i/>
          <w:iCs/>
          <w:sz w:val="22"/>
          <w:szCs w:val="20"/>
          <w:shd w:fill="FFFFFF" w:val="clear"/>
          <w:lang w:val="en-US"/>
        </w:rPr>
        <w:t>Handbook on political trust</w:t>
      </w:r>
      <w:r>
        <w:rPr>
          <w:sz w:val="22"/>
          <w:szCs w:val="20"/>
          <w:shd w:fill="FFFFFF" w:val="clear"/>
          <w:lang w:val="en-US"/>
        </w:rPr>
        <w:t>. Cheltenham: Edward Elgar Publishing.</w:t>
      </w:r>
    </w:p>
    <w:p>
      <w:pPr>
        <w:pStyle w:val="Normal"/>
        <w:spacing w:lineRule="auto" w:line="240"/>
        <w:ind w:left="709" w:right="0" w:hanging="709"/>
        <w:rPr/>
      </w:pPr>
      <w:r>
        <w:rPr>
          <w:sz w:val="22"/>
          <w:szCs w:val="20"/>
          <w:lang w:val="en-US"/>
        </w:rPr>
        <w:t xml:space="preserve">Van der Meer, T. &amp; Hakhverdian, A. (2017). Political Trust as the Evaluation of Process and Performance: A Cross-National Study of 42 European Countries. </w:t>
      </w:r>
      <w:r>
        <w:rPr>
          <w:i/>
          <w:iCs/>
          <w:sz w:val="22"/>
          <w:szCs w:val="20"/>
          <w:lang w:val="en-US"/>
        </w:rPr>
        <w:t>Political Studies Association</w:t>
      </w:r>
      <w:r>
        <w:rPr>
          <w:sz w:val="22"/>
          <w:szCs w:val="20"/>
          <w:lang w:val="en-US"/>
        </w:rPr>
        <w:t xml:space="preserve">, </w:t>
      </w:r>
      <w:r>
        <w:rPr>
          <w:i/>
          <w:iCs/>
          <w:sz w:val="22"/>
          <w:szCs w:val="20"/>
          <w:lang w:val="en-US"/>
        </w:rPr>
        <w:t>65</w:t>
      </w:r>
      <w:r>
        <w:rPr>
          <w:sz w:val="22"/>
          <w:szCs w:val="20"/>
          <w:lang w:val="en-US"/>
        </w:rPr>
        <w:t xml:space="preserve">(1), 81-102. Hentet fra: doi.org/10.1177/0032321715607514  </w:t>
      </w:r>
    </w:p>
    <w:p>
      <w:pPr>
        <w:pStyle w:val="Normal"/>
        <w:spacing w:lineRule="auto" w:line="240"/>
        <w:ind w:left="709" w:right="0" w:hanging="709"/>
        <w:rPr/>
      </w:pPr>
      <w:r>
        <w:rPr>
          <w:sz w:val="22"/>
          <w:szCs w:val="20"/>
          <w:shd w:fill="FFFFFF" w:val="clear"/>
          <w:lang w:val="en-US"/>
        </w:rPr>
        <w:t xml:space="preserve">Van der Meer, T. W. (2018). Economic performance and political trust. I </w:t>
      </w:r>
      <w:r>
        <w:rPr>
          <w:i/>
          <w:iCs/>
          <w:sz w:val="22"/>
          <w:szCs w:val="20"/>
          <w:shd w:fill="FFFFFF" w:val="clear"/>
          <w:lang w:val="en-US"/>
        </w:rPr>
        <w:t>The Oxford handbook of social and political trust</w:t>
      </w:r>
      <w:r>
        <w:rPr>
          <w:sz w:val="22"/>
          <w:szCs w:val="20"/>
          <w:shd w:fill="FFFFFF" w:val="clear"/>
          <w:lang w:val="en-US"/>
        </w:rPr>
        <w:t>, s. 599-616.</w:t>
      </w:r>
    </w:p>
    <w:p>
      <w:pPr>
        <w:pStyle w:val="Normal"/>
        <w:spacing w:lineRule="auto" w:line="240"/>
        <w:ind w:left="709" w:right="0" w:hanging="709"/>
        <w:rPr/>
      </w:pPr>
      <w:r>
        <w:rPr>
          <w:rFonts w:cs="Times New Roman"/>
          <w:color w:val="000000"/>
          <w:sz w:val="22"/>
          <w:lang w:val="en-US"/>
        </w:rPr>
        <w:t xml:space="preserve">Varshney A. (2002). Ethnic Conflict and Civic Life. New Haven, CT: Yale Univ. </w:t>
      </w:r>
      <w:r>
        <w:rPr>
          <w:rFonts w:cs="Times New Roman"/>
          <w:color w:val="000000"/>
          <w:sz w:val="22"/>
        </w:rPr>
        <w:t>Press</w:t>
      </w:r>
    </w:p>
    <w:p>
      <w:pPr>
        <w:pStyle w:val="Normal"/>
        <w:spacing w:lineRule="auto" w:line="240"/>
        <w:ind w:left="709" w:right="0" w:hanging="709"/>
        <w:rPr/>
      </w:pPr>
      <w:r>
        <w:rPr>
          <w:rFonts w:cs="Times New Roman"/>
          <w:color w:val="000000"/>
          <w:sz w:val="22"/>
        </w:rPr>
        <w:t xml:space="preserve">Vogt, M., Bormann, N. C., Rüegger, S., Cederman, L. E., Hunziker, P. &amp; Girardin, L. (2015). </w:t>
      </w:r>
      <w:r>
        <w:rPr>
          <w:rFonts w:cs="Times New Roman"/>
          <w:color w:val="000000"/>
          <w:sz w:val="22"/>
          <w:lang w:val="en-US"/>
        </w:rPr>
        <w:t xml:space="preserve">Integrating Data on Ethnicity, Geography, and Conflict: The Ethnic Power Relations Data Set Family. </w:t>
      </w:r>
      <w:r>
        <w:rPr>
          <w:rFonts w:cs="Times New Roman"/>
          <w:i/>
          <w:iCs/>
          <w:color w:val="000000"/>
          <w:sz w:val="22"/>
          <w:lang w:val="en-US"/>
        </w:rPr>
        <w:t>Journal of Conflict Resolution, 59</w:t>
      </w:r>
      <w:r>
        <w:rPr>
          <w:rFonts w:cs="Times New Roman"/>
          <w:color w:val="000000"/>
          <w:sz w:val="22"/>
          <w:lang w:val="en-US"/>
        </w:rPr>
        <w:t>(7): 1327–42.</w:t>
      </w:r>
    </w:p>
    <w:p>
      <w:pPr>
        <w:pStyle w:val="Normal"/>
        <w:spacing w:lineRule="auto" w:line="240" w:before="0" w:after="0"/>
        <w:ind w:left="709" w:right="0" w:hanging="709"/>
        <w:rPr/>
      </w:pPr>
      <w:r>
        <w:rPr>
          <w:rFonts w:cs="Times New Roman"/>
          <w:sz w:val="22"/>
          <w:lang w:val="en-US"/>
        </w:rPr>
        <w:t xml:space="preserve">Walshe, P. (1972). The aftermaths of independence in Tropical Africa: </w:t>
      </w:r>
      <w:r>
        <w:rPr>
          <w:rFonts w:cs="Times New Roman"/>
          <w:i/>
          <w:iCs/>
          <w:sz w:val="22"/>
          <w:lang w:val="en-US"/>
        </w:rPr>
        <w:t>The Review of</w:t>
      </w:r>
    </w:p>
    <w:p>
      <w:pPr>
        <w:pStyle w:val="Normal"/>
        <w:spacing w:lineRule="auto" w:line="240"/>
        <w:ind w:left="709" w:right="0" w:hanging="1"/>
        <w:rPr/>
      </w:pPr>
      <w:r>
        <w:rPr>
          <w:rFonts w:cs="Times New Roman"/>
          <w:i/>
          <w:iCs/>
          <w:sz w:val="22"/>
          <w:lang w:val="en-US"/>
        </w:rPr>
        <w:t>Politics, 34</w:t>
      </w:r>
      <w:r>
        <w:rPr>
          <w:rFonts w:cs="Times New Roman"/>
          <w:sz w:val="22"/>
          <w:lang w:val="en-US"/>
        </w:rPr>
        <w:t>(3), s. 395-421</w:t>
      </w:r>
    </w:p>
    <w:p>
      <w:pPr>
        <w:pStyle w:val="Normal"/>
        <w:spacing w:lineRule="auto" w:line="240"/>
        <w:ind w:left="709" w:right="0" w:hanging="709"/>
        <w:rPr/>
      </w:pPr>
      <w:r>
        <w:rPr>
          <w:rFonts w:cs="Times New Roman"/>
          <w:sz w:val="22"/>
          <w:lang w:val="en-US"/>
        </w:rPr>
        <w:t xml:space="preserve">Walter, B. F. (2002). </w:t>
      </w:r>
      <w:r>
        <w:rPr>
          <w:rFonts w:cs="Times New Roman"/>
          <w:i/>
          <w:iCs/>
          <w:sz w:val="22"/>
          <w:lang w:val="en-US"/>
        </w:rPr>
        <w:t>Committing to Peace: The Successful Settlement of Civil Wars.</w:t>
      </w:r>
      <w:r>
        <w:rPr>
          <w:rFonts w:cs="Times New Roman"/>
          <w:sz w:val="22"/>
          <w:lang w:val="en-US"/>
        </w:rPr>
        <w:t xml:space="preserve"> Princeton, NJ: Princeton University Press.</w:t>
      </w:r>
    </w:p>
    <w:p>
      <w:pPr>
        <w:pStyle w:val="Normal"/>
        <w:spacing w:lineRule="auto" w:line="240"/>
        <w:ind w:left="709" w:right="0" w:hanging="709"/>
        <w:rPr/>
      </w:pPr>
      <w:r>
        <w:rPr>
          <w:rFonts w:cs="Times New Roman"/>
          <w:color w:val="000000"/>
          <w:sz w:val="22"/>
          <w:shd w:fill="FFFFFF" w:val="clear"/>
          <w:lang w:val="en-US"/>
        </w:rPr>
        <w:t>Webster, K., Chen, C., &amp; Beardsley, K. (2019). Conflict, Peace, and the Evolution of Women's Empowerment. </w:t>
      </w:r>
      <w:r>
        <w:rPr>
          <w:rFonts w:cs="Times New Roman"/>
          <w:i/>
          <w:iCs/>
          <w:color w:val="000000"/>
          <w:sz w:val="22"/>
          <w:shd w:fill="FFFFFF" w:val="clear"/>
          <w:lang w:val="en-US"/>
        </w:rPr>
        <w:t>International Organization</w:t>
      </w:r>
      <w:r>
        <w:rPr>
          <w:rFonts w:cs="Times New Roman"/>
          <w:color w:val="000000"/>
          <w:sz w:val="22"/>
          <w:shd w:fill="FFFFFF" w:val="clear"/>
          <w:lang w:val="en-US"/>
        </w:rPr>
        <w:t>, </w:t>
      </w:r>
      <w:r>
        <w:rPr>
          <w:rFonts w:cs="Times New Roman"/>
          <w:i/>
          <w:iCs/>
          <w:color w:val="000000"/>
          <w:sz w:val="22"/>
          <w:shd w:fill="FFFFFF" w:val="clear"/>
          <w:lang w:val="en-US"/>
        </w:rPr>
        <w:t>73</w:t>
      </w:r>
      <w:r>
        <w:rPr>
          <w:rFonts w:cs="Times New Roman"/>
          <w:color w:val="000000"/>
          <w:sz w:val="22"/>
          <w:shd w:fill="FFFFFF" w:val="clear"/>
          <w:lang w:val="en-US"/>
        </w:rPr>
        <w:t>(2).</w:t>
      </w:r>
    </w:p>
    <w:p>
      <w:pPr>
        <w:pStyle w:val="Normal"/>
        <w:spacing w:lineRule="auto" w:line="240"/>
        <w:ind w:left="709" w:right="0" w:hanging="709"/>
        <w:rPr>
          <w:rFonts w:cs="Times New Roman"/>
          <w:color w:val="000000"/>
          <w:sz w:val="22"/>
          <w:lang w:val="en-US"/>
        </w:rPr>
      </w:pPr>
      <w:r>
        <w:rPr>
          <w:rFonts w:cs="Times New Roman"/>
          <w:color w:val="000000"/>
          <w:sz w:val="22"/>
          <w:lang w:val="en-US"/>
        </w:rPr>
        <w:t>Wilkinson S. (2004). Votes and Violence: Electoral Competition and Ethnic Riots in India. Cambridge, UK: Cambridge Univ. Press</w:t>
      </w:r>
    </w:p>
    <w:p>
      <w:pPr>
        <w:pStyle w:val="Normal"/>
        <w:spacing w:lineRule="auto" w:line="240"/>
        <w:ind w:left="709" w:right="0" w:hanging="709"/>
        <w:rPr/>
      </w:pPr>
      <w:r>
        <w:rPr>
          <w:rFonts w:cs="Times New Roman"/>
          <w:sz w:val="22"/>
          <w:shd w:fill="FFFFFF" w:val="clear"/>
          <w:lang w:val="en-US"/>
        </w:rPr>
        <w:t>Williams, D. R., Lavizzo-Mourey, R. &amp; Warren, R. C. (1994). The concept of race and health status in America. </w:t>
      </w:r>
      <w:r>
        <w:rPr>
          <w:rFonts w:cs="Times New Roman"/>
          <w:i/>
          <w:iCs/>
          <w:sz w:val="22"/>
          <w:shd w:fill="FFFFFF" w:val="clear"/>
          <w:lang w:val="en-US"/>
        </w:rPr>
        <w:t>Public health reports</w:t>
      </w:r>
      <w:r>
        <w:rPr>
          <w:rFonts w:cs="Times New Roman"/>
          <w:sz w:val="22"/>
          <w:shd w:fill="FFFFFF" w:val="clear"/>
          <w:lang w:val="en-US"/>
        </w:rPr>
        <w:t>, </w:t>
      </w:r>
      <w:r>
        <w:rPr>
          <w:rFonts w:cs="Times New Roman"/>
          <w:i/>
          <w:iCs/>
          <w:sz w:val="22"/>
          <w:shd w:fill="FFFFFF" w:val="clear"/>
          <w:lang w:val="en-US"/>
        </w:rPr>
        <w:t>109</w:t>
      </w:r>
      <w:r>
        <w:rPr>
          <w:rFonts w:cs="Times New Roman"/>
          <w:sz w:val="22"/>
          <w:shd w:fill="FFFFFF" w:val="clear"/>
          <w:lang w:val="en-US"/>
        </w:rPr>
        <w:t>(1), 26.</w:t>
      </w:r>
    </w:p>
    <w:p>
      <w:pPr>
        <w:pStyle w:val="Normal"/>
        <w:spacing w:lineRule="auto" w:line="240"/>
        <w:ind w:left="709" w:right="0" w:hanging="709"/>
        <w:rPr/>
      </w:pPr>
      <w:r>
        <w:rPr>
          <w:rFonts w:cs="Times New Roman"/>
          <w:color w:val="000000"/>
          <w:sz w:val="22"/>
          <w:shd w:fill="FFFFFF" w:val="clear"/>
          <w:lang w:val="en-US"/>
        </w:rPr>
        <w:t>Wong, P. H. (2016). How can political trust be built after civil wars? Evidence from post-conflict Sierra Leone. </w:t>
      </w:r>
      <w:r>
        <w:rPr>
          <w:rFonts w:cs="Times New Roman"/>
          <w:i/>
          <w:iCs/>
          <w:color w:val="000000"/>
          <w:sz w:val="22"/>
          <w:shd w:fill="FFFFFF" w:val="clear"/>
          <w:lang w:val="en-US"/>
        </w:rPr>
        <w:t>Journal of Peace Research</w:t>
      </w:r>
      <w:r>
        <w:rPr>
          <w:rFonts w:cs="Times New Roman"/>
          <w:color w:val="000000"/>
          <w:sz w:val="22"/>
          <w:shd w:fill="FFFFFF" w:val="clear"/>
          <w:lang w:val="en-US"/>
        </w:rPr>
        <w:t>, </w:t>
      </w:r>
      <w:r>
        <w:rPr>
          <w:rFonts w:cs="Times New Roman"/>
          <w:i/>
          <w:iCs/>
          <w:color w:val="000000"/>
          <w:sz w:val="22"/>
          <w:shd w:fill="FFFFFF" w:val="clear"/>
          <w:lang w:val="en-US"/>
        </w:rPr>
        <w:t>53</w:t>
      </w:r>
      <w:r>
        <w:rPr>
          <w:rFonts w:cs="Times New Roman"/>
          <w:color w:val="000000"/>
          <w:sz w:val="22"/>
          <w:shd w:fill="FFFFFF" w:val="clear"/>
          <w:lang w:val="en-US"/>
        </w:rPr>
        <w:t>(6), 772-785.</w:t>
      </w:r>
    </w:p>
    <w:p>
      <w:pPr>
        <w:pStyle w:val="Normal"/>
        <w:spacing w:lineRule="auto" w:line="240"/>
        <w:ind w:left="709" w:right="0" w:hanging="709"/>
        <w:rPr/>
      </w:pPr>
      <w:r>
        <w:rPr>
          <w:rFonts w:cs="Times New Roman"/>
          <w:color w:val="000000"/>
          <w:sz w:val="22"/>
          <w:shd w:fill="FFFFFF" w:val="clear"/>
          <w:lang w:val="en-US"/>
        </w:rPr>
        <w:t>Zartman, I. W. (2000). Ripeness: The hurting stalemate and beyond. </w:t>
      </w:r>
      <w:r>
        <w:rPr>
          <w:rFonts w:cs="Times New Roman"/>
          <w:i/>
          <w:iCs/>
          <w:color w:val="000000"/>
          <w:sz w:val="22"/>
          <w:shd w:fill="FFFFFF" w:val="clear"/>
          <w:lang w:val="en-US"/>
        </w:rPr>
        <w:t>International conflict resolution after the Cold War</w:t>
      </w:r>
      <w:r>
        <w:rPr>
          <w:rFonts w:cs="Times New Roman"/>
          <w:color w:val="000000"/>
          <w:sz w:val="22"/>
          <w:shd w:fill="FFFFFF" w:val="clear"/>
          <w:lang w:val="en-US"/>
        </w:rPr>
        <w:t>, </w:t>
      </w:r>
      <w:r>
        <w:rPr>
          <w:rFonts w:cs="Times New Roman"/>
          <w:i/>
          <w:iCs/>
          <w:color w:val="000000"/>
          <w:sz w:val="22"/>
          <w:shd w:fill="FFFFFF" w:val="clear"/>
          <w:lang w:val="en-US"/>
        </w:rPr>
        <w:t>2</w:t>
      </w:r>
      <w:r>
        <w:rPr>
          <w:rFonts w:cs="Times New Roman"/>
          <w:color w:val="000000"/>
          <w:sz w:val="22"/>
          <w:shd w:fill="FFFFFF" w:val="clear"/>
          <w:lang w:val="en-US"/>
        </w:rPr>
        <w:t>, 225-250.</w:t>
      </w:r>
    </w:p>
    <w:p>
      <w:pPr>
        <w:pStyle w:val="Normal"/>
        <w:spacing w:lineRule="auto" w:line="240"/>
        <w:ind w:left="709" w:right="0" w:hanging="709"/>
        <w:rPr/>
      </w:pPr>
      <w:r>
        <w:rPr>
          <w:sz w:val="22"/>
          <w:szCs w:val="20"/>
          <w:lang w:val="en-US"/>
        </w:rPr>
        <w:t xml:space="preserve">Zmerli, S. &amp; Castillo, J. C. (2015). Income inequality, distributive fairness and political trust in Latin America. </w:t>
      </w:r>
      <w:r>
        <w:rPr>
          <w:i/>
          <w:iCs/>
          <w:sz w:val="22"/>
          <w:szCs w:val="20"/>
          <w:lang w:val="en-US"/>
        </w:rPr>
        <w:t>Social Science Research</w:t>
      </w:r>
      <w:r>
        <w:rPr>
          <w:sz w:val="22"/>
          <w:szCs w:val="20"/>
          <w:lang w:val="en-US"/>
        </w:rPr>
        <w:t xml:space="preserve">, </w:t>
      </w:r>
      <w:r>
        <w:rPr>
          <w:i/>
          <w:iCs/>
          <w:sz w:val="22"/>
          <w:szCs w:val="20"/>
          <w:lang w:val="en-US"/>
        </w:rPr>
        <w:t>52</w:t>
      </w:r>
      <w:r>
        <w:rPr>
          <w:sz w:val="22"/>
          <w:szCs w:val="20"/>
          <w:lang w:val="en-US"/>
        </w:rPr>
        <w:t xml:space="preserve">, 179-192. Hentet fra: </w:t>
      </w:r>
      <w:hyperlink r:id="rId15">
        <w:r>
          <w:rPr>
            <w:rStyle w:val="InternetLink"/>
            <w:sz w:val="22"/>
            <w:szCs w:val="20"/>
            <w:lang w:val="en-US"/>
          </w:rPr>
          <w:t>https://doi.org/10.1016/j.ssresearch.2015.02.003</w:t>
        </w:r>
      </w:hyperlink>
      <w:r>
        <w:rPr>
          <w:sz w:val="22"/>
          <w:szCs w:val="20"/>
          <w:lang w:val="en-US"/>
        </w:rPr>
        <w:t xml:space="preserve"> </w:t>
      </w:r>
    </w:p>
    <w:p>
      <w:pPr>
        <w:pStyle w:val="Normal"/>
        <w:spacing w:lineRule="auto" w:line="240"/>
        <w:ind w:left="709" w:right="0" w:hanging="709"/>
        <w:rPr/>
      </w:pPr>
      <w:r>
        <w:rPr>
          <w:sz w:val="22"/>
          <w:szCs w:val="20"/>
          <w:shd w:fill="FFFFFF" w:val="clear"/>
          <w:lang w:val="en-US"/>
        </w:rPr>
        <w:t>Zmerli, S. &amp; Van der Meer, T. W. (2017). </w:t>
      </w:r>
      <w:r>
        <w:rPr>
          <w:i/>
          <w:iCs/>
          <w:sz w:val="22"/>
          <w:szCs w:val="20"/>
          <w:shd w:fill="FFFFFF" w:val="clear"/>
          <w:lang w:val="en-US"/>
        </w:rPr>
        <w:t>Handbook on political trust</w:t>
      </w:r>
      <w:r>
        <w:rPr>
          <w:sz w:val="22"/>
          <w:szCs w:val="20"/>
          <w:shd w:fill="FFFFFF" w:val="clear"/>
          <w:lang w:val="en-US"/>
        </w:rPr>
        <w:t xml:space="preserve">. Cheltenham: </w:t>
      </w:r>
      <w:r>
        <w:rPr>
          <w:sz w:val="22"/>
          <w:szCs w:val="20"/>
          <w:shd w:fill="FFFFFF" w:val="clear"/>
        </w:rPr>
        <w:t>Edward Elgar Publishing.</w:t>
      </w:r>
    </w:p>
    <w:p>
      <w:pPr>
        <w:pStyle w:val="Normal"/>
        <w:spacing w:lineRule="auto" w:line="360"/>
        <w:rPr/>
      </w:pPr>
      <w:r>
        <w:rPr/>
      </w:r>
    </w:p>
    <w:p>
      <w:pPr>
        <w:pStyle w:val="Normal"/>
        <w:jc w:val="left"/>
        <w:rPr/>
      </w:pPr>
      <w:r>
        <w:rPr/>
      </w:r>
      <w:r>
        <w:br w:type="page"/>
      </w:r>
    </w:p>
    <w:p>
      <w:pPr>
        <w:pStyle w:val="Heading1"/>
        <w:rPr/>
      </w:pPr>
      <w:bookmarkStart w:id="109" w:name="_Toc72502764"/>
      <w:bookmarkStart w:id="110" w:name="_Toc71923048"/>
      <w:r>
        <w:rPr>
          <w:lang w:val="en-US"/>
        </w:rPr>
        <w:t>Appendi</w:t>
      </w:r>
      <w:bookmarkEnd w:id="110"/>
      <w:r>
        <w:rPr>
          <w:lang w:val="en-US"/>
        </w:rPr>
        <w:t>ks</w:t>
      </w:r>
      <w:bookmarkEnd w:id="109"/>
    </w:p>
    <w:p>
      <w:pPr>
        <w:pStyle w:val="Normal"/>
        <w:rPr>
          <w:lang w:val="en-US"/>
        </w:rPr>
      </w:pPr>
      <w:r>
        <w:rPr>
          <w:lang w:val="en-US"/>
        </w:rPr>
      </w:r>
    </w:p>
    <w:p>
      <w:pPr>
        <w:pStyle w:val="Normal"/>
        <w:rPr/>
      </w:pPr>
      <w:r>
        <w:rPr>
          <w:lang w:val="en-US"/>
        </w:rPr>
        <w:br/>
      </w:r>
      <w:r>
        <w:rPr>
          <w:b/>
          <w:bCs/>
          <w:lang w:val="en-US"/>
        </w:rPr>
        <w:t xml:space="preserve">Appendiks 1: </w:t>
      </w:r>
      <w:r>
        <w:rPr>
          <w:lang w:val="en-US"/>
        </w:rPr>
        <w:t>Korrelasjon mellom tillitsvariabler (</w:t>
      </w:r>
      <w:r>
        <w:rPr>
          <w:i/>
          <w:iCs/>
          <w:lang w:val="en-US"/>
        </w:rPr>
        <w:t>Pearsons R</w:t>
      </w:r>
      <w:r>
        <w:rPr>
          <w:lang w:val="en-US"/>
        </w:rPr>
        <w:t>)</w:t>
      </w:r>
      <w:r>
        <w:rPr>
          <w:b/>
          <w:bCs/>
          <w:lang w:val="en-US"/>
        </w:rPr>
        <w:t xml:space="preserve"> </w:t>
      </w:r>
    </w:p>
    <w:tbl>
      <w:tblPr>
        <w:tblW w:w="6408" w:type="dxa"/>
        <w:jc w:val="left"/>
        <w:tblInd w:w="0" w:type="dxa"/>
        <w:tblLayout w:type="fixed"/>
        <w:tblCellMar>
          <w:top w:w="0" w:type="dxa"/>
          <w:left w:w="108" w:type="dxa"/>
          <w:bottom w:w="0" w:type="dxa"/>
          <w:right w:w="108" w:type="dxa"/>
        </w:tblCellMar>
      </w:tblPr>
      <w:tblGrid>
        <w:gridCol w:w="2747"/>
        <w:gridCol w:w="1220"/>
        <w:gridCol w:w="1220"/>
        <w:gridCol w:w="1221"/>
      </w:tblGrid>
      <w:tr>
        <w:trPr/>
        <w:tc>
          <w:tcPr>
            <w:tcW w:w="2747" w:type="dxa"/>
            <w:tcBorders>
              <w:top w:val="single" w:sz="4" w:space="0" w:color="000000"/>
              <w:bottom w:val="single" w:sz="10" w:space="0" w:color="000000"/>
            </w:tcBorders>
          </w:tcPr>
          <w:p>
            <w:pPr>
              <w:pStyle w:val="Normal"/>
              <w:widowControl w:val="false"/>
              <w:spacing w:before="0" w:after="160"/>
              <w:rPr>
                <w:sz w:val="20"/>
                <w:szCs w:val="18"/>
                <w:lang w:val="en-US"/>
              </w:rPr>
            </w:pPr>
            <w:r>
              <w:rPr>
                <w:sz w:val="20"/>
                <w:szCs w:val="18"/>
                <w:lang w:val="en-US"/>
              </w:rPr>
              <w:t xml:space="preserve">  </w:t>
            </w:r>
            <w:r>
              <w:rPr>
                <w:sz w:val="20"/>
                <w:szCs w:val="18"/>
                <w:lang w:val="en-US"/>
              </w:rPr>
              <w:t>Variables</w:t>
            </w:r>
          </w:p>
        </w:tc>
        <w:tc>
          <w:tcPr>
            <w:tcW w:w="1220" w:type="dxa"/>
            <w:tcBorders>
              <w:top w:val="single" w:sz="4" w:space="0" w:color="000000"/>
              <w:bottom w:val="single" w:sz="10" w:space="0" w:color="000000"/>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(1)</w:t>
            </w:r>
          </w:p>
        </w:tc>
        <w:tc>
          <w:tcPr>
            <w:tcW w:w="1220" w:type="dxa"/>
            <w:tcBorders>
              <w:top w:val="single" w:sz="4" w:space="0" w:color="000000"/>
              <w:bottom w:val="single" w:sz="10" w:space="0" w:color="000000"/>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(2)</w:t>
            </w:r>
          </w:p>
        </w:tc>
        <w:tc>
          <w:tcPr>
            <w:tcW w:w="1221" w:type="dxa"/>
            <w:tcBorders>
              <w:top w:val="single" w:sz="4" w:space="0" w:color="000000"/>
              <w:bottom w:val="single" w:sz="10" w:space="0" w:color="000000"/>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(3)</w:t>
            </w:r>
          </w:p>
        </w:tc>
      </w:tr>
      <w:tr>
        <w:trPr/>
        <w:tc>
          <w:tcPr>
            <w:tcW w:w="2747" w:type="dxa"/>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(1) tillit_parlament</w:t>
            </w:r>
          </w:p>
        </w:tc>
        <w:tc>
          <w:tcPr>
            <w:tcW w:w="1220" w:type="dxa"/>
            <w:tcBorders/>
          </w:tcPr>
          <w:p>
            <w:pPr>
              <w:pStyle w:val="Normal"/>
              <w:widowControl w:val="false"/>
              <w:spacing w:before="0" w:after="160"/>
              <w:rPr>
                <w:sz w:val="22"/>
                <w:szCs w:val="20"/>
                <w:lang w:val="en-US"/>
              </w:rPr>
            </w:pPr>
            <w:r>
              <w:rPr>
                <w:sz w:val="22"/>
                <w:szCs w:val="20"/>
                <w:lang w:val="en-US"/>
              </w:rPr>
              <w:t>1.000</w:t>
            </w:r>
          </w:p>
        </w:tc>
        <w:tc>
          <w:tcPr>
            <w:tcW w:w="1220" w:type="dxa"/>
            <w:tcBorders/>
          </w:tcPr>
          <w:p>
            <w:pPr>
              <w:pStyle w:val="Normal"/>
              <w:widowControl w:val="false"/>
              <w:spacing w:before="0" w:after="160"/>
              <w:rPr/>
            </w:pPr>
            <w:r>
              <w:rPr/>
            </w:r>
          </w:p>
        </w:tc>
        <w:tc>
          <w:tcPr>
            <w:tcW w:w="1221" w:type="dxa"/>
            <w:tcBorders/>
          </w:tcPr>
          <w:p>
            <w:pPr>
              <w:pStyle w:val="Normal"/>
              <w:widowControl w:val="false"/>
              <w:spacing w:before="0" w:after="160"/>
              <w:rPr/>
            </w:pPr>
            <w:r>
              <w:rPr/>
            </w:r>
          </w:p>
        </w:tc>
      </w:tr>
      <w:tr>
        <w:trPr/>
        <w:tc>
          <w:tcPr>
            <w:tcW w:w="2747" w:type="dxa"/>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(2) tillit_president</w:t>
            </w:r>
          </w:p>
        </w:tc>
        <w:tc>
          <w:tcPr>
            <w:tcW w:w="1220" w:type="dxa"/>
            <w:tcBorders/>
          </w:tcPr>
          <w:p>
            <w:pPr>
              <w:pStyle w:val="Normal"/>
              <w:widowControl w:val="false"/>
              <w:spacing w:before="0" w:after="160"/>
              <w:rPr>
                <w:sz w:val="22"/>
                <w:szCs w:val="20"/>
                <w:lang w:val="en-US"/>
              </w:rPr>
            </w:pPr>
            <w:r>
              <w:rPr>
                <w:sz w:val="22"/>
                <w:szCs w:val="20"/>
                <w:lang w:val="en-US"/>
              </w:rPr>
              <w:t>0.677</w:t>
            </w:r>
          </w:p>
        </w:tc>
        <w:tc>
          <w:tcPr>
            <w:tcW w:w="1220" w:type="dxa"/>
            <w:tcBorders/>
          </w:tcPr>
          <w:p>
            <w:pPr>
              <w:pStyle w:val="Normal"/>
              <w:widowControl w:val="false"/>
              <w:spacing w:before="0" w:after="160"/>
              <w:rPr>
                <w:sz w:val="22"/>
                <w:szCs w:val="20"/>
                <w:lang w:val="en-US"/>
              </w:rPr>
            </w:pPr>
            <w:r>
              <w:rPr>
                <w:sz w:val="22"/>
                <w:szCs w:val="20"/>
                <w:lang w:val="en-US"/>
              </w:rPr>
              <w:t>1.000</w:t>
            </w:r>
          </w:p>
        </w:tc>
        <w:tc>
          <w:tcPr>
            <w:tcW w:w="1221" w:type="dxa"/>
            <w:tcBorders/>
          </w:tcPr>
          <w:p>
            <w:pPr>
              <w:pStyle w:val="Normal"/>
              <w:widowControl w:val="false"/>
              <w:spacing w:before="0" w:after="160"/>
              <w:rPr/>
            </w:pPr>
            <w:r>
              <w:rPr/>
            </w:r>
          </w:p>
        </w:tc>
      </w:tr>
      <w:tr>
        <w:trPr/>
        <w:tc>
          <w:tcPr>
            <w:tcW w:w="2747" w:type="dxa"/>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(3) tillit_valgkom</w:t>
            </w:r>
          </w:p>
        </w:tc>
        <w:tc>
          <w:tcPr>
            <w:tcW w:w="1220" w:type="dxa"/>
            <w:tcBorders/>
          </w:tcPr>
          <w:p>
            <w:pPr>
              <w:pStyle w:val="Normal"/>
              <w:widowControl w:val="false"/>
              <w:spacing w:before="0" w:after="160"/>
              <w:rPr>
                <w:sz w:val="22"/>
                <w:szCs w:val="20"/>
                <w:lang w:val="en-US"/>
              </w:rPr>
            </w:pPr>
            <w:r>
              <w:rPr>
                <w:sz w:val="22"/>
                <w:szCs w:val="20"/>
                <w:lang w:val="en-US"/>
              </w:rPr>
              <w:t>0.652</w:t>
            </w:r>
          </w:p>
        </w:tc>
        <w:tc>
          <w:tcPr>
            <w:tcW w:w="1220" w:type="dxa"/>
            <w:tcBorders/>
          </w:tcPr>
          <w:p>
            <w:pPr>
              <w:pStyle w:val="Normal"/>
              <w:widowControl w:val="false"/>
              <w:spacing w:before="0" w:after="160"/>
              <w:rPr>
                <w:sz w:val="22"/>
                <w:szCs w:val="20"/>
                <w:lang w:val="en-US"/>
              </w:rPr>
            </w:pPr>
            <w:r>
              <w:rPr>
                <w:sz w:val="22"/>
                <w:szCs w:val="20"/>
                <w:lang w:val="en-US"/>
              </w:rPr>
              <w:t>0.600</w:t>
            </w:r>
          </w:p>
        </w:tc>
        <w:tc>
          <w:tcPr>
            <w:tcW w:w="1221" w:type="dxa"/>
            <w:tcBorders/>
          </w:tcPr>
          <w:p>
            <w:pPr>
              <w:pStyle w:val="Normal"/>
              <w:widowControl w:val="false"/>
              <w:spacing w:before="0" w:after="160"/>
              <w:rPr>
                <w:sz w:val="22"/>
                <w:szCs w:val="20"/>
                <w:lang w:val="en-US"/>
              </w:rPr>
            </w:pPr>
            <w:r>
              <w:rPr>
                <w:sz w:val="22"/>
                <w:szCs w:val="20"/>
                <w:lang w:val="en-US"/>
              </w:rPr>
              <w:t>1.000</w:t>
            </w:r>
          </w:p>
        </w:tc>
      </w:tr>
      <w:tr>
        <w:trPr/>
        <w:tc>
          <w:tcPr>
            <w:tcW w:w="6408" w:type="dxa"/>
            <w:gridSpan w:val="4"/>
            <w:tcBorders>
              <w:top w:val="single" w:sz="6" w:space="0" w:color="000000"/>
            </w:tcBorders>
          </w:tcPr>
          <w:p>
            <w:pPr>
              <w:pStyle w:val="Normal"/>
              <w:widowControl w:val="false"/>
              <w:spacing w:before="0" w:after="160"/>
              <w:rPr>
                <w:sz w:val="20"/>
                <w:szCs w:val="18"/>
                <w:lang w:val="en-US"/>
              </w:rPr>
            </w:pPr>
            <w:r>
              <w:rPr>
                <w:sz w:val="20"/>
                <w:szCs w:val="18"/>
                <w:lang w:val="en-US"/>
              </w:rPr>
            </w:r>
          </w:p>
        </w:tc>
      </w:tr>
    </w:tbl>
    <w:p>
      <w:pPr>
        <w:pStyle w:val="Normal"/>
        <w:rPr>
          <w:b/>
          <w:b/>
          <w:bCs/>
          <w:sz w:val="22"/>
          <w:szCs w:val="20"/>
          <w:lang w:val="nn-NO"/>
        </w:rPr>
      </w:pPr>
      <w:r>
        <w:rPr>
          <w:b/>
          <w:bCs/>
          <w:sz w:val="22"/>
          <w:szCs w:val="20"/>
          <w:lang w:val="nn-NO"/>
        </w:rPr>
      </w:r>
    </w:p>
    <w:p>
      <w:pPr>
        <w:pStyle w:val="Normal"/>
        <w:rPr/>
      </w:pPr>
      <w:r>
        <w:rPr>
          <w:b/>
          <w:bCs/>
          <w:lang w:val="nn-NO"/>
        </w:rPr>
        <w:t xml:space="preserve">Appendiks 2: </w:t>
      </w:r>
      <w:r>
        <w:rPr>
          <w:lang w:val="nn-NO"/>
        </w:rPr>
        <w:t>Faktoranalyse</w:t>
      </w:r>
      <w:r>
        <w:rPr>
          <w:b/>
          <w:bCs/>
          <w:lang w:val="nn-NO"/>
        </w:rPr>
        <w:t xml:space="preserve"> </w:t>
      </w:r>
      <w:r>
        <w:rPr>
          <w:i/>
          <w:iCs/>
          <w:lang w:val="nn-NO"/>
        </w:rPr>
        <w:t>Foreta ny analyse med e(sample)</w:t>
      </w:r>
    </w:p>
    <w:p>
      <w:pPr>
        <w:pStyle w:val="Normal"/>
        <w:rPr>
          <w:sz w:val="22"/>
          <w:szCs w:val="20"/>
          <w:lang w:val="en-US"/>
        </w:rPr>
      </w:pPr>
      <w:r>
        <w:rPr>
          <w:sz w:val="22"/>
          <w:szCs w:val="20"/>
          <w:lang w:val="en-US"/>
        </w:rPr>
        <w:t>(obs=34,210)</w:t>
        <w:br/>
        <w:t>Factor analysis/correlation                      Number of obs    =     34,210</w:t>
        <w:br/>
        <w:t xml:space="preserve">    Method: principal-component factors          Retained factors =          1</w:t>
        <w:br/>
        <w:t xml:space="preserve">    Rotation: (unrotated)                        Number of params =          3</w:t>
        <w:br/>
      </w:r>
    </w:p>
    <w:tbl>
      <w:tblPr>
        <w:tblW w:w="8508" w:type="dxa"/>
        <w:jc w:val="left"/>
        <w:tblInd w:w="0" w:type="dxa"/>
        <w:tblLayout w:type="fixed"/>
        <w:tblCellMar>
          <w:top w:w="0" w:type="dxa"/>
          <w:left w:w="108" w:type="dxa"/>
          <w:bottom w:w="0" w:type="dxa"/>
          <w:right w:w="108" w:type="dxa"/>
        </w:tblCellMar>
      </w:tblPr>
      <w:tblGrid>
        <w:gridCol w:w="2108"/>
        <w:gridCol w:w="1599"/>
        <w:gridCol w:w="1601"/>
        <w:gridCol w:w="1599"/>
        <w:gridCol w:w="1601"/>
      </w:tblGrid>
      <w:tr>
        <w:trPr/>
        <w:tc>
          <w:tcPr>
            <w:tcW w:w="2108" w:type="dxa"/>
            <w:tcBorders>
              <w:top w:val="single" w:sz="4" w:space="0" w:color="000000"/>
              <w:bottom w:val="single" w:sz="10" w:space="0" w:color="000000"/>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 xml:space="preserve">Factor  </w:t>
            </w:r>
          </w:p>
        </w:tc>
        <w:tc>
          <w:tcPr>
            <w:tcW w:w="1599" w:type="dxa"/>
            <w:tcBorders>
              <w:top w:val="single" w:sz="4" w:space="0" w:color="000000"/>
              <w:bottom w:val="single" w:sz="10" w:space="0" w:color="000000"/>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Eigenvalue</w:t>
            </w:r>
          </w:p>
        </w:tc>
        <w:tc>
          <w:tcPr>
            <w:tcW w:w="1601" w:type="dxa"/>
            <w:tcBorders>
              <w:top w:val="single" w:sz="4" w:space="0" w:color="000000"/>
              <w:bottom w:val="single" w:sz="10" w:space="0" w:color="000000"/>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Difference</w:t>
            </w:r>
          </w:p>
        </w:tc>
        <w:tc>
          <w:tcPr>
            <w:tcW w:w="1599" w:type="dxa"/>
            <w:tcBorders>
              <w:top w:val="single" w:sz="4" w:space="0" w:color="000000"/>
              <w:bottom w:val="single" w:sz="10" w:space="0" w:color="000000"/>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Proportion</w:t>
            </w:r>
          </w:p>
        </w:tc>
        <w:tc>
          <w:tcPr>
            <w:tcW w:w="1601" w:type="dxa"/>
            <w:tcBorders>
              <w:top w:val="single" w:sz="4" w:space="0" w:color="000000"/>
              <w:bottom w:val="single" w:sz="10" w:space="0" w:color="000000"/>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Cumulative</w:t>
            </w:r>
          </w:p>
        </w:tc>
      </w:tr>
      <w:tr>
        <w:trPr/>
        <w:tc>
          <w:tcPr>
            <w:tcW w:w="2108" w:type="dxa"/>
            <w:tcBorders/>
          </w:tcPr>
          <w:p>
            <w:pPr>
              <w:pStyle w:val="Normal"/>
              <w:widowControl w:val="false"/>
              <w:spacing w:before="0" w:after="160"/>
              <w:rPr>
                <w:sz w:val="22"/>
                <w:szCs w:val="20"/>
                <w:lang w:val="en-US"/>
              </w:rPr>
            </w:pPr>
            <w:r>
              <w:rPr>
                <w:sz w:val="22"/>
                <w:szCs w:val="20"/>
                <w:lang w:val="en-US"/>
              </w:rPr>
              <w:t xml:space="preserve">Factor1  </w:t>
            </w:r>
          </w:p>
        </w:tc>
        <w:tc>
          <w:tcPr>
            <w:tcW w:w="1599" w:type="dxa"/>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2.286</w:t>
            </w:r>
          </w:p>
        </w:tc>
        <w:tc>
          <w:tcPr>
            <w:tcW w:w="1601" w:type="dxa"/>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1.884</w:t>
            </w:r>
          </w:p>
        </w:tc>
        <w:tc>
          <w:tcPr>
            <w:tcW w:w="1599" w:type="dxa"/>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0.762</w:t>
            </w:r>
          </w:p>
        </w:tc>
        <w:tc>
          <w:tcPr>
            <w:tcW w:w="1601" w:type="dxa"/>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0.762</w:t>
            </w:r>
          </w:p>
        </w:tc>
      </w:tr>
      <w:tr>
        <w:trPr/>
        <w:tc>
          <w:tcPr>
            <w:tcW w:w="2108" w:type="dxa"/>
            <w:tcBorders/>
          </w:tcPr>
          <w:p>
            <w:pPr>
              <w:pStyle w:val="Normal"/>
              <w:widowControl w:val="false"/>
              <w:spacing w:before="0" w:after="160"/>
              <w:rPr>
                <w:sz w:val="22"/>
                <w:szCs w:val="20"/>
                <w:lang w:val="en-US"/>
              </w:rPr>
            </w:pPr>
            <w:r>
              <w:rPr>
                <w:sz w:val="22"/>
                <w:szCs w:val="20"/>
                <w:lang w:val="en-US"/>
              </w:rPr>
              <w:t xml:space="preserve">Factor2  </w:t>
            </w:r>
          </w:p>
        </w:tc>
        <w:tc>
          <w:tcPr>
            <w:tcW w:w="1599" w:type="dxa"/>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0.402</w:t>
            </w:r>
          </w:p>
        </w:tc>
        <w:tc>
          <w:tcPr>
            <w:tcW w:w="1601" w:type="dxa"/>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0.091</w:t>
            </w:r>
          </w:p>
        </w:tc>
        <w:tc>
          <w:tcPr>
            <w:tcW w:w="1599" w:type="dxa"/>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0.134</w:t>
            </w:r>
          </w:p>
        </w:tc>
        <w:tc>
          <w:tcPr>
            <w:tcW w:w="1601" w:type="dxa"/>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0.896</w:t>
            </w:r>
          </w:p>
        </w:tc>
      </w:tr>
      <w:tr>
        <w:trPr/>
        <w:tc>
          <w:tcPr>
            <w:tcW w:w="2108" w:type="dxa"/>
            <w:tcBorders/>
          </w:tcPr>
          <w:p>
            <w:pPr>
              <w:pStyle w:val="Normal"/>
              <w:widowControl w:val="false"/>
              <w:spacing w:before="0" w:after="160"/>
              <w:rPr>
                <w:sz w:val="22"/>
                <w:szCs w:val="20"/>
                <w:lang w:val="en-US"/>
              </w:rPr>
            </w:pPr>
            <w:r>
              <w:rPr>
                <w:sz w:val="22"/>
                <w:szCs w:val="20"/>
                <w:lang w:val="en-US"/>
              </w:rPr>
              <w:t xml:space="preserve">Factor3  </w:t>
            </w:r>
          </w:p>
        </w:tc>
        <w:tc>
          <w:tcPr>
            <w:tcW w:w="1599" w:type="dxa"/>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0.311</w:t>
            </w:r>
          </w:p>
        </w:tc>
        <w:tc>
          <w:tcPr>
            <w:tcW w:w="1601" w:type="dxa"/>
            <w:tcBorders/>
          </w:tcPr>
          <w:p>
            <w:pPr>
              <w:pStyle w:val="Normal"/>
              <w:widowControl w:val="false"/>
              <w:spacing w:before="0" w:after="160"/>
              <w:rPr>
                <w:sz w:val="22"/>
                <w:szCs w:val="20"/>
                <w:lang w:val="en-US"/>
              </w:rPr>
            </w:pPr>
            <w:r>
              <w:rPr>
                <w:sz w:val="22"/>
                <w:szCs w:val="20"/>
                <w:lang w:val="en-US"/>
              </w:rPr>
              <w:t>.</w:t>
            </w:r>
          </w:p>
        </w:tc>
        <w:tc>
          <w:tcPr>
            <w:tcW w:w="1599" w:type="dxa"/>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0.104</w:t>
            </w:r>
          </w:p>
        </w:tc>
        <w:tc>
          <w:tcPr>
            <w:tcW w:w="1601" w:type="dxa"/>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1.000</w:t>
            </w:r>
          </w:p>
        </w:tc>
      </w:tr>
      <w:tr>
        <w:trPr/>
        <w:tc>
          <w:tcPr>
            <w:tcW w:w="8508" w:type="dxa"/>
            <w:gridSpan w:val="5"/>
            <w:tcBorders>
              <w:bottom w:val="single" w:sz="6" w:space="0" w:color="000000"/>
            </w:tcBorders>
          </w:tcPr>
          <w:p>
            <w:pPr>
              <w:pStyle w:val="Normal"/>
              <w:widowControl w:val="false"/>
              <w:spacing w:before="0" w:after="160"/>
              <w:rPr>
                <w:sz w:val="22"/>
                <w:szCs w:val="20"/>
                <w:lang w:val="en-US"/>
              </w:rPr>
            </w:pPr>
            <w:r>
              <w:rPr>
                <w:sz w:val="22"/>
                <w:szCs w:val="20"/>
                <w:lang w:val="en-US"/>
              </w:rPr>
            </w:r>
          </w:p>
        </w:tc>
      </w:tr>
    </w:tbl>
    <w:p>
      <w:pPr>
        <w:pStyle w:val="Normal"/>
        <w:rPr>
          <w:sz w:val="22"/>
          <w:szCs w:val="20"/>
          <w:lang w:val="en-US"/>
        </w:rPr>
      </w:pPr>
      <w:r>
        <w:rPr>
          <w:sz w:val="22"/>
          <w:szCs w:val="20"/>
          <w:lang w:val="en-US"/>
        </w:rPr>
        <w:t>Factor loadings (pattern matrix) and unique variances</w:t>
        <w:br/>
      </w:r>
    </w:p>
    <w:tbl>
      <w:tblPr>
        <w:tblW w:w="8008" w:type="dxa"/>
        <w:jc w:val="left"/>
        <w:tblInd w:w="0" w:type="dxa"/>
        <w:tblLayout w:type="fixed"/>
        <w:tblCellMar>
          <w:top w:w="0" w:type="dxa"/>
          <w:left w:w="108" w:type="dxa"/>
          <w:bottom w:w="0" w:type="dxa"/>
          <w:right w:w="108" w:type="dxa"/>
        </w:tblCellMar>
      </w:tblPr>
      <w:tblGrid>
        <w:gridCol w:w="3007"/>
        <w:gridCol w:w="2500"/>
        <w:gridCol w:w="2501"/>
      </w:tblGrid>
      <w:tr>
        <w:trPr/>
        <w:tc>
          <w:tcPr>
            <w:tcW w:w="3007" w:type="dxa"/>
            <w:tcBorders>
              <w:top w:val="single" w:sz="4" w:space="0" w:color="000000"/>
              <w:bottom w:val="single" w:sz="10" w:space="0" w:color="000000"/>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 xml:space="preserve">Variable </w:t>
            </w:r>
          </w:p>
        </w:tc>
        <w:tc>
          <w:tcPr>
            <w:tcW w:w="2500" w:type="dxa"/>
            <w:tcBorders>
              <w:top w:val="single" w:sz="4" w:space="0" w:color="000000"/>
              <w:bottom w:val="single" w:sz="10" w:space="0" w:color="000000"/>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Factor1</w:t>
            </w:r>
          </w:p>
        </w:tc>
        <w:tc>
          <w:tcPr>
            <w:tcW w:w="2501" w:type="dxa"/>
            <w:tcBorders>
              <w:top w:val="single" w:sz="4" w:space="0" w:color="000000"/>
              <w:bottom w:val="single" w:sz="10" w:space="0" w:color="000000"/>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Uniqueness</w:t>
            </w:r>
          </w:p>
        </w:tc>
      </w:tr>
      <w:tr>
        <w:trPr/>
        <w:tc>
          <w:tcPr>
            <w:tcW w:w="3007" w:type="dxa"/>
            <w:tcBorders/>
          </w:tcPr>
          <w:p>
            <w:pPr>
              <w:pStyle w:val="Normal"/>
              <w:widowControl w:val="false"/>
              <w:spacing w:before="0" w:after="160"/>
              <w:rPr>
                <w:sz w:val="22"/>
                <w:szCs w:val="20"/>
                <w:lang w:val="en-US"/>
              </w:rPr>
            </w:pPr>
            <w:r>
              <w:rPr>
                <w:sz w:val="22"/>
                <w:szCs w:val="20"/>
                <w:lang w:val="en-US"/>
              </w:rPr>
              <w:t xml:space="preserve">tillit_parlament </w:t>
            </w:r>
          </w:p>
        </w:tc>
        <w:tc>
          <w:tcPr>
            <w:tcW w:w="2500" w:type="dxa"/>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0.892</w:t>
            </w:r>
          </w:p>
        </w:tc>
        <w:tc>
          <w:tcPr>
            <w:tcW w:w="2501" w:type="dxa"/>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0.204</w:t>
            </w:r>
          </w:p>
        </w:tc>
      </w:tr>
      <w:tr>
        <w:trPr/>
        <w:tc>
          <w:tcPr>
            <w:tcW w:w="3007" w:type="dxa"/>
            <w:tcBorders/>
          </w:tcPr>
          <w:p>
            <w:pPr>
              <w:pStyle w:val="Normal"/>
              <w:widowControl w:val="false"/>
              <w:spacing w:before="0" w:after="160"/>
              <w:rPr>
                <w:sz w:val="22"/>
                <w:szCs w:val="20"/>
                <w:lang w:val="en-US"/>
              </w:rPr>
            </w:pPr>
            <w:r>
              <w:rPr>
                <w:sz w:val="22"/>
                <w:szCs w:val="20"/>
                <w:lang w:val="en-US"/>
              </w:rPr>
              <w:t xml:space="preserve">tillit_president </w:t>
            </w:r>
          </w:p>
        </w:tc>
        <w:tc>
          <w:tcPr>
            <w:tcW w:w="2500" w:type="dxa"/>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0.869</w:t>
            </w:r>
          </w:p>
        </w:tc>
        <w:tc>
          <w:tcPr>
            <w:tcW w:w="2501" w:type="dxa"/>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0.244</w:t>
            </w:r>
          </w:p>
        </w:tc>
      </w:tr>
      <w:tr>
        <w:trPr/>
        <w:tc>
          <w:tcPr>
            <w:tcW w:w="3007" w:type="dxa"/>
            <w:tcBorders/>
          </w:tcPr>
          <w:p>
            <w:pPr>
              <w:pStyle w:val="Normal"/>
              <w:widowControl w:val="false"/>
              <w:spacing w:before="0" w:after="160"/>
              <w:rPr>
                <w:sz w:val="22"/>
                <w:szCs w:val="20"/>
                <w:lang w:val="en-US"/>
              </w:rPr>
            </w:pPr>
            <w:r>
              <w:rPr>
                <w:sz w:val="22"/>
                <w:szCs w:val="20"/>
                <w:lang w:val="en-US"/>
              </w:rPr>
              <w:t xml:space="preserve">tillit_valgkommisjon </w:t>
            </w:r>
          </w:p>
        </w:tc>
        <w:tc>
          <w:tcPr>
            <w:tcW w:w="2500" w:type="dxa"/>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0.858</w:t>
            </w:r>
          </w:p>
        </w:tc>
        <w:tc>
          <w:tcPr>
            <w:tcW w:w="2501" w:type="dxa"/>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0.265</w:t>
            </w:r>
          </w:p>
        </w:tc>
      </w:tr>
      <w:tr>
        <w:trPr/>
        <w:tc>
          <w:tcPr>
            <w:tcW w:w="8008" w:type="dxa"/>
            <w:gridSpan w:val="3"/>
            <w:tcBorders>
              <w:bottom w:val="single" w:sz="6" w:space="0" w:color="000000"/>
            </w:tcBorders>
          </w:tcPr>
          <w:p>
            <w:pPr>
              <w:pStyle w:val="Normal"/>
              <w:widowControl w:val="false"/>
              <w:spacing w:before="0" w:after="160"/>
              <w:rPr>
                <w:sz w:val="22"/>
                <w:szCs w:val="20"/>
                <w:lang w:val="en-US"/>
              </w:rPr>
            </w:pPr>
            <w:r>
              <w:rPr>
                <w:sz w:val="22"/>
                <w:szCs w:val="20"/>
                <w:lang w:val="en-US"/>
              </w:rPr>
            </w:r>
          </w:p>
        </w:tc>
      </w:tr>
    </w:tbl>
    <w:p>
      <w:pPr>
        <w:pStyle w:val="Normal"/>
        <w:rPr>
          <w:sz w:val="22"/>
          <w:szCs w:val="20"/>
        </w:rPr>
      </w:pPr>
      <w:r>
        <w:rPr>
          <w:sz w:val="22"/>
          <w:szCs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 xml:space="preserve">Appendiks 3: </w:t>
      </w:r>
      <w:r>
        <w:rPr/>
        <w:t>Korrelasjon mellom tillitsvariabler (Chronbachs Alpha)</w:t>
      </w:r>
    </w:p>
    <w:p>
      <w:pPr>
        <w:pStyle w:val="Normal"/>
        <w:rPr>
          <w:sz w:val="22"/>
          <w:szCs w:val="20"/>
          <w:lang w:val="en-US"/>
        </w:rPr>
      </w:pPr>
      <w:r>
        <w:rPr>
          <w:sz w:val="22"/>
          <w:szCs w:val="20"/>
          <w:lang w:val="en-US"/>
        </w:rPr>
        <w:t>Test scale = mean(unstandardized items)</w:t>
        <w:br/>
        <w:t>Average interitem covariance:      .811015</w:t>
        <w:br/>
        <w:t>Number of items in the scale:            3</w:t>
        <w:br/>
        <w:t>Scale reliability coefficient:      0.8449</w:t>
      </w:r>
    </w:p>
    <w:p>
      <w:pPr>
        <w:pStyle w:val="Normal"/>
        <w:rPr>
          <w:sz w:val="22"/>
          <w:szCs w:val="20"/>
          <w:lang w:val="en-US"/>
        </w:rPr>
      </w:pPr>
      <w:r>
        <w:rPr>
          <w:sz w:val="22"/>
          <w:szCs w:val="20"/>
          <w:lang w:val="en-US"/>
        </w:rPr>
      </w:r>
    </w:p>
    <w:p>
      <w:pPr>
        <w:pStyle w:val="Normal"/>
        <w:rPr>
          <w:b/>
          <w:b/>
          <w:bCs/>
          <w:lang w:val="en-US"/>
        </w:rPr>
      </w:pPr>
      <w:r>
        <w:rPr>
          <w:b/>
          <w:bCs/>
          <w:lang w:val="en-US"/>
        </w:rPr>
        <w:t>Appendiks 4: Breusch-Pagan/Cook-Weisberg test for nivå 2</w:t>
      </w:r>
    </w:p>
    <w:p>
      <w:pPr>
        <w:pStyle w:val="Normal"/>
        <w:rPr>
          <w:lang w:val="en-US"/>
        </w:rPr>
      </w:pPr>
      <w:r>
        <w:rPr>
          <w:lang w:val="en-US"/>
        </w:rPr>
        <w:t xml:space="preserve">Breusch-Pagan / Cook-Weisberg test for heteroskedasticity </w:t>
        <w:br/>
        <w:t xml:space="preserve">         Ho: Constant variance</w:t>
        <w:br/>
        <w:t xml:space="preserve">         Variables: polps</w:t>
        <w:br/>
        <w:t xml:space="preserve">         chi2(1)      =     6.28</w:t>
        <w:br/>
        <w:t xml:space="preserve">         Prob &gt; chi2  =   0.0122</w:t>
      </w:r>
    </w:p>
    <w:p>
      <w:pPr>
        <w:pStyle w:val="Normal"/>
        <w:rPr>
          <w:lang w:val="en-US"/>
        </w:rPr>
      </w:pPr>
      <w:r>
        <w:rPr>
          <w:lang w:val="en-US"/>
        </w:rPr>
      </w:r>
    </w:p>
    <w:p>
      <w:pPr>
        <w:pStyle w:val="Normal"/>
        <w:rPr>
          <w:b/>
          <w:b/>
          <w:bCs/>
          <w:lang w:val="en-US"/>
        </w:rPr>
      </w:pPr>
      <w:r>
        <w:rPr>
          <w:b/>
          <w:bCs/>
          <w:lang w:val="en-US"/>
        </w:rPr>
        <w:t>Appendiks 5: Breusch-Pagan/Cook-Weisberg test for nivå 1</w:t>
      </w:r>
    </w:p>
    <w:p>
      <w:pPr>
        <w:pStyle w:val="Normal"/>
        <w:rPr>
          <w:lang w:val="nn-NO"/>
        </w:rPr>
      </w:pPr>
      <w:r>
        <w:rPr>
          <w:lang w:val="nn-NO"/>
        </w:rPr>
        <w:t xml:space="preserve">Breusch-Pagan / Cook-Weisberg test for heteroskedasticity </w:t>
        <w:br/>
        <w:t xml:space="preserve">         Ho: Constant variance</w:t>
        <w:br/>
        <w:t xml:space="preserve">         Variables: undertrykt kvinne alder uteninntekt utdanning</w:t>
        <w:br/>
        <w:t xml:space="preserve">         chi2(7)      =    81.39</w:t>
        <w:br/>
        <w:t xml:space="preserve">         Prob &gt; chi2  =   0.0000</w:t>
        <w:br/>
      </w:r>
    </w:p>
    <w:p>
      <w:pPr>
        <w:pStyle w:val="Normal"/>
        <w:rPr>
          <w:lang w:val="nn-NO"/>
        </w:rPr>
      </w:pPr>
      <w:r>
        <w:rPr>
          <w:lang w:val="nn-NO"/>
        </w:rPr>
      </w:r>
    </w:p>
    <w:p>
      <w:pPr>
        <w:pStyle w:val="Normal"/>
        <w:rPr>
          <w:b/>
          <w:b/>
          <w:bCs/>
        </w:rPr>
      </w:pPr>
      <w:r>
        <w:rPr>
          <w:b/>
          <w:bCs/>
        </w:rPr>
        <w:t>Appendiks 6: Skjevhet og kurtose for variabler</w:t>
      </w:r>
    </w:p>
    <w:tbl>
      <w:tblPr>
        <w:tblW w:w="10708" w:type="dxa"/>
        <w:jc w:val="left"/>
        <w:tblInd w:w="0" w:type="dxa"/>
        <w:tblLayout w:type="fixed"/>
        <w:tblCellMar>
          <w:top w:w="0" w:type="dxa"/>
          <w:left w:w="108" w:type="dxa"/>
          <w:bottom w:w="0" w:type="dxa"/>
          <w:right w:w="108" w:type="dxa"/>
        </w:tblCellMar>
      </w:tblPr>
      <w:tblGrid>
        <w:gridCol w:w="1908"/>
        <w:gridCol w:w="800"/>
        <w:gridCol w:w="1000"/>
        <w:gridCol w:w="1000"/>
        <w:gridCol w:w="1000"/>
        <w:gridCol w:w="999"/>
        <w:gridCol w:w="1000"/>
        <w:gridCol w:w="1000"/>
        <w:gridCol w:w="1000"/>
        <w:gridCol w:w="1001"/>
      </w:tblGrid>
      <w:tr>
        <w:trPr/>
        <w:tc>
          <w:tcPr>
            <w:tcW w:w="1908" w:type="dxa"/>
            <w:tcBorders>
              <w:top w:val="single" w:sz="4" w:space="0" w:color="000000"/>
              <w:bottom w:val="single" w:sz="10" w:space="0" w:color="000000"/>
            </w:tcBorders>
          </w:tcPr>
          <w:p>
            <w:pPr>
              <w:pStyle w:val="Normal"/>
              <w:widowControl w:val="false"/>
              <w:spacing w:before="0" w:after="160"/>
              <w:rPr>
                <w:rFonts w:cs="Times New Roman"/>
                <w:sz w:val="20"/>
                <w:szCs w:val="20"/>
              </w:rPr>
            </w:pPr>
            <w:r>
              <w:rPr>
                <w:rFonts w:cs="Times New Roman"/>
                <w:sz w:val="20"/>
                <w:szCs w:val="20"/>
              </w:rPr>
              <w:t xml:space="preserve"> </w:t>
            </w:r>
            <w:r>
              <w:rPr>
                <w:rFonts w:cs="Times New Roman"/>
                <w:sz w:val="20"/>
                <w:szCs w:val="20"/>
                <w:lang w:val="en-US"/>
              </w:rPr>
              <w:t>Variables</w:t>
            </w:r>
          </w:p>
        </w:tc>
        <w:tc>
          <w:tcPr>
            <w:tcW w:w="800" w:type="dxa"/>
            <w:tcBorders>
              <w:top w:val="single" w:sz="4" w:space="0" w:color="000000"/>
              <w:bottom w:val="single" w:sz="10" w:space="0" w:color="000000"/>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Obs</w:t>
            </w:r>
          </w:p>
        </w:tc>
        <w:tc>
          <w:tcPr>
            <w:tcW w:w="1000" w:type="dxa"/>
            <w:tcBorders>
              <w:top w:val="single" w:sz="4" w:space="0" w:color="000000"/>
              <w:bottom w:val="single" w:sz="10" w:space="0" w:color="000000"/>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Mean</w:t>
            </w:r>
          </w:p>
        </w:tc>
        <w:tc>
          <w:tcPr>
            <w:tcW w:w="1000" w:type="dxa"/>
            <w:tcBorders>
              <w:top w:val="single" w:sz="4" w:space="0" w:color="000000"/>
              <w:bottom w:val="single" w:sz="10" w:space="0" w:color="000000"/>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Std. Dev.</w:t>
            </w:r>
          </w:p>
        </w:tc>
        <w:tc>
          <w:tcPr>
            <w:tcW w:w="1000" w:type="dxa"/>
            <w:tcBorders>
              <w:top w:val="single" w:sz="4" w:space="0" w:color="000000"/>
              <w:bottom w:val="single" w:sz="10" w:space="0" w:color="000000"/>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Min</w:t>
            </w:r>
          </w:p>
        </w:tc>
        <w:tc>
          <w:tcPr>
            <w:tcW w:w="999" w:type="dxa"/>
            <w:tcBorders>
              <w:top w:val="single" w:sz="4" w:space="0" w:color="000000"/>
              <w:bottom w:val="single" w:sz="10" w:space="0" w:color="000000"/>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Max</w:t>
            </w:r>
          </w:p>
        </w:tc>
        <w:tc>
          <w:tcPr>
            <w:tcW w:w="1000" w:type="dxa"/>
            <w:tcBorders>
              <w:top w:val="single" w:sz="4" w:space="0" w:color="000000"/>
              <w:bottom w:val="single" w:sz="10" w:space="0" w:color="000000"/>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p1</w:t>
            </w:r>
          </w:p>
        </w:tc>
        <w:tc>
          <w:tcPr>
            <w:tcW w:w="1000" w:type="dxa"/>
            <w:tcBorders>
              <w:top w:val="single" w:sz="4" w:space="0" w:color="000000"/>
              <w:bottom w:val="single" w:sz="10" w:space="0" w:color="000000"/>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p99</w:t>
            </w:r>
          </w:p>
        </w:tc>
        <w:tc>
          <w:tcPr>
            <w:tcW w:w="1000" w:type="dxa"/>
            <w:tcBorders>
              <w:top w:val="single" w:sz="4" w:space="0" w:color="000000"/>
              <w:bottom w:val="single" w:sz="10" w:space="0" w:color="000000"/>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Skew.</w:t>
            </w:r>
          </w:p>
        </w:tc>
        <w:tc>
          <w:tcPr>
            <w:tcW w:w="1001" w:type="dxa"/>
            <w:tcBorders>
              <w:top w:val="single" w:sz="4" w:space="0" w:color="000000"/>
              <w:bottom w:val="single" w:sz="10" w:space="0" w:color="000000"/>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Kurt.</w:t>
            </w:r>
          </w:p>
        </w:tc>
      </w:tr>
      <w:tr>
        <w:trPr/>
        <w:tc>
          <w:tcPr>
            <w:tcW w:w="1908" w:type="dxa"/>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politisktillit</w:t>
            </w:r>
          </w:p>
        </w:tc>
        <w:tc>
          <w:tcPr>
            <w:tcW w:w="800" w:type="dxa"/>
            <w:tcBorders/>
          </w:tcPr>
          <w:p>
            <w:pPr>
              <w:pStyle w:val="Normal"/>
              <w:widowControl w:val="false"/>
              <w:spacing w:before="0" w:after="160"/>
              <w:rPr>
                <w:rFonts w:cs="Times New Roman"/>
                <w:sz w:val="20"/>
                <w:szCs w:val="20"/>
                <w:lang w:val="en-US"/>
              </w:rPr>
            </w:pPr>
            <w:r>
              <w:rPr>
                <w:rFonts w:cs="Times New Roman"/>
                <w:sz w:val="20"/>
                <w:szCs w:val="20"/>
                <w:lang w:val="en-US"/>
              </w:rPr>
              <w:t>12781</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2.514</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1.011</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1</w:t>
            </w:r>
          </w:p>
        </w:tc>
        <w:tc>
          <w:tcPr>
            <w:tcW w:w="999" w:type="dxa"/>
            <w:tcBorders/>
          </w:tcPr>
          <w:p>
            <w:pPr>
              <w:pStyle w:val="Normal"/>
              <w:widowControl w:val="false"/>
              <w:spacing w:before="0" w:after="160"/>
              <w:rPr>
                <w:rFonts w:cs="Times New Roman"/>
                <w:sz w:val="20"/>
                <w:szCs w:val="20"/>
                <w:lang w:val="en-US"/>
              </w:rPr>
            </w:pPr>
            <w:r>
              <w:rPr>
                <w:rFonts w:cs="Times New Roman"/>
                <w:sz w:val="20"/>
                <w:szCs w:val="20"/>
                <w:lang w:val="en-US"/>
              </w:rPr>
              <w:t>4</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1</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4</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.008</w:t>
            </w:r>
          </w:p>
        </w:tc>
        <w:tc>
          <w:tcPr>
            <w:tcW w:w="1001" w:type="dxa"/>
            <w:tcBorders/>
          </w:tcPr>
          <w:p>
            <w:pPr>
              <w:pStyle w:val="Normal"/>
              <w:widowControl w:val="false"/>
              <w:spacing w:before="0" w:after="160"/>
              <w:rPr>
                <w:rFonts w:cs="Times New Roman"/>
                <w:sz w:val="20"/>
                <w:szCs w:val="20"/>
                <w:lang w:val="en-US"/>
              </w:rPr>
            </w:pPr>
            <w:r>
              <w:rPr>
                <w:rFonts w:cs="Times New Roman"/>
                <w:sz w:val="20"/>
                <w:szCs w:val="20"/>
                <w:lang w:val="en-US"/>
              </w:rPr>
              <w:t>1.771</w:t>
            </w:r>
          </w:p>
        </w:tc>
      </w:tr>
      <w:tr>
        <w:trPr/>
        <w:tc>
          <w:tcPr>
            <w:tcW w:w="1908" w:type="dxa"/>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polps</w:t>
            </w:r>
          </w:p>
        </w:tc>
        <w:tc>
          <w:tcPr>
            <w:tcW w:w="800" w:type="dxa"/>
            <w:tcBorders/>
          </w:tcPr>
          <w:p>
            <w:pPr>
              <w:pStyle w:val="Normal"/>
              <w:widowControl w:val="false"/>
              <w:spacing w:before="0" w:after="160"/>
              <w:rPr>
                <w:rFonts w:cs="Times New Roman"/>
                <w:sz w:val="20"/>
                <w:szCs w:val="20"/>
                <w:lang w:val="en-US"/>
              </w:rPr>
            </w:pPr>
            <w:r>
              <w:rPr>
                <w:rFonts w:cs="Times New Roman"/>
                <w:sz w:val="20"/>
                <w:szCs w:val="20"/>
                <w:lang w:val="en-US"/>
              </w:rPr>
              <w:t>12781</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.488</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.5</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0</w:t>
            </w:r>
          </w:p>
        </w:tc>
        <w:tc>
          <w:tcPr>
            <w:tcW w:w="999" w:type="dxa"/>
            <w:tcBorders/>
          </w:tcPr>
          <w:p>
            <w:pPr>
              <w:pStyle w:val="Normal"/>
              <w:widowControl w:val="false"/>
              <w:spacing w:before="0" w:after="160"/>
              <w:rPr>
                <w:rFonts w:cs="Times New Roman"/>
                <w:sz w:val="20"/>
                <w:szCs w:val="20"/>
                <w:lang w:val="en-US"/>
              </w:rPr>
            </w:pPr>
            <w:r>
              <w:rPr>
                <w:rFonts w:cs="Times New Roman"/>
                <w:sz w:val="20"/>
                <w:szCs w:val="20"/>
                <w:lang w:val="en-US"/>
              </w:rPr>
              <w:t>1</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0</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1</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.048</w:t>
            </w:r>
          </w:p>
        </w:tc>
        <w:tc>
          <w:tcPr>
            <w:tcW w:w="1001" w:type="dxa"/>
            <w:tcBorders/>
          </w:tcPr>
          <w:p>
            <w:pPr>
              <w:pStyle w:val="Normal"/>
              <w:widowControl w:val="false"/>
              <w:spacing w:before="0" w:after="160"/>
              <w:rPr>
                <w:rFonts w:cs="Times New Roman"/>
                <w:sz w:val="20"/>
                <w:szCs w:val="20"/>
                <w:lang w:val="en-US"/>
              </w:rPr>
            </w:pPr>
            <w:r>
              <w:rPr>
                <w:rFonts w:cs="Times New Roman"/>
                <w:sz w:val="20"/>
                <w:szCs w:val="20"/>
                <w:lang w:val="en-US"/>
              </w:rPr>
              <w:t>1.002</w:t>
            </w:r>
          </w:p>
        </w:tc>
      </w:tr>
      <w:tr>
        <w:trPr/>
        <w:tc>
          <w:tcPr>
            <w:tcW w:w="1908" w:type="dxa"/>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kvinne</w:t>
            </w:r>
          </w:p>
        </w:tc>
        <w:tc>
          <w:tcPr>
            <w:tcW w:w="800" w:type="dxa"/>
            <w:tcBorders/>
          </w:tcPr>
          <w:p>
            <w:pPr>
              <w:pStyle w:val="Normal"/>
              <w:widowControl w:val="false"/>
              <w:spacing w:before="0" w:after="160"/>
              <w:rPr>
                <w:rFonts w:cs="Times New Roman"/>
                <w:sz w:val="20"/>
                <w:szCs w:val="20"/>
                <w:lang w:val="en-US"/>
              </w:rPr>
            </w:pPr>
            <w:r>
              <w:rPr>
                <w:rFonts w:cs="Times New Roman"/>
                <w:sz w:val="20"/>
                <w:szCs w:val="20"/>
                <w:lang w:val="en-US"/>
              </w:rPr>
              <w:t>12781</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.49</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.5</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0</w:t>
            </w:r>
          </w:p>
        </w:tc>
        <w:tc>
          <w:tcPr>
            <w:tcW w:w="999" w:type="dxa"/>
            <w:tcBorders/>
          </w:tcPr>
          <w:p>
            <w:pPr>
              <w:pStyle w:val="Normal"/>
              <w:widowControl w:val="false"/>
              <w:spacing w:before="0" w:after="160"/>
              <w:rPr>
                <w:rFonts w:cs="Times New Roman"/>
                <w:sz w:val="20"/>
                <w:szCs w:val="20"/>
                <w:lang w:val="en-US"/>
              </w:rPr>
            </w:pPr>
            <w:r>
              <w:rPr>
                <w:rFonts w:cs="Times New Roman"/>
                <w:sz w:val="20"/>
                <w:szCs w:val="20"/>
                <w:lang w:val="en-US"/>
              </w:rPr>
              <w:t>1</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0</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1</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.038</w:t>
            </w:r>
          </w:p>
        </w:tc>
        <w:tc>
          <w:tcPr>
            <w:tcW w:w="1001" w:type="dxa"/>
            <w:tcBorders/>
          </w:tcPr>
          <w:p>
            <w:pPr>
              <w:pStyle w:val="Normal"/>
              <w:widowControl w:val="false"/>
              <w:spacing w:before="0" w:after="160"/>
              <w:rPr>
                <w:rFonts w:cs="Times New Roman"/>
                <w:sz w:val="20"/>
                <w:szCs w:val="20"/>
                <w:lang w:val="en-US"/>
              </w:rPr>
            </w:pPr>
            <w:r>
              <w:rPr>
                <w:rFonts w:cs="Times New Roman"/>
                <w:sz w:val="20"/>
                <w:szCs w:val="20"/>
                <w:lang w:val="en-US"/>
              </w:rPr>
              <w:t>1.001</w:t>
            </w:r>
          </w:p>
        </w:tc>
      </w:tr>
      <w:tr>
        <w:trPr/>
        <w:tc>
          <w:tcPr>
            <w:tcW w:w="1908" w:type="dxa"/>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alder</w:t>
            </w:r>
          </w:p>
        </w:tc>
        <w:tc>
          <w:tcPr>
            <w:tcW w:w="800" w:type="dxa"/>
            <w:tcBorders/>
          </w:tcPr>
          <w:p>
            <w:pPr>
              <w:pStyle w:val="Normal"/>
              <w:widowControl w:val="false"/>
              <w:spacing w:before="0" w:after="160"/>
              <w:rPr>
                <w:rFonts w:cs="Times New Roman"/>
                <w:sz w:val="20"/>
                <w:szCs w:val="20"/>
                <w:lang w:val="en-US"/>
              </w:rPr>
            </w:pPr>
            <w:r>
              <w:rPr>
                <w:rFonts w:cs="Times New Roman"/>
                <w:sz w:val="20"/>
                <w:szCs w:val="20"/>
                <w:lang w:val="en-US"/>
              </w:rPr>
              <w:t>12781</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37.451</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14.302</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18</w:t>
            </w:r>
          </w:p>
        </w:tc>
        <w:tc>
          <w:tcPr>
            <w:tcW w:w="999" w:type="dxa"/>
            <w:tcBorders/>
          </w:tcPr>
          <w:p>
            <w:pPr>
              <w:pStyle w:val="Normal"/>
              <w:widowControl w:val="false"/>
              <w:spacing w:before="0" w:after="160"/>
              <w:rPr>
                <w:rFonts w:cs="Times New Roman"/>
                <w:sz w:val="20"/>
                <w:szCs w:val="20"/>
                <w:lang w:val="en-US"/>
              </w:rPr>
            </w:pPr>
            <w:r>
              <w:rPr>
                <w:rFonts w:cs="Times New Roman"/>
                <w:sz w:val="20"/>
                <w:szCs w:val="20"/>
                <w:lang w:val="en-US"/>
              </w:rPr>
              <w:t>103</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18</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78</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.884</w:t>
            </w:r>
          </w:p>
        </w:tc>
        <w:tc>
          <w:tcPr>
            <w:tcW w:w="1001" w:type="dxa"/>
            <w:tcBorders/>
          </w:tcPr>
          <w:p>
            <w:pPr>
              <w:pStyle w:val="Normal"/>
              <w:widowControl w:val="false"/>
              <w:spacing w:before="0" w:after="160"/>
              <w:rPr>
                <w:rFonts w:cs="Times New Roman"/>
                <w:sz w:val="20"/>
                <w:szCs w:val="20"/>
                <w:lang w:val="en-US"/>
              </w:rPr>
            </w:pPr>
            <w:r>
              <w:rPr>
                <w:rFonts w:cs="Times New Roman"/>
                <w:sz w:val="20"/>
                <w:szCs w:val="20"/>
                <w:lang w:val="en-US"/>
              </w:rPr>
              <w:t>3.285</w:t>
            </w:r>
          </w:p>
        </w:tc>
      </w:tr>
      <w:tr>
        <w:trPr/>
        <w:tc>
          <w:tcPr>
            <w:tcW w:w="1908" w:type="dxa"/>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utdanning</w:t>
            </w:r>
          </w:p>
        </w:tc>
        <w:tc>
          <w:tcPr>
            <w:tcW w:w="800" w:type="dxa"/>
            <w:tcBorders/>
          </w:tcPr>
          <w:p>
            <w:pPr>
              <w:pStyle w:val="Normal"/>
              <w:widowControl w:val="false"/>
              <w:spacing w:before="0" w:after="160"/>
              <w:rPr>
                <w:rFonts w:cs="Times New Roman"/>
                <w:sz w:val="20"/>
                <w:szCs w:val="20"/>
                <w:lang w:val="en-US"/>
              </w:rPr>
            </w:pPr>
            <w:r>
              <w:rPr>
                <w:rFonts w:cs="Times New Roman"/>
                <w:sz w:val="20"/>
                <w:szCs w:val="20"/>
                <w:lang w:val="en-US"/>
              </w:rPr>
              <w:t>12781</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1.46</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1.016</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0</w:t>
            </w:r>
          </w:p>
        </w:tc>
        <w:tc>
          <w:tcPr>
            <w:tcW w:w="999" w:type="dxa"/>
            <w:tcBorders/>
          </w:tcPr>
          <w:p>
            <w:pPr>
              <w:pStyle w:val="Normal"/>
              <w:widowControl w:val="false"/>
              <w:spacing w:before="0" w:after="160"/>
              <w:rPr>
                <w:rFonts w:cs="Times New Roman"/>
                <w:sz w:val="20"/>
                <w:szCs w:val="20"/>
                <w:lang w:val="en-US"/>
              </w:rPr>
            </w:pPr>
            <w:r>
              <w:rPr>
                <w:rFonts w:cs="Times New Roman"/>
                <w:sz w:val="20"/>
                <w:szCs w:val="20"/>
                <w:lang w:val="en-US"/>
              </w:rPr>
              <w:t>3</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0</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3</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-.123</w:t>
            </w:r>
          </w:p>
        </w:tc>
        <w:tc>
          <w:tcPr>
            <w:tcW w:w="1001" w:type="dxa"/>
            <w:tcBorders/>
          </w:tcPr>
          <w:p>
            <w:pPr>
              <w:pStyle w:val="Normal"/>
              <w:widowControl w:val="false"/>
              <w:spacing w:before="0" w:after="160"/>
              <w:rPr>
                <w:rFonts w:cs="Times New Roman"/>
                <w:sz w:val="20"/>
                <w:szCs w:val="20"/>
                <w:lang w:val="en-US"/>
              </w:rPr>
            </w:pPr>
            <w:r>
              <w:rPr>
                <w:rFonts w:cs="Times New Roman"/>
                <w:sz w:val="20"/>
                <w:szCs w:val="20"/>
                <w:lang w:val="en-US"/>
              </w:rPr>
              <w:t>1.869</w:t>
            </w:r>
          </w:p>
        </w:tc>
      </w:tr>
      <w:tr>
        <w:trPr/>
        <w:tc>
          <w:tcPr>
            <w:tcW w:w="1908" w:type="dxa"/>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uteninntekt</w:t>
            </w:r>
          </w:p>
        </w:tc>
        <w:tc>
          <w:tcPr>
            <w:tcW w:w="800" w:type="dxa"/>
            <w:tcBorders/>
          </w:tcPr>
          <w:p>
            <w:pPr>
              <w:pStyle w:val="Normal"/>
              <w:widowControl w:val="false"/>
              <w:spacing w:before="0" w:after="160"/>
              <w:rPr>
                <w:rFonts w:cs="Times New Roman"/>
                <w:sz w:val="20"/>
                <w:szCs w:val="20"/>
                <w:lang w:val="en-US"/>
              </w:rPr>
            </w:pPr>
            <w:r>
              <w:rPr>
                <w:rFonts w:cs="Times New Roman"/>
                <w:sz w:val="20"/>
                <w:szCs w:val="20"/>
                <w:lang w:val="en-US"/>
              </w:rPr>
              <w:t>12781</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.641</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.48</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0</w:t>
            </w:r>
          </w:p>
        </w:tc>
        <w:tc>
          <w:tcPr>
            <w:tcW w:w="999" w:type="dxa"/>
            <w:tcBorders/>
          </w:tcPr>
          <w:p>
            <w:pPr>
              <w:pStyle w:val="Normal"/>
              <w:widowControl w:val="false"/>
              <w:spacing w:before="0" w:after="160"/>
              <w:rPr>
                <w:rFonts w:cs="Times New Roman"/>
                <w:sz w:val="20"/>
                <w:szCs w:val="20"/>
                <w:lang w:val="en-US"/>
              </w:rPr>
            </w:pPr>
            <w:r>
              <w:rPr>
                <w:rFonts w:cs="Times New Roman"/>
                <w:sz w:val="20"/>
                <w:szCs w:val="20"/>
                <w:lang w:val="en-US"/>
              </w:rPr>
              <w:t>1</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0</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1</w:t>
            </w:r>
          </w:p>
        </w:tc>
        <w:tc>
          <w:tcPr>
            <w:tcW w:w="1000" w:type="dxa"/>
            <w:tcBorders/>
          </w:tcPr>
          <w:p>
            <w:pPr>
              <w:pStyle w:val="Normal"/>
              <w:widowControl w:val="false"/>
              <w:spacing w:before="0" w:after="160"/>
              <w:rPr>
                <w:rFonts w:cs="Times New Roman"/>
                <w:sz w:val="20"/>
                <w:szCs w:val="20"/>
                <w:lang w:val="en-US"/>
              </w:rPr>
            </w:pPr>
            <w:r>
              <w:rPr>
                <w:rFonts w:cs="Times New Roman"/>
                <w:sz w:val="20"/>
                <w:szCs w:val="20"/>
                <w:lang w:val="en-US"/>
              </w:rPr>
              <w:t>-.587</w:t>
            </w:r>
          </w:p>
        </w:tc>
        <w:tc>
          <w:tcPr>
            <w:tcW w:w="1001" w:type="dxa"/>
            <w:tcBorders/>
          </w:tcPr>
          <w:p>
            <w:pPr>
              <w:pStyle w:val="Normal"/>
              <w:widowControl w:val="false"/>
              <w:spacing w:before="0" w:after="160"/>
              <w:rPr>
                <w:rFonts w:cs="Times New Roman"/>
                <w:sz w:val="20"/>
                <w:szCs w:val="20"/>
                <w:lang w:val="en-US"/>
              </w:rPr>
            </w:pPr>
            <w:r>
              <w:rPr>
                <w:rFonts w:cs="Times New Roman"/>
                <w:sz w:val="20"/>
                <w:szCs w:val="20"/>
                <w:lang w:val="en-US"/>
              </w:rPr>
              <w:t>1.344</w:t>
            </w:r>
          </w:p>
        </w:tc>
      </w:tr>
      <w:tr>
        <w:trPr/>
        <w:tc>
          <w:tcPr>
            <w:tcW w:w="10708" w:type="dxa"/>
            <w:gridSpan w:val="10"/>
            <w:tcBorders>
              <w:top w:val="single" w:sz="6" w:space="0" w:color="000000"/>
            </w:tcBorders>
          </w:tcPr>
          <w:p>
            <w:pPr>
              <w:pStyle w:val="Normal"/>
              <w:widowControl w:val="false"/>
              <w:spacing w:before="0" w:after="160"/>
              <w:rPr>
                <w:rFonts w:cs="Times New Roman"/>
                <w:sz w:val="20"/>
                <w:szCs w:val="20"/>
                <w:lang w:val="en-US"/>
              </w:rPr>
            </w:pPr>
            <w:r>
              <w:rPr>
                <w:rFonts w:cs="Times New Roman"/>
                <w:sz w:val="20"/>
                <w:szCs w:val="20"/>
                <w:lang w:val="en-US"/>
              </w:rPr>
            </w:r>
          </w:p>
        </w:tc>
      </w:tr>
    </w:tbl>
    <w:p>
      <w:pPr>
        <w:pStyle w:val="Normal"/>
        <w:rPr>
          <w:rFonts w:cs="Times New Roman"/>
          <w:lang w:val="en-US"/>
        </w:rPr>
      </w:pPr>
      <w:r>
        <w:rPr>
          <w:rFonts w:cs="Times New Roman"/>
          <w:lang w:val="en-US"/>
        </w:rPr>
        <w:t xml:space="preserve"> </w:t>
      </w:r>
    </w:p>
    <w:p>
      <w:pPr>
        <w:pStyle w:val="Normal"/>
        <w:rPr>
          <w:b/>
          <w:b/>
          <w:bCs/>
          <w:lang w:val="en-US"/>
        </w:rPr>
      </w:pPr>
      <w:r>
        <w:rPr>
          <w:b/>
          <w:bCs/>
          <w:lang w:val="en-US"/>
        </w:rPr>
        <w:t>Appendiks 7: Skjevhet og kurtoses for residualene</w:t>
      </w:r>
    </w:p>
    <w:tbl>
      <w:tblPr>
        <w:tblW w:w="10708" w:type="dxa"/>
        <w:jc w:val="left"/>
        <w:tblInd w:w="0" w:type="dxa"/>
        <w:tblLayout w:type="fixed"/>
        <w:tblCellMar>
          <w:top w:w="0" w:type="dxa"/>
          <w:left w:w="108" w:type="dxa"/>
          <w:bottom w:w="0" w:type="dxa"/>
          <w:right w:w="108" w:type="dxa"/>
        </w:tblCellMar>
      </w:tblPr>
      <w:tblGrid>
        <w:gridCol w:w="1908"/>
        <w:gridCol w:w="800"/>
        <w:gridCol w:w="1000"/>
        <w:gridCol w:w="1000"/>
        <w:gridCol w:w="1000"/>
        <w:gridCol w:w="999"/>
        <w:gridCol w:w="1000"/>
        <w:gridCol w:w="1000"/>
        <w:gridCol w:w="1000"/>
        <w:gridCol w:w="1001"/>
      </w:tblGrid>
      <w:tr>
        <w:trPr/>
        <w:tc>
          <w:tcPr>
            <w:tcW w:w="1908" w:type="dxa"/>
            <w:tcBorders>
              <w:top w:val="single" w:sz="4" w:space="0" w:color="000000"/>
              <w:bottom w:val="single" w:sz="10" w:space="0" w:color="000000"/>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Variables</w:t>
            </w:r>
          </w:p>
        </w:tc>
        <w:tc>
          <w:tcPr>
            <w:tcW w:w="800" w:type="dxa"/>
            <w:tcBorders>
              <w:top w:val="single" w:sz="4" w:space="0" w:color="000000"/>
              <w:bottom w:val="single" w:sz="10" w:space="0" w:color="000000"/>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Obs</w:t>
            </w:r>
          </w:p>
        </w:tc>
        <w:tc>
          <w:tcPr>
            <w:tcW w:w="1000" w:type="dxa"/>
            <w:tcBorders>
              <w:top w:val="single" w:sz="4" w:space="0" w:color="000000"/>
              <w:bottom w:val="single" w:sz="10" w:space="0" w:color="000000"/>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Mean</w:t>
            </w:r>
          </w:p>
        </w:tc>
        <w:tc>
          <w:tcPr>
            <w:tcW w:w="1000" w:type="dxa"/>
            <w:tcBorders>
              <w:top w:val="single" w:sz="4" w:space="0" w:color="000000"/>
              <w:bottom w:val="single" w:sz="10" w:space="0" w:color="000000"/>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Std. Dev.</w:t>
            </w:r>
          </w:p>
        </w:tc>
        <w:tc>
          <w:tcPr>
            <w:tcW w:w="1000" w:type="dxa"/>
            <w:tcBorders>
              <w:top w:val="single" w:sz="4" w:space="0" w:color="000000"/>
              <w:bottom w:val="single" w:sz="10" w:space="0" w:color="000000"/>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Min</w:t>
            </w:r>
          </w:p>
        </w:tc>
        <w:tc>
          <w:tcPr>
            <w:tcW w:w="999" w:type="dxa"/>
            <w:tcBorders>
              <w:top w:val="single" w:sz="4" w:space="0" w:color="000000"/>
              <w:bottom w:val="single" w:sz="10" w:space="0" w:color="000000"/>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Max</w:t>
            </w:r>
          </w:p>
        </w:tc>
        <w:tc>
          <w:tcPr>
            <w:tcW w:w="1000" w:type="dxa"/>
            <w:tcBorders>
              <w:top w:val="single" w:sz="4" w:space="0" w:color="000000"/>
              <w:bottom w:val="single" w:sz="10" w:space="0" w:color="000000"/>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p1</w:t>
            </w:r>
          </w:p>
        </w:tc>
        <w:tc>
          <w:tcPr>
            <w:tcW w:w="1000" w:type="dxa"/>
            <w:tcBorders>
              <w:top w:val="single" w:sz="4" w:space="0" w:color="000000"/>
              <w:bottom w:val="single" w:sz="10" w:space="0" w:color="000000"/>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p99</w:t>
            </w:r>
          </w:p>
        </w:tc>
        <w:tc>
          <w:tcPr>
            <w:tcW w:w="1000" w:type="dxa"/>
            <w:tcBorders>
              <w:top w:val="single" w:sz="4" w:space="0" w:color="000000"/>
              <w:bottom w:val="single" w:sz="10" w:space="0" w:color="000000"/>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Skew.</w:t>
            </w:r>
          </w:p>
        </w:tc>
        <w:tc>
          <w:tcPr>
            <w:tcW w:w="1001" w:type="dxa"/>
            <w:tcBorders>
              <w:top w:val="single" w:sz="4" w:space="0" w:color="000000"/>
              <w:bottom w:val="single" w:sz="10" w:space="0" w:color="000000"/>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Kurt.</w:t>
            </w:r>
          </w:p>
        </w:tc>
      </w:tr>
      <w:tr>
        <w:trPr/>
        <w:tc>
          <w:tcPr>
            <w:tcW w:w="1908" w:type="dxa"/>
            <w:tcBorders/>
          </w:tcPr>
          <w:p>
            <w:pPr>
              <w:pStyle w:val="Normal"/>
              <w:widowControl w:val="false"/>
              <w:spacing w:before="0" w:after="160"/>
              <w:rPr>
                <w:sz w:val="22"/>
                <w:szCs w:val="20"/>
                <w:lang w:val="en-US"/>
              </w:rPr>
            </w:pPr>
            <w:r>
              <w:rPr>
                <w:sz w:val="22"/>
                <w:szCs w:val="20"/>
                <w:lang w:val="en-US"/>
              </w:rPr>
              <w:t xml:space="preserve"> </w:t>
            </w:r>
            <w:r>
              <w:rPr>
                <w:sz w:val="22"/>
                <w:szCs w:val="20"/>
                <w:lang w:val="en-US"/>
              </w:rPr>
              <w:t>residualer</w:t>
            </w:r>
          </w:p>
        </w:tc>
        <w:tc>
          <w:tcPr>
            <w:tcW w:w="800" w:type="dxa"/>
            <w:tcBorders/>
          </w:tcPr>
          <w:p>
            <w:pPr>
              <w:pStyle w:val="Normal"/>
              <w:widowControl w:val="false"/>
              <w:spacing w:before="0" w:after="160"/>
              <w:rPr>
                <w:sz w:val="22"/>
                <w:szCs w:val="20"/>
                <w:lang w:val="en-US"/>
              </w:rPr>
            </w:pPr>
            <w:r>
              <w:rPr>
                <w:sz w:val="22"/>
                <w:szCs w:val="20"/>
                <w:lang w:val="en-US"/>
              </w:rPr>
              <w:t>12781</w:t>
            </w:r>
          </w:p>
        </w:tc>
        <w:tc>
          <w:tcPr>
            <w:tcW w:w="1000" w:type="dxa"/>
            <w:tcBorders/>
          </w:tcPr>
          <w:p>
            <w:pPr>
              <w:pStyle w:val="Normal"/>
              <w:widowControl w:val="false"/>
              <w:spacing w:before="0" w:after="160"/>
              <w:rPr>
                <w:sz w:val="22"/>
                <w:szCs w:val="20"/>
                <w:lang w:val="en-US"/>
              </w:rPr>
            </w:pPr>
            <w:r>
              <w:rPr>
                <w:sz w:val="22"/>
                <w:szCs w:val="20"/>
                <w:lang w:val="en-US"/>
              </w:rPr>
              <w:t>0</w:t>
            </w:r>
          </w:p>
        </w:tc>
        <w:tc>
          <w:tcPr>
            <w:tcW w:w="1000" w:type="dxa"/>
            <w:tcBorders/>
          </w:tcPr>
          <w:p>
            <w:pPr>
              <w:pStyle w:val="Normal"/>
              <w:widowControl w:val="false"/>
              <w:spacing w:before="0" w:after="160"/>
              <w:rPr>
                <w:sz w:val="22"/>
                <w:szCs w:val="20"/>
                <w:lang w:val="en-US"/>
              </w:rPr>
            </w:pPr>
            <w:r>
              <w:rPr>
                <w:sz w:val="22"/>
                <w:szCs w:val="20"/>
                <w:lang w:val="en-US"/>
              </w:rPr>
              <w:t>.919</w:t>
            </w:r>
          </w:p>
        </w:tc>
        <w:tc>
          <w:tcPr>
            <w:tcW w:w="1000" w:type="dxa"/>
            <w:tcBorders/>
          </w:tcPr>
          <w:p>
            <w:pPr>
              <w:pStyle w:val="Normal"/>
              <w:widowControl w:val="false"/>
              <w:spacing w:before="0" w:after="160"/>
              <w:rPr>
                <w:sz w:val="22"/>
                <w:szCs w:val="20"/>
                <w:lang w:val="en-US"/>
              </w:rPr>
            </w:pPr>
            <w:r>
              <w:rPr>
                <w:sz w:val="22"/>
                <w:szCs w:val="20"/>
                <w:lang w:val="en-US"/>
              </w:rPr>
              <w:t>-2.449</w:t>
            </w:r>
          </w:p>
        </w:tc>
        <w:tc>
          <w:tcPr>
            <w:tcW w:w="999" w:type="dxa"/>
            <w:tcBorders/>
          </w:tcPr>
          <w:p>
            <w:pPr>
              <w:pStyle w:val="Normal"/>
              <w:widowControl w:val="false"/>
              <w:spacing w:before="0" w:after="160"/>
              <w:rPr>
                <w:sz w:val="22"/>
                <w:szCs w:val="20"/>
                <w:lang w:val="en-US"/>
              </w:rPr>
            </w:pPr>
            <w:r>
              <w:rPr>
                <w:sz w:val="22"/>
                <w:szCs w:val="20"/>
                <w:lang w:val="en-US"/>
              </w:rPr>
              <w:t>2.265</w:t>
            </w:r>
          </w:p>
        </w:tc>
        <w:tc>
          <w:tcPr>
            <w:tcW w:w="1000" w:type="dxa"/>
            <w:tcBorders/>
          </w:tcPr>
          <w:p>
            <w:pPr>
              <w:pStyle w:val="Normal"/>
              <w:widowControl w:val="false"/>
              <w:spacing w:before="0" w:after="160"/>
              <w:rPr>
                <w:sz w:val="22"/>
                <w:szCs w:val="20"/>
                <w:lang w:val="en-US"/>
              </w:rPr>
            </w:pPr>
            <w:r>
              <w:rPr>
                <w:sz w:val="22"/>
                <w:szCs w:val="20"/>
                <w:lang w:val="en-US"/>
              </w:rPr>
              <w:t>-1.894</w:t>
            </w:r>
          </w:p>
        </w:tc>
        <w:tc>
          <w:tcPr>
            <w:tcW w:w="1000" w:type="dxa"/>
            <w:tcBorders/>
          </w:tcPr>
          <w:p>
            <w:pPr>
              <w:pStyle w:val="Normal"/>
              <w:widowControl w:val="false"/>
              <w:spacing w:before="0" w:after="160"/>
              <w:rPr>
                <w:sz w:val="22"/>
                <w:szCs w:val="20"/>
                <w:lang w:val="en-US"/>
              </w:rPr>
            </w:pPr>
            <w:r>
              <w:rPr>
                <w:sz w:val="22"/>
                <w:szCs w:val="20"/>
                <w:lang w:val="en-US"/>
              </w:rPr>
              <w:t>1.865</w:t>
            </w:r>
          </w:p>
        </w:tc>
        <w:tc>
          <w:tcPr>
            <w:tcW w:w="1000" w:type="dxa"/>
            <w:tcBorders/>
          </w:tcPr>
          <w:p>
            <w:pPr>
              <w:pStyle w:val="Normal"/>
              <w:widowControl w:val="false"/>
              <w:spacing w:before="0" w:after="160"/>
              <w:rPr>
                <w:sz w:val="22"/>
                <w:szCs w:val="20"/>
                <w:lang w:val="en-US"/>
              </w:rPr>
            </w:pPr>
            <w:r>
              <w:rPr>
                <w:sz w:val="22"/>
                <w:szCs w:val="20"/>
                <w:lang w:val="en-US"/>
              </w:rPr>
              <w:t>-.053</w:t>
            </w:r>
          </w:p>
        </w:tc>
        <w:tc>
          <w:tcPr>
            <w:tcW w:w="1001" w:type="dxa"/>
            <w:tcBorders/>
          </w:tcPr>
          <w:p>
            <w:pPr>
              <w:pStyle w:val="Normal"/>
              <w:widowControl w:val="false"/>
              <w:spacing w:before="0" w:after="160"/>
              <w:rPr>
                <w:sz w:val="22"/>
                <w:szCs w:val="20"/>
                <w:lang w:val="en-US"/>
              </w:rPr>
            </w:pPr>
            <w:r>
              <w:rPr>
                <w:sz w:val="22"/>
                <w:szCs w:val="20"/>
                <w:lang w:val="en-US"/>
              </w:rPr>
              <w:t>2.221</w:t>
            </w:r>
          </w:p>
        </w:tc>
      </w:tr>
      <w:tr>
        <w:trPr/>
        <w:tc>
          <w:tcPr>
            <w:tcW w:w="10708" w:type="dxa"/>
            <w:gridSpan w:val="10"/>
            <w:tcBorders>
              <w:top w:val="single" w:sz="6" w:space="0" w:color="000000"/>
            </w:tcBorders>
          </w:tcPr>
          <w:p>
            <w:pPr>
              <w:pStyle w:val="Normal"/>
              <w:widowControl w:val="false"/>
              <w:spacing w:before="0" w:after="160"/>
              <w:rPr>
                <w:sz w:val="22"/>
                <w:szCs w:val="20"/>
                <w:lang w:val="en-US"/>
              </w:rPr>
            </w:pPr>
            <w:r>
              <w:rPr>
                <w:sz w:val="22"/>
                <w:szCs w:val="20"/>
                <w:lang w:val="en-US"/>
              </w:rPr>
            </w:r>
          </w:p>
        </w:tc>
      </w:tr>
    </w:tbl>
    <w:p>
      <w:pPr>
        <w:pStyle w:val="Normal"/>
        <w:rPr>
          <w:lang w:val="en-US"/>
        </w:rPr>
      </w:pPr>
      <w:r>
        <w:rPr>
          <w:lang w:val="en-US"/>
        </w:rPr>
      </w:r>
    </w:p>
    <w:p>
      <w:pPr>
        <w:pStyle w:val="Normal"/>
        <w:spacing w:lineRule="auto" w:line="240"/>
        <w:rPr/>
      </w:pPr>
      <w:r>
        <w:rPr>
          <w:rFonts w:cs="Times New Roman"/>
          <w:b/>
          <w:bCs/>
          <w:szCs w:val="24"/>
          <w:lang w:val="en-US"/>
        </w:rPr>
        <w:t>Appendiks 8: Shapiro-Francia W’ normalitetstest</w:t>
      </w:r>
      <w:r>
        <w:rPr>
          <w:rFonts w:cs="Times New Roman"/>
          <w:b/>
          <w:bCs/>
          <w:sz w:val="22"/>
          <w:lang w:val="en-US"/>
        </w:rPr>
        <w:br/>
      </w:r>
      <w:r>
        <w:rPr>
          <w:lang w:val="en-US"/>
        </w:rPr>
        <w:t xml:space="preserve">                 </w:t>
        <w:br/>
      </w:r>
    </w:p>
    <w:tbl>
      <w:tblPr>
        <w:tblW w:w="7608" w:type="dxa"/>
        <w:jc w:val="left"/>
        <w:tblInd w:w="0" w:type="dxa"/>
        <w:tblLayout w:type="fixed"/>
        <w:tblCellMar>
          <w:top w:w="0" w:type="dxa"/>
          <w:left w:w="108" w:type="dxa"/>
          <w:bottom w:w="0" w:type="dxa"/>
          <w:right w:w="108" w:type="dxa"/>
        </w:tblCellMar>
      </w:tblPr>
      <w:tblGrid>
        <w:gridCol w:w="1608"/>
        <w:gridCol w:w="1200"/>
        <w:gridCol w:w="1199"/>
        <w:gridCol w:w="1200"/>
        <w:gridCol w:w="1201"/>
        <w:gridCol w:w="1200"/>
      </w:tblGrid>
      <w:tr>
        <w:trPr/>
        <w:tc>
          <w:tcPr>
            <w:tcW w:w="1608" w:type="dxa"/>
            <w:tcBorders>
              <w:top w:val="single" w:sz="4" w:space="0" w:color="000000"/>
              <w:bottom w:val="single" w:sz="10" w:space="0" w:color="000000"/>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Variable </w:t>
            </w:r>
          </w:p>
        </w:tc>
        <w:tc>
          <w:tcPr>
            <w:tcW w:w="1200" w:type="dxa"/>
            <w:tcBorders>
              <w:top w:val="single" w:sz="4" w:space="0" w:color="000000"/>
              <w:bottom w:val="single" w:sz="10" w:space="0" w:color="000000"/>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Obs</w:t>
            </w:r>
          </w:p>
        </w:tc>
        <w:tc>
          <w:tcPr>
            <w:tcW w:w="1199" w:type="dxa"/>
            <w:tcBorders>
              <w:top w:val="single" w:sz="4" w:space="0" w:color="000000"/>
              <w:bottom w:val="single" w:sz="10" w:space="0" w:color="000000"/>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W'</w:t>
            </w:r>
          </w:p>
        </w:tc>
        <w:tc>
          <w:tcPr>
            <w:tcW w:w="1200" w:type="dxa"/>
            <w:tcBorders>
              <w:top w:val="single" w:sz="4" w:space="0" w:color="000000"/>
              <w:bottom w:val="single" w:sz="10" w:space="0" w:color="000000"/>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V'</w:t>
            </w:r>
          </w:p>
        </w:tc>
        <w:tc>
          <w:tcPr>
            <w:tcW w:w="1201" w:type="dxa"/>
            <w:tcBorders>
              <w:top w:val="single" w:sz="4" w:space="0" w:color="000000"/>
              <w:bottom w:val="single" w:sz="10" w:space="0" w:color="000000"/>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z</w:t>
            </w:r>
          </w:p>
        </w:tc>
        <w:tc>
          <w:tcPr>
            <w:tcW w:w="1200" w:type="dxa"/>
            <w:tcBorders>
              <w:top w:val="single" w:sz="4" w:space="0" w:color="000000"/>
              <w:bottom w:val="single" w:sz="10" w:space="0" w:color="000000"/>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Prob&gt;z</w:t>
            </w:r>
          </w:p>
        </w:tc>
      </w:tr>
    </w:tbl>
    <w:p>
      <w:pPr>
        <w:pStyle w:val="Normal"/>
        <w:spacing w:lineRule="auto" w:line="240"/>
        <w:rPr>
          <w:rFonts w:cs="Times New Roman"/>
          <w:sz w:val="20"/>
          <w:szCs w:val="18"/>
          <w:lang w:val="en-US"/>
        </w:rPr>
      </w:pPr>
      <w:r>
        <w:rPr>
          <w:rFonts w:cs="Times New Roman"/>
          <w:sz w:val="20"/>
          <w:szCs w:val="18"/>
          <w:lang w:val="en-US"/>
        </w:rPr>
      </w:r>
    </w:p>
    <w:tbl>
      <w:tblPr>
        <w:tblW w:w="7608" w:type="dxa"/>
        <w:jc w:val="left"/>
        <w:tblInd w:w="0" w:type="dxa"/>
        <w:tblLayout w:type="fixed"/>
        <w:tblCellMar>
          <w:top w:w="0" w:type="dxa"/>
          <w:left w:w="108" w:type="dxa"/>
          <w:bottom w:w="0" w:type="dxa"/>
          <w:right w:w="108" w:type="dxa"/>
        </w:tblCellMar>
      </w:tblPr>
      <w:tblGrid>
        <w:gridCol w:w="1608"/>
        <w:gridCol w:w="1200"/>
        <w:gridCol w:w="1199"/>
        <w:gridCol w:w="1200"/>
        <w:gridCol w:w="1201"/>
        <w:gridCol w:w="1200"/>
      </w:tblGrid>
      <w:tr>
        <w:trPr/>
        <w:tc>
          <w:tcPr>
            <w:tcW w:w="1608"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politiskti~t </w:t>
            </w:r>
          </w:p>
        </w:tc>
        <w:tc>
          <w:tcPr>
            <w:tcW w:w="1200"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12,781</w:t>
            </w:r>
          </w:p>
        </w:tc>
        <w:tc>
          <w:tcPr>
            <w:tcW w:w="1199"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    </w:t>
            </w:r>
            <w:r>
              <w:rPr>
                <w:rFonts w:cs="Times New Roman"/>
                <w:sz w:val="20"/>
                <w:szCs w:val="18"/>
                <w:lang w:val="en-US"/>
              </w:rPr>
              <w:t>0.991</w:t>
            </w:r>
          </w:p>
        </w:tc>
        <w:tc>
          <w:tcPr>
            <w:tcW w:w="1200"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   </w:t>
            </w:r>
            <w:r>
              <w:rPr>
                <w:rFonts w:cs="Times New Roman"/>
                <w:sz w:val="20"/>
                <w:szCs w:val="18"/>
                <w:lang w:val="en-US"/>
              </w:rPr>
              <w:t>60.171</w:t>
            </w:r>
          </w:p>
        </w:tc>
        <w:tc>
          <w:tcPr>
            <w:tcW w:w="1201"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   </w:t>
            </w:r>
            <w:r>
              <w:rPr>
                <w:rFonts w:cs="Times New Roman"/>
                <w:sz w:val="20"/>
                <w:szCs w:val="18"/>
                <w:lang w:val="en-US"/>
              </w:rPr>
              <w:t>10.983</w:t>
            </w:r>
          </w:p>
        </w:tc>
        <w:tc>
          <w:tcPr>
            <w:tcW w:w="1200"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    </w:t>
            </w:r>
            <w:r>
              <w:rPr>
                <w:rFonts w:cs="Times New Roman"/>
                <w:sz w:val="20"/>
                <w:szCs w:val="18"/>
                <w:lang w:val="en-US"/>
              </w:rPr>
              <w:t>0.000</w:t>
            </w:r>
          </w:p>
        </w:tc>
      </w:tr>
    </w:tbl>
    <w:p>
      <w:pPr>
        <w:pStyle w:val="Normal"/>
        <w:spacing w:lineRule="auto" w:line="240"/>
        <w:rPr>
          <w:rFonts w:cs="Times New Roman"/>
          <w:sz w:val="20"/>
          <w:szCs w:val="18"/>
          <w:lang w:val="en-US"/>
        </w:rPr>
      </w:pPr>
      <w:r>
        <w:rPr>
          <w:rFonts w:cs="Times New Roman"/>
          <w:sz w:val="20"/>
          <w:szCs w:val="18"/>
          <w:lang w:val="en-US"/>
        </w:rPr>
      </w:r>
    </w:p>
    <w:tbl>
      <w:tblPr>
        <w:tblW w:w="7608" w:type="dxa"/>
        <w:jc w:val="left"/>
        <w:tblInd w:w="0" w:type="dxa"/>
        <w:tblLayout w:type="fixed"/>
        <w:tblCellMar>
          <w:top w:w="0" w:type="dxa"/>
          <w:left w:w="108" w:type="dxa"/>
          <w:bottom w:w="0" w:type="dxa"/>
          <w:right w:w="108" w:type="dxa"/>
        </w:tblCellMar>
      </w:tblPr>
      <w:tblGrid>
        <w:gridCol w:w="1608"/>
        <w:gridCol w:w="1200"/>
        <w:gridCol w:w="1199"/>
        <w:gridCol w:w="1200"/>
        <w:gridCol w:w="1201"/>
        <w:gridCol w:w="1200"/>
      </w:tblGrid>
      <w:tr>
        <w:trPr/>
        <w:tc>
          <w:tcPr>
            <w:tcW w:w="1608"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undertrykt </w:t>
            </w:r>
          </w:p>
        </w:tc>
        <w:tc>
          <w:tcPr>
            <w:tcW w:w="1200"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12,781</w:t>
            </w:r>
          </w:p>
        </w:tc>
        <w:tc>
          <w:tcPr>
            <w:tcW w:w="1199"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    </w:t>
            </w:r>
            <w:r>
              <w:rPr>
                <w:rFonts w:cs="Times New Roman"/>
                <w:sz w:val="20"/>
                <w:szCs w:val="18"/>
                <w:lang w:val="en-US"/>
              </w:rPr>
              <w:t>1.000</w:t>
            </w:r>
          </w:p>
        </w:tc>
        <w:tc>
          <w:tcPr>
            <w:tcW w:w="1200"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    </w:t>
            </w:r>
            <w:r>
              <w:rPr>
                <w:rFonts w:cs="Times New Roman"/>
                <w:sz w:val="20"/>
                <w:szCs w:val="18"/>
                <w:lang w:val="en-US"/>
              </w:rPr>
              <w:t>0.000</w:t>
            </w:r>
          </w:p>
        </w:tc>
        <w:tc>
          <w:tcPr>
            <w:tcW w:w="1201"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  </w:t>
            </w:r>
            <w:r>
              <w:rPr>
                <w:rFonts w:cs="Times New Roman"/>
                <w:sz w:val="20"/>
                <w:szCs w:val="18"/>
                <w:lang w:val="en-US"/>
              </w:rPr>
              <w:t>-56.476</w:t>
            </w:r>
          </w:p>
        </w:tc>
        <w:tc>
          <w:tcPr>
            <w:tcW w:w="1200"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    </w:t>
            </w:r>
            <w:r>
              <w:rPr>
                <w:rFonts w:cs="Times New Roman"/>
                <w:sz w:val="20"/>
                <w:szCs w:val="18"/>
                <w:lang w:val="en-US"/>
              </w:rPr>
              <w:t>1.000</w:t>
            </w:r>
          </w:p>
        </w:tc>
      </w:tr>
    </w:tbl>
    <w:p>
      <w:pPr>
        <w:pStyle w:val="Normal"/>
        <w:spacing w:lineRule="auto" w:line="240"/>
        <w:rPr>
          <w:rFonts w:cs="Times New Roman"/>
          <w:sz w:val="20"/>
          <w:szCs w:val="18"/>
          <w:lang w:val="en-US"/>
        </w:rPr>
      </w:pPr>
      <w:r>
        <w:rPr>
          <w:rFonts w:cs="Times New Roman"/>
          <w:sz w:val="20"/>
          <w:szCs w:val="18"/>
          <w:lang w:val="en-US"/>
        </w:rPr>
      </w:r>
    </w:p>
    <w:tbl>
      <w:tblPr>
        <w:tblW w:w="7608" w:type="dxa"/>
        <w:jc w:val="left"/>
        <w:tblInd w:w="0" w:type="dxa"/>
        <w:tblLayout w:type="fixed"/>
        <w:tblCellMar>
          <w:top w:w="0" w:type="dxa"/>
          <w:left w:w="108" w:type="dxa"/>
          <w:bottom w:w="0" w:type="dxa"/>
          <w:right w:w="108" w:type="dxa"/>
        </w:tblCellMar>
      </w:tblPr>
      <w:tblGrid>
        <w:gridCol w:w="1608"/>
        <w:gridCol w:w="1200"/>
        <w:gridCol w:w="1199"/>
        <w:gridCol w:w="1200"/>
        <w:gridCol w:w="1201"/>
        <w:gridCol w:w="1200"/>
      </w:tblGrid>
      <w:tr>
        <w:trPr/>
        <w:tc>
          <w:tcPr>
            <w:tcW w:w="1608"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kvinne </w:t>
            </w:r>
          </w:p>
        </w:tc>
        <w:tc>
          <w:tcPr>
            <w:tcW w:w="1200"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12,781</w:t>
            </w:r>
          </w:p>
        </w:tc>
        <w:tc>
          <w:tcPr>
            <w:tcW w:w="1199"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    </w:t>
            </w:r>
            <w:r>
              <w:rPr>
                <w:rFonts w:cs="Times New Roman"/>
                <w:sz w:val="20"/>
                <w:szCs w:val="18"/>
                <w:lang w:val="en-US"/>
              </w:rPr>
              <w:t>1.000</w:t>
            </w:r>
          </w:p>
        </w:tc>
        <w:tc>
          <w:tcPr>
            <w:tcW w:w="1200"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    </w:t>
            </w:r>
            <w:r>
              <w:rPr>
                <w:rFonts w:cs="Times New Roman"/>
                <w:sz w:val="20"/>
                <w:szCs w:val="18"/>
                <w:lang w:val="en-US"/>
              </w:rPr>
              <w:t>0.000</w:t>
            </w:r>
          </w:p>
        </w:tc>
        <w:tc>
          <w:tcPr>
            <w:tcW w:w="1201"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w:t>
            </w:r>
          </w:p>
        </w:tc>
        <w:tc>
          <w:tcPr>
            <w:tcW w:w="1200"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    </w:t>
            </w:r>
            <w:r>
              <w:rPr>
                <w:rFonts w:cs="Times New Roman"/>
                <w:sz w:val="20"/>
                <w:szCs w:val="18"/>
                <w:lang w:val="en-US"/>
              </w:rPr>
              <w:t>0.000</w:t>
            </w:r>
          </w:p>
        </w:tc>
      </w:tr>
    </w:tbl>
    <w:p>
      <w:pPr>
        <w:pStyle w:val="Normal"/>
        <w:spacing w:lineRule="auto" w:line="240"/>
        <w:rPr>
          <w:rFonts w:cs="Times New Roman"/>
          <w:sz w:val="20"/>
          <w:szCs w:val="18"/>
          <w:lang w:val="en-US"/>
        </w:rPr>
      </w:pPr>
      <w:r>
        <w:rPr>
          <w:rFonts w:cs="Times New Roman"/>
          <w:sz w:val="20"/>
          <w:szCs w:val="18"/>
          <w:lang w:val="en-US"/>
        </w:rPr>
      </w:r>
    </w:p>
    <w:tbl>
      <w:tblPr>
        <w:tblW w:w="7608" w:type="dxa"/>
        <w:jc w:val="left"/>
        <w:tblInd w:w="0" w:type="dxa"/>
        <w:tblLayout w:type="fixed"/>
        <w:tblCellMar>
          <w:top w:w="0" w:type="dxa"/>
          <w:left w:w="108" w:type="dxa"/>
          <w:bottom w:w="0" w:type="dxa"/>
          <w:right w:w="108" w:type="dxa"/>
        </w:tblCellMar>
      </w:tblPr>
      <w:tblGrid>
        <w:gridCol w:w="1608"/>
        <w:gridCol w:w="1200"/>
        <w:gridCol w:w="1199"/>
        <w:gridCol w:w="1200"/>
        <w:gridCol w:w="1201"/>
        <w:gridCol w:w="1200"/>
      </w:tblGrid>
      <w:tr>
        <w:trPr/>
        <w:tc>
          <w:tcPr>
            <w:tcW w:w="1608"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polps </w:t>
            </w:r>
          </w:p>
        </w:tc>
        <w:tc>
          <w:tcPr>
            <w:tcW w:w="1200"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12,781</w:t>
            </w:r>
          </w:p>
        </w:tc>
        <w:tc>
          <w:tcPr>
            <w:tcW w:w="1199"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    </w:t>
            </w:r>
            <w:r>
              <w:rPr>
                <w:rFonts w:cs="Times New Roman"/>
                <w:sz w:val="20"/>
                <w:szCs w:val="18"/>
                <w:lang w:val="en-US"/>
              </w:rPr>
              <w:t>1.000</w:t>
            </w:r>
          </w:p>
        </w:tc>
        <w:tc>
          <w:tcPr>
            <w:tcW w:w="1200"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    </w:t>
            </w:r>
            <w:r>
              <w:rPr>
                <w:rFonts w:cs="Times New Roman"/>
                <w:sz w:val="20"/>
                <w:szCs w:val="18"/>
                <w:lang w:val="en-US"/>
              </w:rPr>
              <w:t>0.000</w:t>
            </w:r>
          </w:p>
        </w:tc>
        <w:tc>
          <w:tcPr>
            <w:tcW w:w="1201"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w:t>
            </w:r>
          </w:p>
        </w:tc>
        <w:tc>
          <w:tcPr>
            <w:tcW w:w="1200"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    </w:t>
            </w:r>
            <w:r>
              <w:rPr>
                <w:rFonts w:cs="Times New Roman"/>
                <w:sz w:val="20"/>
                <w:szCs w:val="18"/>
                <w:lang w:val="en-US"/>
              </w:rPr>
              <w:t>0.000</w:t>
            </w:r>
          </w:p>
        </w:tc>
      </w:tr>
    </w:tbl>
    <w:p>
      <w:pPr>
        <w:pStyle w:val="Normal"/>
        <w:spacing w:lineRule="auto" w:line="240"/>
        <w:rPr>
          <w:rFonts w:cs="Times New Roman"/>
          <w:sz w:val="20"/>
          <w:szCs w:val="18"/>
          <w:lang w:val="en-US"/>
        </w:rPr>
      </w:pPr>
      <w:r>
        <w:rPr>
          <w:rFonts w:cs="Times New Roman"/>
          <w:sz w:val="20"/>
          <w:szCs w:val="18"/>
          <w:lang w:val="en-US"/>
        </w:rPr>
      </w:r>
    </w:p>
    <w:tbl>
      <w:tblPr>
        <w:tblW w:w="7608" w:type="dxa"/>
        <w:jc w:val="left"/>
        <w:tblInd w:w="0" w:type="dxa"/>
        <w:tblLayout w:type="fixed"/>
        <w:tblCellMar>
          <w:top w:w="0" w:type="dxa"/>
          <w:left w:w="108" w:type="dxa"/>
          <w:bottom w:w="0" w:type="dxa"/>
          <w:right w:w="108" w:type="dxa"/>
        </w:tblCellMar>
      </w:tblPr>
      <w:tblGrid>
        <w:gridCol w:w="1608"/>
        <w:gridCol w:w="1200"/>
        <w:gridCol w:w="1199"/>
        <w:gridCol w:w="1200"/>
        <w:gridCol w:w="1201"/>
        <w:gridCol w:w="1200"/>
      </w:tblGrid>
      <w:tr>
        <w:trPr/>
        <w:tc>
          <w:tcPr>
            <w:tcW w:w="1608"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alder </w:t>
            </w:r>
          </w:p>
        </w:tc>
        <w:tc>
          <w:tcPr>
            <w:tcW w:w="1200"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12,781</w:t>
            </w:r>
          </w:p>
        </w:tc>
        <w:tc>
          <w:tcPr>
            <w:tcW w:w="1199"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    </w:t>
            </w:r>
            <w:r>
              <w:rPr>
                <w:rFonts w:cs="Times New Roman"/>
                <w:sz w:val="20"/>
                <w:szCs w:val="18"/>
                <w:lang w:val="en-US"/>
              </w:rPr>
              <w:t>0.939</w:t>
            </w:r>
          </w:p>
        </w:tc>
        <w:tc>
          <w:tcPr>
            <w:tcW w:w="1200"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  </w:t>
            </w:r>
            <w:r>
              <w:rPr>
                <w:rFonts w:cs="Times New Roman"/>
                <w:sz w:val="20"/>
                <w:szCs w:val="18"/>
                <w:lang w:val="en-US"/>
              </w:rPr>
              <w:t>427.612</w:t>
            </w:r>
          </w:p>
        </w:tc>
        <w:tc>
          <w:tcPr>
            <w:tcW w:w="1201"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   </w:t>
            </w:r>
            <w:r>
              <w:rPr>
                <w:rFonts w:cs="Times New Roman"/>
                <w:sz w:val="20"/>
                <w:szCs w:val="18"/>
                <w:lang w:val="en-US"/>
              </w:rPr>
              <w:t>16.240</w:t>
            </w:r>
          </w:p>
        </w:tc>
        <w:tc>
          <w:tcPr>
            <w:tcW w:w="1200"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    </w:t>
            </w:r>
            <w:r>
              <w:rPr>
                <w:rFonts w:cs="Times New Roman"/>
                <w:sz w:val="20"/>
                <w:szCs w:val="18"/>
                <w:lang w:val="en-US"/>
              </w:rPr>
              <w:t>0.000</w:t>
            </w:r>
          </w:p>
        </w:tc>
      </w:tr>
    </w:tbl>
    <w:p>
      <w:pPr>
        <w:pStyle w:val="Normal"/>
        <w:spacing w:lineRule="auto" w:line="240"/>
        <w:rPr>
          <w:rFonts w:cs="Times New Roman"/>
          <w:sz w:val="20"/>
          <w:szCs w:val="18"/>
          <w:lang w:val="en-US"/>
        </w:rPr>
      </w:pPr>
      <w:r>
        <w:rPr>
          <w:rFonts w:cs="Times New Roman"/>
          <w:sz w:val="20"/>
          <w:szCs w:val="18"/>
          <w:lang w:val="en-US"/>
        </w:rPr>
      </w:r>
    </w:p>
    <w:tbl>
      <w:tblPr>
        <w:tblW w:w="7608" w:type="dxa"/>
        <w:jc w:val="left"/>
        <w:tblInd w:w="0" w:type="dxa"/>
        <w:tblLayout w:type="fixed"/>
        <w:tblCellMar>
          <w:top w:w="0" w:type="dxa"/>
          <w:left w:w="108" w:type="dxa"/>
          <w:bottom w:w="0" w:type="dxa"/>
          <w:right w:w="108" w:type="dxa"/>
        </w:tblCellMar>
      </w:tblPr>
      <w:tblGrid>
        <w:gridCol w:w="1608"/>
        <w:gridCol w:w="1200"/>
        <w:gridCol w:w="1199"/>
        <w:gridCol w:w="1200"/>
        <w:gridCol w:w="1201"/>
        <w:gridCol w:w="1200"/>
      </w:tblGrid>
      <w:tr>
        <w:trPr/>
        <w:tc>
          <w:tcPr>
            <w:tcW w:w="1608"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utdanning </w:t>
            </w:r>
          </w:p>
        </w:tc>
        <w:tc>
          <w:tcPr>
            <w:tcW w:w="1200"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12,781</w:t>
            </w:r>
          </w:p>
        </w:tc>
        <w:tc>
          <w:tcPr>
            <w:tcW w:w="1199"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    </w:t>
            </w:r>
            <w:r>
              <w:rPr>
                <w:rFonts w:cs="Times New Roman"/>
                <w:sz w:val="20"/>
                <w:szCs w:val="18"/>
                <w:lang w:val="en-US"/>
              </w:rPr>
              <w:t>0.994</w:t>
            </w:r>
          </w:p>
        </w:tc>
        <w:tc>
          <w:tcPr>
            <w:tcW w:w="1200"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   </w:t>
            </w:r>
            <w:r>
              <w:rPr>
                <w:rFonts w:cs="Times New Roman"/>
                <w:sz w:val="20"/>
                <w:szCs w:val="18"/>
                <w:lang w:val="en-US"/>
              </w:rPr>
              <w:t>42.387</w:t>
            </w:r>
          </w:p>
        </w:tc>
        <w:tc>
          <w:tcPr>
            <w:tcW w:w="1201"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   </w:t>
            </w:r>
            <w:r>
              <w:rPr>
                <w:rFonts w:cs="Times New Roman"/>
                <w:sz w:val="20"/>
                <w:szCs w:val="18"/>
                <w:lang w:val="en-US"/>
              </w:rPr>
              <w:t>10.044</w:t>
            </w:r>
          </w:p>
        </w:tc>
        <w:tc>
          <w:tcPr>
            <w:tcW w:w="1200"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    </w:t>
            </w:r>
            <w:r>
              <w:rPr>
                <w:rFonts w:cs="Times New Roman"/>
                <w:sz w:val="20"/>
                <w:szCs w:val="18"/>
                <w:lang w:val="en-US"/>
              </w:rPr>
              <w:t>0.000</w:t>
            </w:r>
          </w:p>
        </w:tc>
      </w:tr>
    </w:tbl>
    <w:p>
      <w:pPr>
        <w:pStyle w:val="Normal"/>
        <w:spacing w:lineRule="auto" w:line="240"/>
        <w:rPr>
          <w:rFonts w:cs="Times New Roman"/>
          <w:sz w:val="20"/>
          <w:szCs w:val="18"/>
          <w:lang w:val="en-US"/>
        </w:rPr>
      </w:pPr>
      <w:r>
        <w:rPr>
          <w:rFonts w:cs="Times New Roman"/>
          <w:sz w:val="20"/>
          <w:szCs w:val="18"/>
          <w:lang w:val="en-US"/>
        </w:rPr>
      </w:r>
    </w:p>
    <w:tbl>
      <w:tblPr>
        <w:tblW w:w="7608" w:type="dxa"/>
        <w:jc w:val="left"/>
        <w:tblInd w:w="0" w:type="dxa"/>
        <w:tblLayout w:type="fixed"/>
        <w:tblCellMar>
          <w:top w:w="0" w:type="dxa"/>
          <w:left w:w="108" w:type="dxa"/>
          <w:bottom w:w="0" w:type="dxa"/>
          <w:right w:w="108" w:type="dxa"/>
        </w:tblCellMar>
      </w:tblPr>
      <w:tblGrid>
        <w:gridCol w:w="1608"/>
        <w:gridCol w:w="1200"/>
        <w:gridCol w:w="1199"/>
        <w:gridCol w:w="1200"/>
        <w:gridCol w:w="1201"/>
        <w:gridCol w:w="1200"/>
      </w:tblGrid>
      <w:tr>
        <w:trPr/>
        <w:tc>
          <w:tcPr>
            <w:tcW w:w="1608"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uteninntekt </w:t>
            </w:r>
          </w:p>
        </w:tc>
        <w:tc>
          <w:tcPr>
            <w:tcW w:w="1200"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12,781</w:t>
            </w:r>
          </w:p>
        </w:tc>
        <w:tc>
          <w:tcPr>
            <w:tcW w:w="1199"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    </w:t>
            </w:r>
            <w:r>
              <w:rPr>
                <w:rFonts w:cs="Times New Roman"/>
                <w:sz w:val="20"/>
                <w:szCs w:val="18"/>
                <w:lang w:val="en-US"/>
              </w:rPr>
              <w:t>1.000</w:t>
            </w:r>
          </w:p>
        </w:tc>
        <w:tc>
          <w:tcPr>
            <w:tcW w:w="1200"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    </w:t>
            </w:r>
            <w:r>
              <w:rPr>
                <w:rFonts w:cs="Times New Roman"/>
                <w:sz w:val="20"/>
                <w:szCs w:val="18"/>
                <w:lang w:val="en-US"/>
              </w:rPr>
              <w:t>0.000</w:t>
            </w:r>
          </w:p>
        </w:tc>
        <w:tc>
          <w:tcPr>
            <w:tcW w:w="1201"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  </w:t>
            </w:r>
            <w:r>
              <w:rPr>
                <w:rFonts w:cs="Times New Roman"/>
                <w:sz w:val="20"/>
                <w:szCs w:val="18"/>
                <w:lang w:val="en-US"/>
              </w:rPr>
              <w:t>-56.559</w:t>
            </w:r>
          </w:p>
        </w:tc>
        <w:tc>
          <w:tcPr>
            <w:tcW w:w="1200" w:type="dxa"/>
            <w:tcBorders/>
          </w:tcPr>
          <w:p>
            <w:pPr>
              <w:pStyle w:val="Normal"/>
              <w:widowControl w:val="false"/>
              <w:spacing w:lineRule="auto" w:line="240" w:before="0" w:after="160"/>
              <w:rPr>
                <w:rFonts w:cs="Times New Roman"/>
                <w:sz w:val="20"/>
                <w:szCs w:val="18"/>
                <w:lang w:val="en-US"/>
              </w:rPr>
            </w:pPr>
            <w:r>
              <w:rPr>
                <w:rFonts w:cs="Times New Roman"/>
                <w:sz w:val="20"/>
                <w:szCs w:val="18"/>
                <w:lang w:val="en-US"/>
              </w:rPr>
              <w:t xml:space="preserve">    </w:t>
            </w:r>
            <w:r>
              <w:rPr>
                <w:rFonts w:cs="Times New Roman"/>
                <w:sz w:val="20"/>
                <w:szCs w:val="18"/>
                <w:lang w:val="en-US"/>
              </w:rPr>
              <w:t>1.000</w:t>
            </w:r>
          </w:p>
        </w:tc>
      </w:tr>
    </w:tbl>
    <w:p>
      <w:pPr>
        <w:pStyle w:val="Normal"/>
        <w:spacing w:lineRule="auto" w:line="240"/>
        <w:rPr/>
      </w:pPr>
      <w:r>
        <w:rPr>
          <w:rFonts w:cs="Times New Roman"/>
          <w:sz w:val="20"/>
          <w:szCs w:val="18"/>
          <w:lang w:val="en-US"/>
        </w:rPr>
        <w:t>Note: The normal approximation to the sampling distribution of W'</w:t>
        <w:br/>
        <w:t xml:space="preserve">      is valid for 10&lt;=n&lt;=5000 under the log transformation.</w:t>
      </w:r>
      <w:r>
        <w:rPr>
          <w:rFonts w:cs="Times New Roman"/>
          <w:sz w:val="18"/>
          <w:szCs w:val="18"/>
          <w:lang w:val="en-US"/>
        </w:rPr>
        <w:br/>
      </w:r>
    </w:p>
    <w:p>
      <w:pPr>
        <w:pStyle w:val="Heading2"/>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rFonts w:cs="Times New Roman"/>
          <w:b/>
          <w:b/>
          <w:bCs/>
          <w:sz w:val="22"/>
          <w:szCs w:val="20"/>
        </w:rPr>
      </w:pPr>
      <w:r>
        <w:rPr>
          <w:rFonts w:cs="Times New Roman"/>
          <w:b/>
          <w:bCs/>
          <w:sz w:val="22"/>
          <w:szCs w:val="20"/>
        </w:rPr>
        <w:t>Appendiks 9: Variansekomponenter for tabell 13, modell 1</w:t>
      </w:r>
    </w:p>
    <w:tbl>
      <w:tblPr>
        <w:tblW w:w="8858" w:type="dxa"/>
        <w:jc w:val="left"/>
        <w:tblInd w:w="0" w:type="dxa"/>
        <w:tblLayout w:type="fixed"/>
        <w:tblCellMar>
          <w:top w:w="0" w:type="dxa"/>
          <w:left w:w="108" w:type="dxa"/>
          <w:bottom w:w="0" w:type="dxa"/>
          <w:right w:w="108" w:type="dxa"/>
        </w:tblCellMar>
      </w:tblPr>
      <w:tblGrid>
        <w:gridCol w:w="8858"/>
      </w:tblGrid>
      <w:tr>
        <w:trPr/>
        <w:tc>
          <w:tcPr>
            <w:tcW w:w="8858" w:type="dxa"/>
            <w:tcBorders>
              <w:top w:val="single" w:sz="6" w:space="0" w:color="000000"/>
            </w:tcBorders>
          </w:tcPr>
          <w:p>
            <w:pPr>
              <w:pStyle w:val="Normal"/>
              <w:widowControl w:val="false"/>
              <w:spacing w:before="0" w:after="160"/>
              <w:rPr>
                <w:sz w:val="22"/>
                <w:szCs w:val="20"/>
                <w:lang w:val="en-US"/>
              </w:rPr>
            </w:pPr>
            <w:r>
              <w:rPr>
                <w:sz w:val="22"/>
                <w:szCs w:val="20"/>
                <w:lang w:val="en-US"/>
              </w:rPr>
              <w:t xml:space="preserve">Random-effects Parameters                 Estimate        Std. Err.           [95% Conf. Interval] ________________________________________________________________________                                                                                                       </w:t>
            </w:r>
          </w:p>
        </w:tc>
      </w:tr>
      <w:tr>
        <w:trPr/>
        <w:tc>
          <w:tcPr>
            <w:tcW w:w="8858" w:type="dxa"/>
            <w:tcBorders/>
          </w:tcPr>
          <w:p>
            <w:pPr>
              <w:pStyle w:val="Normal"/>
              <w:widowControl w:val="false"/>
              <w:rPr>
                <w:sz w:val="22"/>
                <w:szCs w:val="20"/>
                <w:lang w:val="en-US"/>
              </w:rPr>
            </w:pPr>
            <w:r>
              <w:rPr>
                <w:sz w:val="22"/>
                <w:szCs w:val="20"/>
                <w:lang w:val="en-US"/>
              </w:rPr>
              <w:t xml:space="preserve">COUNTRY: Identity                                                              </w:t>
            </w:r>
          </w:p>
          <w:p>
            <w:pPr>
              <w:pStyle w:val="Normal"/>
              <w:widowControl w:val="false"/>
              <w:rPr>
                <w:sz w:val="22"/>
                <w:szCs w:val="20"/>
                <w:lang w:val="en-US"/>
              </w:rPr>
            </w:pPr>
            <w:r>
              <w:rPr>
                <w:sz w:val="22"/>
                <w:szCs w:val="20"/>
                <w:lang w:val="en-US"/>
              </w:rPr>
              <w:t xml:space="preserve">                                </w:t>
            </w:r>
            <w:r>
              <w:rPr>
                <w:sz w:val="22"/>
                <w:szCs w:val="20"/>
                <w:lang w:val="en-US"/>
              </w:rPr>
              <w:t>var(_cons)            .1388074         .049801           .06871       .2804174 ________________________________________________________________________</w:t>
            </w:r>
          </w:p>
          <w:p>
            <w:pPr>
              <w:pStyle w:val="Normal"/>
              <w:widowControl w:val="false"/>
              <w:rPr>
                <w:sz w:val="22"/>
                <w:szCs w:val="20"/>
                <w:lang w:val="en-US"/>
              </w:rPr>
            </w:pPr>
            <w:r>
              <w:rPr>
                <w:sz w:val="22"/>
                <w:szCs w:val="20"/>
                <w:lang w:val="en-US"/>
              </w:rPr>
              <w:t xml:space="preserve">                                </w:t>
            </w:r>
            <w:r>
              <w:rPr>
                <w:sz w:val="22"/>
                <w:szCs w:val="20"/>
                <w:lang w:val="en-US"/>
              </w:rPr>
              <w:t xml:space="preserve">var(Residual)       .8648588         .0108256         .8386329   .8863389 ________________________________________________________________________                                                                                                                           </w:t>
            </w:r>
          </w:p>
          <w:p>
            <w:pPr>
              <w:pStyle w:val="Normal"/>
              <w:widowControl w:val="false"/>
              <w:spacing w:before="0" w:after="160"/>
              <w:rPr>
                <w:sz w:val="22"/>
                <w:szCs w:val="20"/>
                <w:lang w:val="en-US"/>
              </w:rPr>
            </w:pPr>
            <w:r>
              <w:rPr>
                <w:sz w:val="22"/>
                <w:szCs w:val="20"/>
                <w:lang w:val="en-US"/>
              </w:rPr>
              <w:t xml:space="preserve">               </w:t>
            </w:r>
          </w:p>
        </w:tc>
      </w:tr>
    </w:tbl>
    <w:p>
      <w:pPr>
        <w:pStyle w:val="Normal"/>
        <w:rPr>
          <w:rFonts w:cs="Times New Roman"/>
          <w:b/>
          <w:b/>
          <w:bCs/>
          <w:sz w:val="22"/>
          <w:szCs w:val="20"/>
        </w:rPr>
      </w:pPr>
      <w:r>
        <w:rPr>
          <w:rFonts w:cs="Times New Roman"/>
          <w:b/>
          <w:bCs/>
          <w:sz w:val="22"/>
          <w:szCs w:val="20"/>
        </w:rPr>
        <w:t>Appendiks 10: Variansekomponenter for tabell 13, modell 2</w:t>
      </w:r>
    </w:p>
    <w:tbl>
      <w:tblPr>
        <w:tblW w:w="8858" w:type="dxa"/>
        <w:jc w:val="left"/>
        <w:tblInd w:w="0" w:type="dxa"/>
        <w:tblLayout w:type="fixed"/>
        <w:tblCellMar>
          <w:top w:w="0" w:type="dxa"/>
          <w:left w:w="108" w:type="dxa"/>
          <w:bottom w:w="0" w:type="dxa"/>
          <w:right w:w="108" w:type="dxa"/>
        </w:tblCellMar>
      </w:tblPr>
      <w:tblGrid>
        <w:gridCol w:w="8858"/>
      </w:tblGrid>
      <w:tr>
        <w:trPr/>
        <w:tc>
          <w:tcPr>
            <w:tcW w:w="8858" w:type="dxa"/>
            <w:tcBorders>
              <w:top w:val="single" w:sz="6" w:space="0" w:color="000000"/>
            </w:tcBorders>
          </w:tcPr>
          <w:p>
            <w:pPr>
              <w:pStyle w:val="Normal"/>
              <w:widowControl w:val="false"/>
              <w:spacing w:before="0" w:after="160"/>
              <w:rPr>
                <w:sz w:val="22"/>
                <w:szCs w:val="20"/>
                <w:lang w:val="en-US"/>
              </w:rPr>
            </w:pPr>
            <w:r>
              <w:rPr>
                <w:sz w:val="22"/>
                <w:szCs w:val="20"/>
                <w:lang w:val="en-US"/>
              </w:rPr>
              <w:t xml:space="preserve">Random-effects Parameters                 Estimate        Std. Err.           [95% Conf. Interval] ________________________________________________________________________                                                                                                       </w:t>
            </w:r>
          </w:p>
        </w:tc>
      </w:tr>
      <w:tr>
        <w:trPr/>
        <w:tc>
          <w:tcPr>
            <w:tcW w:w="8858" w:type="dxa"/>
            <w:tcBorders/>
          </w:tcPr>
          <w:p>
            <w:pPr>
              <w:pStyle w:val="Normal"/>
              <w:widowControl w:val="false"/>
              <w:rPr>
                <w:sz w:val="22"/>
                <w:szCs w:val="20"/>
                <w:lang w:val="en-US"/>
              </w:rPr>
            </w:pPr>
            <w:r>
              <w:rPr>
                <w:sz w:val="22"/>
                <w:szCs w:val="20"/>
                <w:lang w:val="en-US"/>
              </w:rPr>
              <w:t xml:space="preserve">COUNTRY: Identity                                                              </w:t>
            </w:r>
          </w:p>
          <w:p>
            <w:pPr>
              <w:pStyle w:val="Normal"/>
              <w:widowControl w:val="false"/>
              <w:rPr>
                <w:szCs w:val="20"/>
                <w:lang w:val="en-US"/>
              </w:rPr>
            </w:pPr>
            <w:r>
              <w:rPr>
                <w:sz w:val="22"/>
                <w:szCs w:val="20"/>
                <w:lang w:val="en-US"/>
              </w:rPr>
              <w:t xml:space="preserve">                                </w:t>
            </w:r>
            <w:r>
              <w:rPr>
                <w:sz w:val="22"/>
                <w:szCs w:val="20"/>
                <w:lang w:val="en-US"/>
              </w:rPr>
              <w:t>var(_cons)            .</w:t>
            </w:r>
            <w:r>
              <w:rPr>
                <w:szCs w:val="20"/>
                <w:lang w:val="en-US"/>
              </w:rPr>
              <w:t>1387762</w:t>
            </w:r>
            <w:r>
              <w:rPr>
                <w:sz w:val="22"/>
                <w:szCs w:val="20"/>
                <w:lang w:val="en-US"/>
              </w:rPr>
              <w:t xml:space="preserve">         .0</w:t>
            </w:r>
            <w:r>
              <w:rPr>
                <w:szCs w:val="20"/>
                <w:lang w:val="en-US"/>
              </w:rPr>
              <w:t>497794</w:t>
            </w:r>
            <w:r>
              <w:rPr>
                <w:sz w:val="22"/>
                <w:szCs w:val="20"/>
                <w:lang w:val="en-US"/>
              </w:rPr>
              <w:t xml:space="preserve">           .0</w:t>
            </w:r>
            <w:r>
              <w:rPr>
                <w:szCs w:val="20"/>
                <w:lang w:val="en-US"/>
              </w:rPr>
              <w:t>687048</w:t>
            </w:r>
            <w:r>
              <w:rPr>
                <w:sz w:val="22"/>
                <w:szCs w:val="20"/>
                <w:lang w:val="en-US"/>
              </w:rPr>
              <w:t xml:space="preserve">       .2</w:t>
            </w:r>
            <w:r>
              <w:rPr>
                <w:szCs w:val="20"/>
                <w:lang w:val="en-US"/>
              </w:rPr>
              <w:t>803128</w:t>
            </w:r>
            <w:r>
              <w:rPr>
                <w:sz w:val="22"/>
                <w:szCs w:val="20"/>
                <w:lang w:val="en-US"/>
              </w:rPr>
              <w:t xml:space="preserve"> ________________________________________________________________________</w:t>
            </w:r>
          </w:p>
          <w:p>
            <w:pPr>
              <w:pStyle w:val="Normal"/>
              <w:widowControl w:val="false"/>
              <w:rPr>
                <w:szCs w:val="20"/>
                <w:lang w:val="en-US"/>
              </w:rPr>
            </w:pPr>
            <w:r>
              <w:rPr>
                <w:sz w:val="22"/>
                <w:szCs w:val="20"/>
                <w:lang w:val="en-US"/>
              </w:rPr>
              <w:t xml:space="preserve">                                </w:t>
            </w:r>
            <w:r>
              <w:rPr>
                <w:sz w:val="22"/>
                <w:szCs w:val="20"/>
                <w:lang w:val="en-US"/>
              </w:rPr>
              <w:t>var(Residual)       .8</w:t>
            </w:r>
            <w:r>
              <w:rPr>
                <w:szCs w:val="20"/>
                <w:lang w:val="en-US"/>
              </w:rPr>
              <w:t>648585</w:t>
            </w:r>
            <w:r>
              <w:rPr>
                <w:sz w:val="22"/>
                <w:szCs w:val="20"/>
                <w:lang w:val="en-US"/>
              </w:rPr>
              <w:t xml:space="preserve">         .0</w:t>
            </w:r>
            <w:r>
              <w:rPr>
                <w:szCs w:val="20"/>
                <w:lang w:val="en-US"/>
              </w:rPr>
              <w:t>108256</w:t>
            </w:r>
            <w:r>
              <w:rPr>
                <w:sz w:val="22"/>
                <w:szCs w:val="20"/>
                <w:lang w:val="en-US"/>
              </w:rPr>
              <w:t xml:space="preserve">         .8</w:t>
            </w:r>
            <w:r>
              <w:rPr>
                <w:szCs w:val="20"/>
                <w:lang w:val="en-US"/>
              </w:rPr>
              <w:t>43899</w:t>
            </w:r>
            <w:r>
              <w:rPr>
                <w:sz w:val="22"/>
                <w:szCs w:val="20"/>
                <w:lang w:val="en-US"/>
              </w:rPr>
              <w:t xml:space="preserve">   .88</w:t>
            </w:r>
            <w:r>
              <w:rPr>
                <w:szCs w:val="20"/>
                <w:lang w:val="en-US"/>
              </w:rPr>
              <w:t>63387</w:t>
            </w:r>
            <w:r>
              <w:rPr>
                <w:sz w:val="22"/>
                <w:szCs w:val="20"/>
                <w:lang w:val="en-US"/>
              </w:rPr>
              <w:t xml:space="preserve"> ________________________________________________________________________                                                                                                                           </w:t>
            </w:r>
          </w:p>
          <w:p>
            <w:pPr>
              <w:pStyle w:val="Normal"/>
              <w:widowControl w:val="false"/>
              <w:spacing w:before="0" w:after="160"/>
              <w:rPr>
                <w:sz w:val="22"/>
                <w:szCs w:val="20"/>
                <w:lang w:val="en-US"/>
              </w:rPr>
            </w:pPr>
            <w:r>
              <w:rPr>
                <w:sz w:val="22"/>
                <w:szCs w:val="20"/>
                <w:lang w:val="en-US"/>
              </w:rPr>
              <w:t xml:space="preserve">               </w:t>
            </w:r>
          </w:p>
        </w:tc>
      </w:tr>
    </w:tbl>
    <w:p>
      <w:pPr>
        <w:pStyle w:val="Normal"/>
        <w:rPr>
          <w:rFonts w:cs="Times New Roman"/>
          <w:b/>
          <w:b/>
          <w:bCs/>
          <w:sz w:val="22"/>
          <w:szCs w:val="20"/>
        </w:rPr>
      </w:pPr>
      <w:r>
        <w:rPr>
          <w:rFonts w:cs="Times New Roman"/>
          <w:b/>
          <w:bCs/>
          <w:sz w:val="22"/>
          <w:szCs w:val="20"/>
        </w:rPr>
        <w:t>Appendiks 11: Variansekomponenter for tabell 14, modell 1</w:t>
      </w:r>
    </w:p>
    <w:tbl>
      <w:tblPr>
        <w:tblW w:w="8858" w:type="dxa"/>
        <w:jc w:val="left"/>
        <w:tblInd w:w="0" w:type="dxa"/>
        <w:tblLayout w:type="fixed"/>
        <w:tblCellMar>
          <w:top w:w="0" w:type="dxa"/>
          <w:left w:w="108" w:type="dxa"/>
          <w:bottom w:w="0" w:type="dxa"/>
          <w:right w:w="108" w:type="dxa"/>
        </w:tblCellMar>
      </w:tblPr>
      <w:tblGrid>
        <w:gridCol w:w="8858"/>
      </w:tblGrid>
      <w:tr>
        <w:trPr/>
        <w:tc>
          <w:tcPr>
            <w:tcW w:w="8858" w:type="dxa"/>
            <w:tcBorders>
              <w:top w:val="single" w:sz="6" w:space="0" w:color="000000"/>
            </w:tcBorders>
          </w:tcPr>
          <w:p>
            <w:pPr>
              <w:pStyle w:val="Normal"/>
              <w:widowControl w:val="false"/>
              <w:spacing w:before="0" w:after="160"/>
              <w:rPr>
                <w:sz w:val="22"/>
                <w:szCs w:val="20"/>
                <w:lang w:val="en-US"/>
              </w:rPr>
            </w:pPr>
            <w:r>
              <w:rPr>
                <w:sz w:val="22"/>
                <w:szCs w:val="20"/>
                <w:lang w:val="en-US"/>
              </w:rPr>
              <w:t xml:space="preserve">Random-effects Parameters                 Estimate        Std. Err.           [95% Conf. Interval] ________________________________________________________________________                                                                                                       </w:t>
            </w:r>
          </w:p>
        </w:tc>
      </w:tr>
      <w:tr>
        <w:trPr/>
        <w:tc>
          <w:tcPr>
            <w:tcW w:w="8858" w:type="dxa"/>
            <w:tcBorders/>
          </w:tcPr>
          <w:p>
            <w:pPr>
              <w:pStyle w:val="Normal"/>
              <w:widowControl w:val="false"/>
              <w:rPr>
                <w:sz w:val="22"/>
                <w:szCs w:val="20"/>
                <w:lang w:val="en-US"/>
              </w:rPr>
            </w:pPr>
            <w:r>
              <w:rPr>
                <w:sz w:val="22"/>
                <w:szCs w:val="20"/>
                <w:lang w:val="en-US"/>
              </w:rPr>
              <w:t xml:space="preserve">COUNTRY: Identity                                                              </w:t>
            </w:r>
          </w:p>
          <w:p>
            <w:pPr>
              <w:pStyle w:val="Normal"/>
              <w:widowControl w:val="false"/>
              <w:rPr>
                <w:lang w:val="en-US"/>
              </w:rPr>
            </w:pPr>
            <w:r>
              <w:rPr>
                <w:sz w:val="22"/>
                <w:szCs w:val="20"/>
                <w:lang w:val="en-US"/>
              </w:rPr>
              <w:t xml:space="preserve">                                </w:t>
            </w:r>
            <w:r>
              <w:rPr>
                <w:sz w:val="22"/>
                <w:szCs w:val="20"/>
                <w:lang w:val="en-US"/>
              </w:rPr>
              <w:t>var(_cons)            .</w:t>
            </w:r>
            <w:r>
              <w:rPr>
                <w:szCs w:val="20"/>
                <w:lang w:val="en-US"/>
              </w:rPr>
              <w:t>1155436</w:t>
            </w:r>
            <w:r>
              <w:rPr>
                <w:sz w:val="22"/>
                <w:szCs w:val="20"/>
                <w:lang w:val="en-US"/>
              </w:rPr>
              <w:t xml:space="preserve">     .</w:t>
            </w:r>
            <w:r>
              <w:rPr>
                <w:lang w:val="en-US"/>
              </w:rPr>
              <w:t>0416716</w:t>
            </w:r>
            <w:r>
              <w:rPr>
                <w:sz w:val="22"/>
                <w:szCs w:val="20"/>
                <w:lang w:val="en-US"/>
              </w:rPr>
              <w:t xml:space="preserve">         .</w:t>
            </w:r>
            <w:r>
              <w:rPr>
                <w:lang w:val="en-US"/>
              </w:rPr>
              <w:t>0569841</w:t>
            </w:r>
            <w:r>
              <w:rPr>
                <w:sz w:val="22"/>
                <w:szCs w:val="20"/>
                <w:lang w:val="en-US"/>
              </w:rPr>
              <w:t xml:space="preserve">   .</w:t>
            </w:r>
            <w:r>
              <w:rPr>
                <w:szCs w:val="20"/>
                <w:lang w:val="en-US"/>
              </w:rPr>
              <w:t>2342815</w:t>
            </w:r>
            <w:r>
              <w:rPr>
                <w:sz w:val="22"/>
                <w:szCs w:val="20"/>
                <w:lang w:val="en-US"/>
              </w:rPr>
              <w:t xml:space="preserve"> ________________________________________________________________________</w:t>
            </w:r>
          </w:p>
          <w:p>
            <w:pPr>
              <w:pStyle w:val="Normal"/>
              <w:widowControl w:val="false"/>
              <w:rPr>
                <w:lang w:val="en-US"/>
              </w:rPr>
            </w:pPr>
            <w:r>
              <w:rPr>
                <w:sz w:val="22"/>
                <w:szCs w:val="20"/>
                <w:lang w:val="en-US"/>
              </w:rPr>
              <w:t xml:space="preserve">                                </w:t>
            </w:r>
            <w:r>
              <w:rPr>
                <w:sz w:val="22"/>
                <w:szCs w:val="20"/>
                <w:lang w:val="en-US"/>
              </w:rPr>
              <w:t>var(Residual)       .</w:t>
            </w:r>
            <w:r>
              <w:rPr>
                <w:lang w:val="en-US"/>
              </w:rPr>
              <w:t>8457021</w:t>
            </w:r>
            <w:r>
              <w:rPr>
                <w:sz w:val="22"/>
                <w:szCs w:val="20"/>
                <w:lang w:val="en-US"/>
              </w:rPr>
              <w:t xml:space="preserve">     .</w:t>
            </w:r>
            <w:r>
              <w:rPr>
                <w:lang w:val="en-US"/>
              </w:rPr>
              <w:t>0105858</w:t>
            </w:r>
            <w:r>
              <w:rPr>
                <w:sz w:val="22"/>
                <w:szCs w:val="20"/>
                <w:lang w:val="en-US"/>
              </w:rPr>
              <w:t xml:space="preserve">         .</w:t>
            </w:r>
            <w:r>
              <w:rPr>
                <w:lang w:val="en-US"/>
              </w:rPr>
              <w:t>8252067</w:t>
            </w:r>
            <w:r>
              <w:rPr>
                <w:sz w:val="22"/>
                <w:szCs w:val="20"/>
                <w:lang w:val="en-US"/>
              </w:rPr>
              <w:t xml:space="preserve">   .</w:t>
            </w:r>
            <w:r>
              <w:rPr>
                <w:lang w:val="en-US"/>
              </w:rPr>
              <w:t>8667065</w:t>
            </w:r>
            <w:r>
              <w:rPr>
                <w:sz w:val="22"/>
                <w:szCs w:val="20"/>
                <w:lang w:val="en-US"/>
              </w:rPr>
              <w:t xml:space="preserve"> ________________________________________________________________________                                                                                                                           </w:t>
            </w:r>
          </w:p>
          <w:p>
            <w:pPr>
              <w:pStyle w:val="Normal"/>
              <w:widowControl w:val="false"/>
              <w:spacing w:before="0" w:after="160"/>
              <w:rPr>
                <w:sz w:val="22"/>
                <w:szCs w:val="20"/>
                <w:lang w:val="en-US"/>
              </w:rPr>
            </w:pPr>
            <w:r>
              <w:rPr>
                <w:sz w:val="22"/>
                <w:szCs w:val="20"/>
                <w:lang w:val="en-US"/>
              </w:rPr>
              <w:t xml:space="preserve">               </w:t>
            </w:r>
          </w:p>
        </w:tc>
      </w:tr>
    </w:tbl>
    <w:p>
      <w:pPr>
        <w:pStyle w:val="Normal"/>
        <w:rPr>
          <w:rFonts w:cs="Times New Roman"/>
          <w:b/>
          <w:b/>
          <w:bCs/>
          <w:sz w:val="22"/>
          <w:szCs w:val="20"/>
        </w:rPr>
      </w:pPr>
      <w:r>
        <w:rPr>
          <w:rFonts w:cs="Times New Roman"/>
          <w:b/>
          <w:bCs/>
          <w:sz w:val="22"/>
          <w:szCs w:val="20"/>
        </w:rPr>
        <w:t>Appendiks 12: Variansekomponenter for tabell 14, modell 2</w:t>
      </w:r>
    </w:p>
    <w:tbl>
      <w:tblPr>
        <w:tblW w:w="8858" w:type="dxa"/>
        <w:jc w:val="left"/>
        <w:tblInd w:w="0" w:type="dxa"/>
        <w:tblLayout w:type="fixed"/>
        <w:tblCellMar>
          <w:top w:w="0" w:type="dxa"/>
          <w:left w:w="108" w:type="dxa"/>
          <w:bottom w:w="0" w:type="dxa"/>
          <w:right w:w="108" w:type="dxa"/>
        </w:tblCellMar>
      </w:tblPr>
      <w:tblGrid>
        <w:gridCol w:w="8858"/>
      </w:tblGrid>
      <w:tr>
        <w:trPr/>
        <w:tc>
          <w:tcPr>
            <w:tcW w:w="8858" w:type="dxa"/>
            <w:tcBorders>
              <w:top w:val="single" w:sz="6" w:space="0" w:color="000000"/>
            </w:tcBorders>
          </w:tcPr>
          <w:p>
            <w:pPr>
              <w:pStyle w:val="Normal"/>
              <w:widowControl w:val="false"/>
              <w:spacing w:before="0" w:after="160"/>
              <w:rPr>
                <w:sz w:val="22"/>
                <w:szCs w:val="20"/>
                <w:lang w:val="en-US"/>
              </w:rPr>
            </w:pPr>
            <w:r>
              <w:rPr>
                <w:sz w:val="22"/>
                <w:szCs w:val="20"/>
                <w:lang w:val="en-US"/>
              </w:rPr>
              <w:t xml:space="preserve">Random-effects Parameters                 Estimate        Std. Err.           [95% Conf. Interval] ________________________________________________________________________                                                                                                       </w:t>
            </w:r>
          </w:p>
        </w:tc>
      </w:tr>
      <w:tr>
        <w:trPr/>
        <w:tc>
          <w:tcPr>
            <w:tcW w:w="8858" w:type="dxa"/>
            <w:tcBorders/>
          </w:tcPr>
          <w:p>
            <w:pPr>
              <w:pStyle w:val="Normal"/>
              <w:widowControl w:val="false"/>
              <w:rPr>
                <w:sz w:val="22"/>
                <w:szCs w:val="20"/>
                <w:lang w:val="en-US"/>
              </w:rPr>
            </w:pPr>
            <w:r>
              <w:rPr>
                <w:sz w:val="22"/>
                <w:szCs w:val="20"/>
                <w:lang w:val="en-US"/>
              </w:rPr>
              <w:t xml:space="preserve">COUNTRY: Identity                                                              </w:t>
            </w:r>
          </w:p>
          <w:p>
            <w:pPr>
              <w:pStyle w:val="Normal"/>
              <w:widowControl w:val="false"/>
              <w:rPr>
                <w:lang w:val="en-US"/>
              </w:rPr>
            </w:pPr>
            <w:r>
              <w:rPr>
                <w:sz w:val="22"/>
                <w:szCs w:val="20"/>
                <w:lang w:val="en-US"/>
              </w:rPr>
              <w:t xml:space="preserve">                                </w:t>
            </w:r>
            <w:r>
              <w:rPr>
                <w:sz w:val="22"/>
                <w:szCs w:val="20"/>
                <w:lang w:val="en-US"/>
              </w:rPr>
              <w:t>var(_cons)            .</w:t>
            </w:r>
            <w:r>
              <w:rPr>
                <w:szCs w:val="20"/>
                <w:lang w:val="en-US"/>
              </w:rPr>
              <w:t>1390169</w:t>
            </w:r>
            <w:r>
              <w:rPr>
                <w:sz w:val="22"/>
                <w:szCs w:val="20"/>
                <w:lang w:val="en-US"/>
              </w:rPr>
              <w:t xml:space="preserve">     .</w:t>
            </w:r>
            <w:r>
              <w:rPr>
                <w:lang w:val="en-US"/>
              </w:rPr>
              <w:t>0498639</w:t>
            </w:r>
            <w:r>
              <w:rPr>
                <w:sz w:val="22"/>
                <w:szCs w:val="20"/>
                <w:lang w:val="en-US"/>
              </w:rPr>
              <w:t xml:space="preserve">         .</w:t>
            </w:r>
            <w:r>
              <w:rPr>
                <w:lang w:val="en-US"/>
              </w:rPr>
              <w:t>0688258</w:t>
            </w:r>
            <w:r>
              <w:rPr>
                <w:sz w:val="22"/>
                <w:szCs w:val="20"/>
                <w:lang w:val="en-US"/>
              </w:rPr>
              <w:t xml:space="preserve">   .</w:t>
            </w:r>
            <w:r>
              <w:rPr>
                <w:szCs w:val="20"/>
                <w:lang w:val="en-US"/>
              </w:rPr>
              <w:t>2807915</w:t>
            </w:r>
            <w:r>
              <w:rPr>
                <w:sz w:val="22"/>
                <w:szCs w:val="20"/>
                <w:lang w:val="en-US"/>
              </w:rPr>
              <w:t xml:space="preserve"> ________________________________________________________________________</w:t>
            </w:r>
          </w:p>
          <w:p>
            <w:pPr>
              <w:pStyle w:val="Normal"/>
              <w:widowControl w:val="false"/>
              <w:rPr>
                <w:lang w:val="en-US"/>
              </w:rPr>
            </w:pPr>
            <w:r>
              <w:rPr>
                <w:sz w:val="22"/>
                <w:szCs w:val="20"/>
                <w:lang w:val="en-US"/>
              </w:rPr>
              <w:t xml:space="preserve">                                </w:t>
            </w:r>
            <w:r>
              <w:rPr>
                <w:sz w:val="22"/>
                <w:szCs w:val="20"/>
                <w:lang w:val="en-US"/>
              </w:rPr>
              <w:t>var(Residual)       .</w:t>
            </w:r>
            <w:r>
              <w:rPr>
                <w:lang w:val="en-US"/>
              </w:rPr>
              <w:t>8642984</w:t>
            </w:r>
            <w:r>
              <w:rPr>
                <w:sz w:val="22"/>
                <w:szCs w:val="20"/>
                <w:lang w:val="en-US"/>
              </w:rPr>
              <w:t xml:space="preserve">     .</w:t>
            </w:r>
            <w:r>
              <w:rPr>
                <w:lang w:val="en-US"/>
              </w:rPr>
              <w:t>0108186</w:t>
            </w:r>
            <w:r>
              <w:rPr>
                <w:sz w:val="22"/>
                <w:szCs w:val="20"/>
                <w:lang w:val="en-US"/>
              </w:rPr>
              <w:t xml:space="preserve">         .</w:t>
            </w:r>
            <w:r>
              <w:rPr>
                <w:lang w:val="en-US"/>
              </w:rPr>
              <w:t>8433524</w:t>
            </w:r>
            <w:r>
              <w:rPr>
                <w:sz w:val="22"/>
                <w:szCs w:val="20"/>
                <w:lang w:val="en-US"/>
              </w:rPr>
              <w:t xml:space="preserve">   .</w:t>
            </w:r>
            <w:r>
              <w:rPr>
                <w:lang w:val="en-US"/>
              </w:rPr>
              <w:t>8857647</w:t>
            </w:r>
            <w:r>
              <w:rPr>
                <w:sz w:val="22"/>
                <w:szCs w:val="20"/>
                <w:lang w:val="en-US"/>
              </w:rPr>
              <w:t xml:space="preserve"> ________________________________________________________________________                                                                                                                           </w:t>
            </w:r>
          </w:p>
          <w:p>
            <w:pPr>
              <w:pStyle w:val="Normal"/>
              <w:widowControl w:val="false"/>
              <w:spacing w:before="0" w:after="160"/>
              <w:rPr>
                <w:sz w:val="22"/>
                <w:szCs w:val="20"/>
                <w:lang w:val="en-US"/>
              </w:rPr>
            </w:pPr>
            <w:r>
              <w:rPr>
                <w:sz w:val="22"/>
                <w:szCs w:val="20"/>
                <w:lang w:val="en-US"/>
              </w:rPr>
              <w:t xml:space="preserve">               </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t>Appendiks x: Likelihood-ratio test for modell 7 og 13</w:t>
      </w:r>
    </w:p>
    <w:p>
      <w:pPr>
        <w:pStyle w:val="Normal"/>
        <w:widowControl w:val="false"/>
        <w:spacing w:lineRule="auto" w:line="240" w:before="0" w:after="0"/>
        <w:rPr/>
      </w:pPr>
      <w:r>
        <w:rPr>
          <w:rFonts w:cs="Times New Roman"/>
          <w:sz w:val="20"/>
          <w:szCs w:val="20"/>
          <w:lang w:val="en-US"/>
        </w:rPr>
        <w:t>Likelihood-ratio test                                 LR chi2(1)  =    664.09</w:t>
        <w:br/>
        <w:t>(Assumption: modell7 nested in modell13)              Prob &gt; chi2 =    0.0000</w:t>
        <w:br/>
        <w:t>Note: The reported degrees of freedom assumes the null hypothesis is not on the boundary of the parameter space.  If this is not true, then the reported test is conservative.</w:t>
        <w:br/>
      </w:r>
      <w:r>
        <w:rPr>
          <w:rFonts w:cs="Times New Roman"/>
          <w:b/>
          <w:bCs/>
          <w:sz w:val="20"/>
          <w:szCs w:val="20"/>
          <w:lang w:val="en-US"/>
        </w:rPr>
        <w:br/>
        <w:t xml:space="preserve"> </w:t>
      </w:r>
    </w:p>
    <w:p>
      <w:pPr>
        <w:pStyle w:val="Normal"/>
        <w:widowControl w:val="false"/>
        <w:spacing w:lineRule="auto" w:line="240" w:before="0" w:after="0"/>
        <w:rPr>
          <w:rFonts w:cs="Times New Roman"/>
          <w:sz w:val="20"/>
          <w:szCs w:val="20"/>
          <w:lang w:val="en-US"/>
        </w:rPr>
      </w:pPr>
      <w:r>
        <w:rPr>
          <w:rFonts w:cs="Times New Roman"/>
          <w:sz w:val="20"/>
          <w:szCs w:val="20"/>
          <w:lang w:val="en-US"/>
        </w:rPr>
      </w:r>
    </w:p>
    <w:p>
      <w:pPr>
        <w:pStyle w:val="Normal"/>
        <w:rPr>
          <w:b/>
          <w:b/>
          <w:bCs/>
          <w:lang w:val="en-US"/>
        </w:rPr>
      </w:pPr>
      <w:r>
        <w:rPr>
          <w:b/>
          <w:bCs/>
          <w:lang w:val="en-US"/>
        </w:rPr>
        <w:t>Appendiks x: Likelihood-ratio test for modell 9 og 11</w:t>
      </w:r>
    </w:p>
    <w:p>
      <w:pPr>
        <w:pStyle w:val="Normal"/>
        <w:rPr>
          <w:rFonts w:cs="Times New Roman"/>
          <w:sz w:val="20"/>
          <w:szCs w:val="20"/>
          <w:lang w:val="en-US"/>
        </w:rPr>
      </w:pPr>
      <w:r>
        <w:rPr>
          <w:rFonts w:cs="Times New Roman"/>
          <w:sz w:val="20"/>
          <w:szCs w:val="20"/>
          <w:lang w:val="en-US"/>
        </w:rPr>
        <w:t>Likelihood-ratio test                                 LR chi2(1)  =    313.60</w:t>
        <w:br/>
        <w:t>(Assumption: modell9 nested in modell11)              Prob &gt; chi2 =    0.0000</w:t>
        <w:br/>
        <w:t>Note: The reported degrees of freedom assumes the null hypothesis is not on the boundary of the parameter space.  If this is not true, then the reported test is conservative.</w:t>
        <w:br/>
      </w:r>
    </w:p>
    <w:p>
      <w:pPr>
        <w:pStyle w:val="Normal"/>
        <w:spacing w:lineRule="auto" w:line="240"/>
        <w:rPr>
          <w:rFonts w:cs="Times New Roman"/>
          <w:sz w:val="22"/>
          <w:shd w:fill="FFFFFF" w:val="clear"/>
          <w:lang w:val="en-US"/>
        </w:rPr>
      </w:pPr>
      <w:r>
        <w:rPr>
          <w:rFonts w:cs="Times New Roman"/>
          <w:sz w:val="22"/>
          <w:shd w:fill="FFFFFF" w:val="clear"/>
          <w:lang w:val="en-US"/>
        </w:rPr>
      </w:r>
    </w:p>
    <w:p>
      <w:pPr>
        <w:pStyle w:val="Normal"/>
        <w:rPr>
          <w:rFonts w:cs="Times New Roman"/>
          <w:b/>
          <w:b/>
          <w:bCs/>
          <w:sz w:val="20"/>
          <w:szCs w:val="20"/>
          <w:lang w:val="en-US"/>
        </w:rPr>
      </w:pPr>
      <w:r>
        <w:rPr>
          <w:rFonts w:cs="Times New Roman"/>
          <w:b/>
          <w:bCs/>
          <w:sz w:val="20"/>
          <w:szCs w:val="20"/>
          <w:lang w:val="en-US"/>
        </w:rPr>
        <w:t>Appendiks rs1: Random slope (undertrykt)</w:t>
      </w:r>
    </w:p>
    <w:tbl>
      <w:tblPr>
        <w:tblW w:w="8858" w:type="dxa"/>
        <w:jc w:val="left"/>
        <w:tblInd w:w="0" w:type="dxa"/>
        <w:tblLayout w:type="fixed"/>
        <w:tblCellMar>
          <w:top w:w="0" w:type="dxa"/>
          <w:left w:w="108" w:type="dxa"/>
          <w:bottom w:w="0" w:type="dxa"/>
          <w:right w:w="108" w:type="dxa"/>
        </w:tblCellMar>
      </w:tblPr>
      <w:tblGrid>
        <w:gridCol w:w="1707"/>
        <w:gridCol w:w="1201"/>
        <w:gridCol w:w="5950"/>
      </w:tblGrid>
      <w:tr>
        <w:trPr/>
        <w:tc>
          <w:tcPr>
            <w:tcW w:w="1707" w:type="dxa"/>
            <w:tcBorders>
              <w:top w:val="single" w:sz="4" w:space="0" w:color="000000"/>
              <w:bottom w:val="single" w:sz="8" w:space="0" w:color="000000"/>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Variabler</w:t>
            </w:r>
          </w:p>
        </w:tc>
        <w:tc>
          <w:tcPr>
            <w:tcW w:w="1201" w:type="dxa"/>
            <w:tcBorders>
              <w:top w:val="single" w:sz="4" w:space="0" w:color="000000"/>
              <w:bottom w:val="single" w:sz="8" w:space="0" w:color="000000"/>
            </w:tcBorders>
          </w:tcPr>
          <w:p>
            <w:pPr>
              <w:pStyle w:val="Normal"/>
              <w:widowControl w:val="false"/>
              <w:spacing w:before="0" w:after="160"/>
              <w:rPr>
                <w:rFonts w:cs="Times New Roman"/>
                <w:sz w:val="20"/>
                <w:szCs w:val="20"/>
                <w:lang w:val="en-US"/>
              </w:rPr>
            </w:pPr>
            <w:r>
              <w:rPr>
                <w:rFonts w:cs="Times New Roman"/>
                <w:sz w:val="20"/>
                <w:szCs w:val="20"/>
                <w:lang w:val="en-US"/>
              </w:rPr>
              <w:t xml:space="preserve"> </w:t>
            </w:r>
            <w:r>
              <w:rPr>
                <w:rFonts w:cs="Times New Roman"/>
                <w:sz w:val="20"/>
                <w:szCs w:val="20"/>
                <w:lang w:val="en-US"/>
              </w:rPr>
              <w:t>politisktillit</w:t>
            </w:r>
          </w:p>
        </w:tc>
        <w:tc>
          <w:tcPr>
            <w:tcW w:w="5950" w:type="dxa"/>
            <w:tcBorders/>
          </w:tcPr>
          <w:p>
            <w:pPr>
              <w:pStyle w:val="Normal"/>
              <w:widowControl w:val="false"/>
              <w:spacing w:before="0" w:after="160"/>
              <w:rPr/>
            </w:pPr>
            <w:r>
              <w:rPr/>
            </w:r>
          </w:p>
        </w:tc>
      </w:tr>
      <w:tr>
        <w:trPr/>
        <w:tc>
          <w:tcPr>
            <w:tcW w:w="1707" w:type="dxa"/>
            <w:tcBorders/>
          </w:tcPr>
          <w:p>
            <w:pPr>
              <w:pStyle w:val="Normal"/>
              <w:widowControl w:val="false"/>
              <w:spacing w:before="0" w:after="160"/>
              <w:rPr>
                <w:rFonts w:cs="Times New Roman"/>
                <w:sz w:val="20"/>
                <w:szCs w:val="20"/>
                <w:lang w:val="en-US"/>
              </w:rPr>
            </w:pPr>
            <w:r>
              <w:rPr>
                <w:rFonts w:cs="Times New Roman"/>
                <w:sz w:val="20"/>
                <w:szCs w:val="20"/>
                <w:lang w:val="en-US"/>
              </w:rPr>
              <w:t>polps</w:t>
            </w:r>
            <w:r>
              <w:rPr>
                <w:rFonts w:cs="Times New Roman"/>
                <w:sz w:val="20"/>
                <w:szCs w:val="20"/>
                <w:vertAlign w:val="superscript"/>
                <w:lang w:val="en-US"/>
              </w:rPr>
              <w:t>a</w:t>
            </w:r>
          </w:p>
        </w:tc>
        <w:tc>
          <w:tcPr>
            <w:tcW w:w="1201" w:type="dxa"/>
            <w:tcBorders/>
          </w:tcPr>
          <w:p>
            <w:pPr>
              <w:pStyle w:val="Normal"/>
              <w:widowControl w:val="false"/>
              <w:rPr>
                <w:rFonts w:cs="Times New Roman"/>
                <w:sz w:val="20"/>
                <w:szCs w:val="20"/>
                <w:lang w:val="en-US"/>
              </w:rPr>
            </w:pPr>
            <w:r>
              <w:rPr>
                <w:rFonts w:cs="Times New Roman"/>
                <w:sz w:val="20"/>
                <w:szCs w:val="20"/>
                <w:lang w:val="en-US"/>
              </w:rPr>
              <w:t>.304</w:t>
            </w:r>
          </w:p>
          <w:p>
            <w:pPr>
              <w:pStyle w:val="Normal"/>
              <w:widowControl w:val="false"/>
              <w:spacing w:before="0" w:after="160"/>
              <w:rPr>
                <w:rFonts w:cs="Times New Roman"/>
                <w:sz w:val="20"/>
                <w:szCs w:val="20"/>
                <w:lang w:val="en-US"/>
              </w:rPr>
            </w:pPr>
            <w:r>
              <w:rPr>
                <w:rFonts w:cs="Times New Roman"/>
                <w:sz w:val="20"/>
                <w:szCs w:val="20"/>
                <w:lang w:val="en-US"/>
              </w:rPr>
              <w:t>(.232)</w:t>
            </w:r>
          </w:p>
        </w:tc>
        <w:tc>
          <w:tcPr>
            <w:tcW w:w="5950" w:type="dxa"/>
            <w:tcBorders/>
          </w:tcPr>
          <w:p>
            <w:pPr>
              <w:pStyle w:val="Normal"/>
              <w:widowControl w:val="false"/>
              <w:spacing w:before="0" w:after="160"/>
              <w:rPr/>
            </w:pPr>
            <w:r>
              <w:rPr/>
            </w:r>
          </w:p>
        </w:tc>
      </w:tr>
      <w:tr>
        <w:trPr/>
        <w:tc>
          <w:tcPr>
            <w:tcW w:w="1707" w:type="dxa"/>
            <w:tcBorders/>
          </w:tcPr>
          <w:p>
            <w:pPr>
              <w:pStyle w:val="Normal"/>
              <w:widowControl w:val="false"/>
              <w:spacing w:before="0" w:after="160"/>
              <w:rPr>
                <w:rFonts w:cs="Times New Roman"/>
                <w:sz w:val="20"/>
                <w:szCs w:val="20"/>
                <w:lang w:val="en-US"/>
              </w:rPr>
            </w:pPr>
            <w:r>
              <w:rPr>
                <w:rFonts w:cs="Times New Roman"/>
                <w:sz w:val="20"/>
                <w:szCs w:val="20"/>
                <w:lang w:val="en-US"/>
              </w:rPr>
              <w:t>kvinne</w:t>
            </w:r>
          </w:p>
        </w:tc>
        <w:tc>
          <w:tcPr>
            <w:tcW w:w="1201" w:type="dxa"/>
            <w:tcBorders/>
          </w:tcPr>
          <w:p>
            <w:pPr>
              <w:pStyle w:val="Normal"/>
              <w:widowControl w:val="false"/>
              <w:rPr>
                <w:rFonts w:cs="Times New Roman"/>
                <w:sz w:val="20"/>
                <w:szCs w:val="20"/>
                <w:lang w:val="en-US"/>
              </w:rPr>
            </w:pPr>
            <w:r>
              <w:rPr>
                <w:rFonts w:cs="Times New Roman"/>
                <w:sz w:val="20"/>
                <w:szCs w:val="20"/>
                <w:lang w:val="en-US"/>
              </w:rPr>
              <w:t>.035</w:t>
            </w:r>
          </w:p>
          <w:p>
            <w:pPr>
              <w:pStyle w:val="Normal"/>
              <w:widowControl w:val="false"/>
              <w:spacing w:before="0" w:after="160"/>
              <w:rPr>
                <w:rFonts w:cs="Times New Roman"/>
                <w:sz w:val="20"/>
                <w:szCs w:val="20"/>
                <w:lang w:val="en-US"/>
              </w:rPr>
            </w:pPr>
            <w:r>
              <w:rPr>
                <w:rFonts w:cs="Times New Roman"/>
                <w:sz w:val="20"/>
                <w:szCs w:val="20"/>
                <w:lang w:val="en-US"/>
              </w:rPr>
              <w:t>(.022)</w:t>
            </w:r>
          </w:p>
        </w:tc>
        <w:tc>
          <w:tcPr>
            <w:tcW w:w="5950" w:type="dxa"/>
            <w:tcBorders/>
          </w:tcPr>
          <w:p>
            <w:pPr>
              <w:pStyle w:val="Normal"/>
              <w:widowControl w:val="false"/>
              <w:spacing w:before="0" w:after="160"/>
              <w:rPr/>
            </w:pPr>
            <w:r>
              <w:rPr/>
            </w:r>
          </w:p>
        </w:tc>
      </w:tr>
      <w:tr>
        <w:trPr/>
        <w:tc>
          <w:tcPr>
            <w:tcW w:w="1707" w:type="dxa"/>
            <w:tcBorders/>
          </w:tcPr>
          <w:p>
            <w:pPr>
              <w:pStyle w:val="Normal"/>
              <w:widowControl w:val="false"/>
              <w:spacing w:before="0" w:after="160"/>
              <w:rPr>
                <w:rFonts w:cs="Times New Roman"/>
                <w:sz w:val="20"/>
                <w:szCs w:val="20"/>
                <w:lang w:val="en-US"/>
              </w:rPr>
            </w:pPr>
            <w:r>
              <w:rPr>
                <w:rFonts w:cs="Times New Roman"/>
                <w:sz w:val="20"/>
                <w:szCs w:val="20"/>
                <w:lang w:val="en-US"/>
              </w:rPr>
              <w:t>polps#kvinne</w:t>
            </w:r>
            <w:r>
              <w:rPr>
                <w:rFonts w:cs="Times New Roman"/>
                <w:sz w:val="20"/>
                <w:szCs w:val="20"/>
                <w:vertAlign w:val="superscript"/>
                <w:lang w:val="en-US"/>
              </w:rPr>
              <w:t>b</w:t>
            </w:r>
          </w:p>
        </w:tc>
        <w:tc>
          <w:tcPr>
            <w:tcW w:w="1201" w:type="dxa"/>
            <w:tcBorders/>
          </w:tcPr>
          <w:p>
            <w:pPr>
              <w:pStyle w:val="Normal"/>
              <w:widowControl w:val="false"/>
              <w:rPr>
                <w:rFonts w:cs="Times New Roman"/>
                <w:sz w:val="20"/>
                <w:szCs w:val="20"/>
                <w:lang w:val="en-US"/>
              </w:rPr>
            </w:pPr>
            <w:r>
              <w:rPr>
                <w:rFonts w:cs="Times New Roman"/>
                <w:sz w:val="20"/>
                <w:szCs w:val="20"/>
                <w:lang w:val="en-US"/>
              </w:rPr>
              <w:t>-.106***</w:t>
            </w:r>
          </w:p>
          <w:p>
            <w:pPr>
              <w:pStyle w:val="Normal"/>
              <w:widowControl w:val="false"/>
              <w:spacing w:before="0" w:after="160"/>
              <w:rPr>
                <w:rFonts w:cs="Times New Roman"/>
                <w:sz w:val="20"/>
                <w:szCs w:val="20"/>
                <w:lang w:val="en-US"/>
              </w:rPr>
            </w:pPr>
            <w:r>
              <w:rPr>
                <w:rFonts w:cs="Times New Roman"/>
                <w:sz w:val="20"/>
                <w:szCs w:val="20"/>
                <w:lang w:val="en-US"/>
              </w:rPr>
              <w:t>(.032)</w:t>
            </w:r>
          </w:p>
        </w:tc>
        <w:tc>
          <w:tcPr>
            <w:tcW w:w="5950" w:type="dxa"/>
            <w:tcBorders/>
          </w:tcPr>
          <w:p>
            <w:pPr>
              <w:pStyle w:val="Normal"/>
              <w:widowControl w:val="false"/>
              <w:spacing w:before="0" w:after="160"/>
              <w:rPr/>
            </w:pPr>
            <w:r>
              <w:rPr/>
            </w:r>
          </w:p>
        </w:tc>
      </w:tr>
      <w:tr>
        <w:trPr/>
        <w:tc>
          <w:tcPr>
            <w:tcW w:w="1707" w:type="dxa"/>
            <w:tcBorders/>
          </w:tcPr>
          <w:p>
            <w:pPr>
              <w:pStyle w:val="Normal"/>
              <w:widowControl w:val="false"/>
              <w:spacing w:before="0" w:after="160"/>
              <w:rPr>
                <w:rFonts w:cs="Times New Roman"/>
                <w:sz w:val="20"/>
                <w:szCs w:val="20"/>
                <w:lang w:val="en-US"/>
              </w:rPr>
            </w:pPr>
            <w:r>
              <w:rPr>
                <w:rFonts w:cs="Times New Roman"/>
                <w:sz w:val="20"/>
                <w:szCs w:val="20"/>
                <w:lang w:val="en-US"/>
              </w:rPr>
              <w:t>undertrykt</w:t>
            </w:r>
            <w:r>
              <w:rPr>
                <w:rFonts w:cs="Times New Roman"/>
                <w:sz w:val="20"/>
                <w:szCs w:val="20"/>
                <w:vertAlign w:val="superscript"/>
                <w:lang w:val="en-US"/>
              </w:rPr>
              <w:t>c</w:t>
            </w:r>
          </w:p>
        </w:tc>
        <w:tc>
          <w:tcPr>
            <w:tcW w:w="1201" w:type="dxa"/>
            <w:tcBorders/>
          </w:tcPr>
          <w:p>
            <w:pPr>
              <w:pStyle w:val="Normal"/>
              <w:widowControl w:val="false"/>
              <w:rPr>
                <w:rFonts w:cs="Times New Roman"/>
                <w:sz w:val="20"/>
                <w:szCs w:val="20"/>
                <w:lang w:val="en-US"/>
              </w:rPr>
            </w:pPr>
            <w:r>
              <w:rPr>
                <w:rFonts w:cs="Times New Roman"/>
                <w:sz w:val="20"/>
                <w:szCs w:val="20"/>
                <w:lang w:val="en-US"/>
              </w:rPr>
              <w:t>-.089</w:t>
            </w:r>
          </w:p>
          <w:p>
            <w:pPr>
              <w:pStyle w:val="Normal"/>
              <w:widowControl w:val="false"/>
              <w:spacing w:before="0" w:after="160"/>
              <w:rPr>
                <w:rFonts w:cs="Times New Roman"/>
                <w:sz w:val="20"/>
                <w:szCs w:val="20"/>
                <w:lang w:val="en-US"/>
              </w:rPr>
            </w:pPr>
            <w:r>
              <w:rPr>
                <w:rFonts w:cs="Times New Roman"/>
                <w:sz w:val="20"/>
                <w:szCs w:val="20"/>
                <w:lang w:val="en-US"/>
              </w:rPr>
              <w:t>(.183)</w:t>
            </w:r>
          </w:p>
        </w:tc>
        <w:tc>
          <w:tcPr>
            <w:tcW w:w="5950" w:type="dxa"/>
            <w:tcBorders/>
          </w:tcPr>
          <w:p>
            <w:pPr>
              <w:pStyle w:val="Normal"/>
              <w:widowControl w:val="false"/>
              <w:spacing w:before="0" w:after="160"/>
              <w:rPr/>
            </w:pPr>
            <w:r>
              <w:rPr/>
            </w:r>
          </w:p>
        </w:tc>
      </w:tr>
      <w:tr>
        <w:trPr/>
        <w:tc>
          <w:tcPr>
            <w:tcW w:w="1707" w:type="dxa"/>
            <w:tcBorders/>
          </w:tcPr>
          <w:p>
            <w:pPr>
              <w:pStyle w:val="Normal"/>
              <w:widowControl w:val="false"/>
              <w:spacing w:before="0" w:after="160"/>
              <w:rPr>
                <w:rFonts w:cs="Times New Roman"/>
                <w:sz w:val="20"/>
                <w:szCs w:val="20"/>
                <w:lang w:val="en-US"/>
              </w:rPr>
            </w:pPr>
            <w:r>
              <w:rPr>
                <w:rFonts w:cs="Times New Roman"/>
                <w:sz w:val="20"/>
                <w:szCs w:val="20"/>
                <w:lang w:val="en-US"/>
              </w:rPr>
              <w:t>alder</w:t>
            </w:r>
          </w:p>
        </w:tc>
        <w:tc>
          <w:tcPr>
            <w:tcW w:w="1201" w:type="dxa"/>
            <w:tcBorders/>
          </w:tcPr>
          <w:p>
            <w:pPr>
              <w:pStyle w:val="Normal"/>
              <w:widowControl w:val="false"/>
              <w:rPr>
                <w:rFonts w:cs="Times New Roman"/>
                <w:sz w:val="20"/>
                <w:szCs w:val="20"/>
                <w:lang w:val="en-US"/>
              </w:rPr>
            </w:pPr>
            <w:r>
              <w:rPr>
                <w:rFonts w:cs="Times New Roman"/>
                <w:sz w:val="20"/>
                <w:szCs w:val="20"/>
                <w:lang w:val="en-US"/>
              </w:rPr>
              <w:t>.002***</w:t>
            </w:r>
          </w:p>
          <w:p>
            <w:pPr>
              <w:pStyle w:val="Normal"/>
              <w:widowControl w:val="false"/>
              <w:spacing w:before="0" w:after="160"/>
              <w:rPr>
                <w:rFonts w:cs="Times New Roman"/>
                <w:sz w:val="20"/>
                <w:szCs w:val="20"/>
                <w:lang w:val="en-US"/>
              </w:rPr>
            </w:pPr>
            <w:r>
              <w:rPr>
                <w:rFonts w:cs="Times New Roman"/>
                <w:sz w:val="20"/>
                <w:szCs w:val="20"/>
                <w:lang w:val="en-US"/>
              </w:rPr>
              <w:t>(.001)</w:t>
            </w:r>
          </w:p>
        </w:tc>
        <w:tc>
          <w:tcPr>
            <w:tcW w:w="5950" w:type="dxa"/>
            <w:tcBorders/>
          </w:tcPr>
          <w:p>
            <w:pPr>
              <w:pStyle w:val="Normal"/>
              <w:widowControl w:val="false"/>
              <w:spacing w:before="0" w:after="160"/>
              <w:rPr/>
            </w:pPr>
            <w:r>
              <w:rPr/>
            </w:r>
          </w:p>
        </w:tc>
      </w:tr>
      <w:tr>
        <w:trPr/>
        <w:tc>
          <w:tcPr>
            <w:tcW w:w="1707" w:type="dxa"/>
            <w:tcBorders/>
          </w:tcPr>
          <w:p>
            <w:pPr>
              <w:pStyle w:val="Normal"/>
              <w:widowControl w:val="false"/>
              <w:rPr>
                <w:rFonts w:cs="Times New Roman"/>
                <w:sz w:val="20"/>
                <w:szCs w:val="20"/>
                <w:lang w:val="en-US"/>
              </w:rPr>
            </w:pPr>
            <w:r>
              <w:rPr>
                <w:rFonts w:cs="Times New Roman"/>
                <w:sz w:val="20"/>
                <w:szCs w:val="20"/>
                <w:lang w:val="en-US"/>
              </w:rPr>
              <w:t>uteninntekt</w:t>
            </w:r>
          </w:p>
          <w:p>
            <w:pPr>
              <w:pStyle w:val="Normal"/>
              <w:widowControl w:val="false"/>
              <w:spacing w:before="0" w:after="160"/>
              <w:rPr>
                <w:rFonts w:cs="Times New Roman"/>
                <w:b/>
                <w:b/>
                <w:bCs/>
                <w:sz w:val="20"/>
                <w:szCs w:val="20"/>
                <w:lang w:val="en-US"/>
              </w:rPr>
            </w:pPr>
            <w:r>
              <w:rPr>
                <w:rFonts w:cs="Times New Roman"/>
                <w:b/>
                <w:bCs/>
                <w:sz w:val="20"/>
                <w:szCs w:val="20"/>
                <w:lang w:val="en-US"/>
              </w:rPr>
              <w:t>Utdanning</w:t>
            </w:r>
            <w:r>
              <w:rPr>
                <w:rFonts w:cs="Times New Roman"/>
                <w:b/>
                <w:bCs/>
                <w:sz w:val="20"/>
                <w:szCs w:val="20"/>
                <w:vertAlign w:val="superscript"/>
                <w:lang w:val="en-US"/>
              </w:rPr>
              <w:t>d</w:t>
            </w:r>
          </w:p>
        </w:tc>
        <w:tc>
          <w:tcPr>
            <w:tcW w:w="1201" w:type="dxa"/>
            <w:tcBorders/>
          </w:tcPr>
          <w:p>
            <w:pPr>
              <w:pStyle w:val="Normal"/>
              <w:widowControl w:val="false"/>
              <w:rPr>
                <w:rFonts w:cs="Times New Roman"/>
                <w:sz w:val="20"/>
                <w:szCs w:val="20"/>
                <w:lang w:val="en-US"/>
              </w:rPr>
            </w:pPr>
            <w:r>
              <w:rPr>
                <w:rFonts w:cs="Times New Roman"/>
                <w:sz w:val="20"/>
                <w:szCs w:val="20"/>
                <w:lang w:val="en-US"/>
              </w:rPr>
              <w:t>-.154***</w:t>
            </w:r>
          </w:p>
          <w:p>
            <w:pPr>
              <w:pStyle w:val="Normal"/>
              <w:widowControl w:val="false"/>
              <w:spacing w:before="0" w:after="160"/>
              <w:rPr>
                <w:rFonts w:cs="Times New Roman"/>
                <w:sz w:val="20"/>
                <w:szCs w:val="20"/>
                <w:lang w:val="en-US"/>
              </w:rPr>
            </w:pPr>
            <w:r>
              <w:rPr>
                <w:rFonts w:cs="Times New Roman"/>
                <w:sz w:val="20"/>
                <w:szCs w:val="20"/>
                <w:lang w:val="en-US"/>
              </w:rPr>
              <w:t>(.019)</w:t>
            </w:r>
          </w:p>
        </w:tc>
        <w:tc>
          <w:tcPr>
            <w:tcW w:w="5950" w:type="dxa"/>
            <w:tcBorders/>
          </w:tcPr>
          <w:p>
            <w:pPr>
              <w:pStyle w:val="Normal"/>
              <w:widowControl w:val="false"/>
              <w:spacing w:before="0" w:after="160"/>
              <w:rPr/>
            </w:pPr>
            <w:r>
              <w:rPr/>
            </w:r>
          </w:p>
        </w:tc>
      </w:tr>
      <w:tr>
        <w:trPr/>
        <w:tc>
          <w:tcPr>
            <w:tcW w:w="1707" w:type="dxa"/>
            <w:tcBorders/>
          </w:tcPr>
          <w:p>
            <w:pPr>
              <w:pStyle w:val="Normal"/>
              <w:widowControl w:val="false"/>
              <w:spacing w:before="0" w:after="160"/>
              <w:rPr>
                <w:rFonts w:cs="Times New Roman"/>
                <w:sz w:val="20"/>
                <w:szCs w:val="20"/>
                <w:lang w:val="en-US"/>
              </w:rPr>
            </w:pPr>
            <w:r>
              <w:rPr>
                <w:rFonts w:cs="Times New Roman"/>
                <w:sz w:val="20"/>
                <w:szCs w:val="20"/>
                <w:lang w:val="en-US"/>
              </w:rPr>
              <w:t>Primær</w:t>
            </w:r>
          </w:p>
        </w:tc>
        <w:tc>
          <w:tcPr>
            <w:tcW w:w="1201" w:type="dxa"/>
            <w:tcBorders/>
          </w:tcPr>
          <w:p>
            <w:pPr>
              <w:pStyle w:val="Normal"/>
              <w:widowControl w:val="false"/>
              <w:rPr>
                <w:rFonts w:cs="Times New Roman"/>
                <w:sz w:val="20"/>
                <w:szCs w:val="20"/>
                <w:lang w:val="en-US"/>
              </w:rPr>
            </w:pPr>
            <w:r>
              <w:rPr>
                <w:rFonts w:cs="Times New Roman"/>
                <w:sz w:val="20"/>
                <w:szCs w:val="20"/>
                <w:lang w:val="en-US"/>
              </w:rPr>
              <w:t>-.053**</w:t>
            </w:r>
          </w:p>
          <w:p>
            <w:pPr>
              <w:pStyle w:val="Normal"/>
              <w:widowControl w:val="false"/>
              <w:spacing w:before="0" w:after="160"/>
              <w:rPr>
                <w:rFonts w:cs="Times New Roman"/>
                <w:sz w:val="20"/>
                <w:szCs w:val="20"/>
                <w:lang w:val="en-US"/>
              </w:rPr>
            </w:pPr>
            <w:r>
              <w:rPr>
                <w:rFonts w:cs="Times New Roman"/>
                <w:sz w:val="20"/>
                <w:szCs w:val="20"/>
                <w:lang w:val="en-US"/>
              </w:rPr>
              <w:t>(.027)</w:t>
            </w:r>
          </w:p>
        </w:tc>
        <w:tc>
          <w:tcPr>
            <w:tcW w:w="5950" w:type="dxa"/>
            <w:tcBorders/>
          </w:tcPr>
          <w:p>
            <w:pPr>
              <w:pStyle w:val="Normal"/>
              <w:widowControl w:val="false"/>
              <w:spacing w:before="0" w:after="160"/>
              <w:rPr/>
            </w:pPr>
            <w:r>
              <w:rPr/>
            </w:r>
          </w:p>
        </w:tc>
      </w:tr>
      <w:tr>
        <w:trPr/>
        <w:tc>
          <w:tcPr>
            <w:tcW w:w="1707" w:type="dxa"/>
            <w:tcBorders/>
          </w:tcPr>
          <w:p>
            <w:pPr>
              <w:pStyle w:val="Normal"/>
              <w:widowControl w:val="false"/>
              <w:spacing w:before="0" w:after="160"/>
              <w:rPr>
                <w:rFonts w:cs="Times New Roman"/>
                <w:sz w:val="20"/>
                <w:szCs w:val="20"/>
                <w:lang w:val="en-US"/>
              </w:rPr>
            </w:pPr>
            <w:r>
              <w:rPr>
                <w:rFonts w:cs="Times New Roman"/>
                <w:sz w:val="20"/>
                <w:szCs w:val="20"/>
                <w:lang w:val="en-US"/>
              </w:rPr>
              <w:t>Sekundær</w:t>
            </w:r>
          </w:p>
        </w:tc>
        <w:tc>
          <w:tcPr>
            <w:tcW w:w="1201" w:type="dxa"/>
            <w:tcBorders/>
          </w:tcPr>
          <w:p>
            <w:pPr>
              <w:pStyle w:val="Normal"/>
              <w:widowControl w:val="false"/>
              <w:rPr>
                <w:rFonts w:cs="Times New Roman"/>
                <w:sz w:val="20"/>
                <w:szCs w:val="20"/>
                <w:lang w:val="en-US"/>
              </w:rPr>
            </w:pPr>
            <w:r>
              <w:rPr>
                <w:rFonts w:cs="Times New Roman"/>
                <w:sz w:val="20"/>
                <w:szCs w:val="20"/>
                <w:lang w:val="en-US"/>
              </w:rPr>
              <w:t>-.177***</w:t>
            </w:r>
          </w:p>
          <w:p>
            <w:pPr>
              <w:pStyle w:val="Normal"/>
              <w:widowControl w:val="false"/>
              <w:spacing w:before="0" w:after="160"/>
              <w:rPr>
                <w:rFonts w:cs="Times New Roman"/>
                <w:sz w:val="20"/>
                <w:szCs w:val="20"/>
                <w:lang w:val="en-US"/>
              </w:rPr>
            </w:pPr>
            <w:r>
              <w:rPr>
                <w:rFonts w:cs="Times New Roman"/>
                <w:sz w:val="20"/>
                <w:szCs w:val="20"/>
                <w:lang w:val="en-US"/>
              </w:rPr>
              <w:t>(.026)</w:t>
            </w:r>
          </w:p>
        </w:tc>
        <w:tc>
          <w:tcPr>
            <w:tcW w:w="5950" w:type="dxa"/>
            <w:tcBorders/>
          </w:tcPr>
          <w:p>
            <w:pPr>
              <w:pStyle w:val="Normal"/>
              <w:widowControl w:val="false"/>
              <w:spacing w:before="0" w:after="160"/>
              <w:rPr/>
            </w:pPr>
            <w:r>
              <w:rPr/>
            </w:r>
          </w:p>
        </w:tc>
      </w:tr>
      <w:tr>
        <w:trPr/>
        <w:tc>
          <w:tcPr>
            <w:tcW w:w="1707" w:type="dxa"/>
            <w:tcBorders/>
          </w:tcPr>
          <w:p>
            <w:pPr>
              <w:pStyle w:val="Normal"/>
              <w:widowControl w:val="false"/>
              <w:spacing w:before="0" w:after="160"/>
              <w:rPr>
                <w:rFonts w:cs="Times New Roman"/>
                <w:sz w:val="20"/>
                <w:szCs w:val="20"/>
                <w:lang w:val="en-US"/>
              </w:rPr>
            </w:pPr>
            <w:r>
              <w:rPr>
                <w:rFonts w:cs="Times New Roman"/>
                <w:sz w:val="20"/>
                <w:szCs w:val="20"/>
                <w:lang w:val="en-US"/>
              </w:rPr>
              <w:t>Post-sekundær</w:t>
            </w:r>
          </w:p>
        </w:tc>
        <w:tc>
          <w:tcPr>
            <w:tcW w:w="1201" w:type="dxa"/>
            <w:tcBorders/>
          </w:tcPr>
          <w:p>
            <w:pPr>
              <w:pStyle w:val="Normal"/>
              <w:widowControl w:val="false"/>
              <w:rPr>
                <w:rFonts w:cs="Times New Roman"/>
                <w:sz w:val="20"/>
                <w:szCs w:val="20"/>
                <w:lang w:val="en-US"/>
              </w:rPr>
            </w:pPr>
            <w:r>
              <w:rPr>
                <w:rFonts w:cs="Times New Roman"/>
                <w:sz w:val="20"/>
                <w:szCs w:val="20"/>
                <w:lang w:val="en-US"/>
              </w:rPr>
              <w:t>-.263***</w:t>
            </w:r>
          </w:p>
          <w:p>
            <w:pPr>
              <w:pStyle w:val="Normal"/>
              <w:widowControl w:val="false"/>
              <w:spacing w:before="0" w:after="160"/>
              <w:rPr>
                <w:rFonts w:cs="Times New Roman"/>
                <w:sz w:val="20"/>
                <w:szCs w:val="20"/>
                <w:lang w:val="en-US"/>
              </w:rPr>
            </w:pPr>
            <w:r>
              <w:rPr>
                <w:rFonts w:cs="Times New Roman"/>
                <w:sz w:val="20"/>
                <w:szCs w:val="20"/>
                <w:lang w:val="en-US"/>
              </w:rPr>
              <w:t>(.031)</w:t>
            </w:r>
          </w:p>
        </w:tc>
        <w:tc>
          <w:tcPr>
            <w:tcW w:w="5950" w:type="dxa"/>
            <w:tcBorders/>
          </w:tcPr>
          <w:p>
            <w:pPr>
              <w:pStyle w:val="Normal"/>
              <w:widowControl w:val="false"/>
              <w:spacing w:before="0" w:after="160"/>
              <w:rPr/>
            </w:pPr>
            <w:r>
              <w:rPr/>
            </w:r>
          </w:p>
        </w:tc>
      </w:tr>
      <w:tr>
        <w:trPr/>
        <w:tc>
          <w:tcPr>
            <w:tcW w:w="1707" w:type="dxa"/>
            <w:tcBorders/>
          </w:tcPr>
          <w:p>
            <w:pPr>
              <w:pStyle w:val="Normal"/>
              <w:widowControl w:val="false"/>
              <w:rPr>
                <w:rFonts w:cs="Times New Roman"/>
                <w:sz w:val="20"/>
                <w:szCs w:val="20"/>
                <w:lang w:val="en-US"/>
              </w:rPr>
            </w:pPr>
            <w:r>
              <w:rPr>
                <w:rFonts w:cs="Times New Roman"/>
                <w:sz w:val="20"/>
                <w:szCs w:val="20"/>
                <w:lang w:val="en-US"/>
              </w:rPr>
              <w:t>Constant</w:t>
            </w:r>
          </w:p>
          <w:p>
            <w:pPr>
              <w:pStyle w:val="Normal"/>
              <w:widowControl w:val="false"/>
              <w:rPr>
                <w:rFonts w:cs="Times New Roman"/>
                <w:sz w:val="20"/>
                <w:szCs w:val="20"/>
                <w:lang w:val="en-US"/>
              </w:rPr>
            </w:pPr>
            <w:r>
              <w:rPr>
                <w:rFonts w:cs="Times New Roman"/>
                <w:sz w:val="20"/>
                <w:szCs w:val="20"/>
                <w:lang w:val="en-US"/>
              </w:rPr>
            </w:r>
          </w:p>
          <w:p>
            <w:pPr>
              <w:pStyle w:val="Normal"/>
              <w:widowControl w:val="false"/>
              <w:rPr>
                <w:rFonts w:cs="Times New Roman"/>
                <w:sz w:val="20"/>
                <w:szCs w:val="20"/>
                <w:lang w:val="en-US"/>
              </w:rPr>
            </w:pPr>
            <w:r>
              <w:rPr>
                <w:rFonts w:cs="Times New Roman"/>
                <w:sz w:val="20"/>
                <w:szCs w:val="20"/>
                <w:lang w:val="en-US"/>
              </w:rPr>
              <w:t>N1</w:t>
            </w:r>
          </w:p>
          <w:p>
            <w:pPr>
              <w:pStyle w:val="Normal"/>
              <w:widowControl w:val="false"/>
              <w:spacing w:before="0" w:after="160"/>
              <w:rPr>
                <w:rFonts w:cs="Times New Roman"/>
                <w:sz w:val="20"/>
                <w:szCs w:val="20"/>
                <w:lang w:val="en-US"/>
              </w:rPr>
            </w:pPr>
            <w:r>
              <w:rPr>
                <w:rFonts w:cs="Times New Roman"/>
                <w:sz w:val="20"/>
                <w:szCs w:val="20"/>
                <w:lang w:val="en-US"/>
              </w:rPr>
              <w:t>N2</w:t>
            </w:r>
          </w:p>
        </w:tc>
        <w:tc>
          <w:tcPr>
            <w:tcW w:w="1201" w:type="dxa"/>
            <w:tcBorders/>
          </w:tcPr>
          <w:p>
            <w:pPr>
              <w:pStyle w:val="Normal"/>
              <w:widowControl w:val="false"/>
              <w:rPr>
                <w:rFonts w:cs="Times New Roman"/>
                <w:sz w:val="20"/>
                <w:szCs w:val="20"/>
                <w:lang w:val="en-US"/>
              </w:rPr>
            </w:pPr>
            <w:r>
              <w:rPr>
                <w:rFonts w:cs="Times New Roman"/>
                <w:sz w:val="20"/>
                <w:szCs w:val="20"/>
                <w:lang w:val="en-US"/>
              </w:rPr>
              <w:t>2.601***</w:t>
            </w:r>
          </w:p>
          <w:p>
            <w:pPr>
              <w:pStyle w:val="Normal"/>
              <w:widowControl w:val="false"/>
              <w:rPr>
                <w:rFonts w:cs="Times New Roman"/>
                <w:sz w:val="20"/>
                <w:szCs w:val="20"/>
                <w:lang w:val="en-US"/>
              </w:rPr>
            </w:pPr>
            <w:r>
              <w:rPr>
                <w:rFonts w:cs="Times New Roman"/>
                <w:sz w:val="20"/>
                <w:szCs w:val="20"/>
                <w:lang w:val="en-US"/>
              </w:rPr>
              <w:t>(.164)</w:t>
            </w:r>
          </w:p>
          <w:p>
            <w:pPr>
              <w:pStyle w:val="Normal"/>
              <w:widowControl w:val="false"/>
              <w:rPr>
                <w:rFonts w:cs="Times New Roman"/>
                <w:sz w:val="20"/>
                <w:szCs w:val="20"/>
                <w:lang w:val="en-US"/>
              </w:rPr>
            </w:pPr>
            <w:r>
              <w:rPr>
                <w:rFonts w:cs="Times New Roman"/>
                <w:sz w:val="20"/>
                <w:szCs w:val="20"/>
                <w:lang w:val="en-US"/>
              </w:rPr>
              <w:t>12,781</w:t>
            </w:r>
          </w:p>
          <w:p>
            <w:pPr>
              <w:pStyle w:val="Normal"/>
              <w:widowControl w:val="false"/>
              <w:spacing w:before="0" w:after="160"/>
              <w:rPr>
                <w:rFonts w:cs="Times New Roman"/>
                <w:sz w:val="20"/>
                <w:szCs w:val="20"/>
                <w:lang w:val="en-US"/>
              </w:rPr>
            </w:pPr>
            <w:r>
              <w:rPr>
                <w:rFonts w:cs="Times New Roman"/>
                <w:sz w:val="20"/>
                <w:szCs w:val="20"/>
                <w:lang w:val="en-US"/>
              </w:rPr>
              <w:t>16</w:t>
            </w:r>
          </w:p>
        </w:tc>
        <w:tc>
          <w:tcPr>
            <w:tcW w:w="5950" w:type="dxa"/>
            <w:tcBorders/>
          </w:tcPr>
          <w:p>
            <w:pPr>
              <w:pStyle w:val="Normal"/>
              <w:widowControl w:val="false"/>
              <w:spacing w:before="0" w:after="160"/>
              <w:rPr/>
            </w:pPr>
            <w:r>
              <w:rPr/>
            </w:r>
          </w:p>
        </w:tc>
      </w:tr>
      <w:tr>
        <w:trPr/>
        <w:tc>
          <w:tcPr>
            <w:tcW w:w="8858" w:type="dxa"/>
            <w:gridSpan w:val="3"/>
            <w:tcBorders>
              <w:bottom w:val="single" w:sz="4" w:space="0" w:color="000000"/>
            </w:tcBorders>
          </w:tcPr>
          <w:p>
            <w:pPr>
              <w:pStyle w:val="Normal"/>
              <w:widowControl w:val="false"/>
              <w:spacing w:before="0" w:after="160"/>
              <w:rPr>
                <w:rFonts w:cs="Times New Roman"/>
                <w:sz w:val="20"/>
                <w:szCs w:val="20"/>
                <w:lang w:val="en-US"/>
              </w:rPr>
            </w:pPr>
            <w:r>
              <w:rPr>
                <w:rFonts w:cs="Times New Roman"/>
                <w:sz w:val="20"/>
                <w:szCs w:val="20"/>
                <w:lang w:val="en-US"/>
              </w:rPr>
            </w:r>
          </w:p>
        </w:tc>
      </w:tr>
      <w:tr>
        <w:trPr/>
        <w:tc>
          <w:tcPr>
            <w:tcW w:w="8858" w:type="dxa"/>
            <w:gridSpan w:val="3"/>
            <w:tcBorders>
              <w:top w:val="single" w:sz="6" w:space="0" w:color="000000"/>
            </w:tcBorders>
          </w:tcPr>
          <w:p>
            <w:pPr>
              <w:pStyle w:val="Normal"/>
              <w:widowControl w:val="false"/>
              <w:spacing w:before="0" w:after="160"/>
              <w:rPr>
                <w:rFonts w:cs="Times New Roman"/>
                <w:sz w:val="20"/>
                <w:szCs w:val="20"/>
                <w:lang w:val="en-US"/>
              </w:rPr>
            </w:pPr>
            <w:r>
              <w:rPr>
                <w:rFonts w:cs="Times New Roman"/>
                <w:i/>
                <w:iCs/>
                <w:sz w:val="20"/>
                <w:szCs w:val="20"/>
                <w:lang w:val="en-US"/>
              </w:rPr>
              <w:t xml:space="preserve">*** p&lt;.01, ** p&lt;.05, * p&lt;.1 </w:t>
            </w:r>
            <w:r>
              <w:rPr>
                <w:rFonts w:cs="Times New Roman"/>
                <w:sz w:val="20"/>
                <w:szCs w:val="20"/>
                <w:lang w:val="en-US"/>
              </w:rPr>
              <w:t>| a: Nivå 2-variabel | b: Samspillsledd | c: Random slope-variabel | d: Ingen formell utdanning er referansekategori</w:t>
            </w:r>
          </w:p>
        </w:tc>
      </w:tr>
    </w:tbl>
    <w:p>
      <w:pPr>
        <w:pStyle w:val="Normal"/>
        <w:rPr>
          <w:rFonts w:cs="Times New Roman"/>
          <w:i/>
          <w:i/>
          <w:iCs/>
          <w:sz w:val="22"/>
        </w:rPr>
      </w:pPr>
      <w:r>
        <w:rPr>
          <w:rFonts w:cs="Times New Roman"/>
          <w:i/>
          <w:iCs/>
          <w:sz w:val="22"/>
        </w:rPr>
      </w:r>
    </w:p>
    <w:tbl>
      <w:tblPr>
        <w:tblW w:w="8858" w:type="dxa"/>
        <w:jc w:val="left"/>
        <w:tblInd w:w="0" w:type="dxa"/>
        <w:tblLayout w:type="fixed"/>
        <w:tblCellMar>
          <w:top w:w="0" w:type="dxa"/>
          <w:left w:w="108" w:type="dxa"/>
          <w:bottom w:w="0" w:type="dxa"/>
          <w:right w:w="108" w:type="dxa"/>
        </w:tblCellMar>
      </w:tblPr>
      <w:tblGrid>
        <w:gridCol w:w="8858"/>
      </w:tblGrid>
      <w:tr>
        <w:trPr/>
        <w:tc>
          <w:tcPr>
            <w:tcW w:w="8858" w:type="dxa"/>
            <w:tcBorders>
              <w:top w:val="single" w:sz="6" w:space="0" w:color="000000"/>
            </w:tcBorders>
          </w:tcPr>
          <w:p>
            <w:pPr>
              <w:pStyle w:val="Normal"/>
              <w:widowControl w:val="false"/>
              <w:spacing w:before="0" w:after="160"/>
              <w:rPr>
                <w:sz w:val="22"/>
                <w:lang w:val="en-US"/>
              </w:rPr>
            </w:pPr>
            <w:r>
              <w:rPr>
                <w:sz w:val="22"/>
                <w:lang w:val="en-US"/>
              </w:rPr>
              <w:t xml:space="preserve">Random-effects Parameters                 Estimate        Std. Err.           [95% Conf. Interval] ________________________________________________________________________                                                                                                       </w:t>
            </w:r>
          </w:p>
        </w:tc>
      </w:tr>
      <w:tr>
        <w:trPr/>
        <w:tc>
          <w:tcPr>
            <w:tcW w:w="8858" w:type="dxa"/>
            <w:tcBorders/>
          </w:tcPr>
          <w:p>
            <w:pPr>
              <w:pStyle w:val="Normal"/>
              <w:widowControl w:val="false"/>
              <w:rPr>
                <w:sz w:val="22"/>
                <w:lang w:val="en-US"/>
              </w:rPr>
            </w:pPr>
            <w:r>
              <w:rPr>
                <w:sz w:val="22"/>
                <w:lang w:val="en-US"/>
              </w:rPr>
              <w:t>COUNTRY: Uavhengig</w:t>
            </w:r>
          </w:p>
          <w:p>
            <w:pPr>
              <w:pStyle w:val="Normal"/>
              <w:widowControl w:val="false"/>
              <w:rPr>
                <w:lang w:val="en-US"/>
              </w:rPr>
            </w:pPr>
            <w:r>
              <w:rPr>
                <w:sz w:val="22"/>
                <w:lang w:val="en-US"/>
              </w:rPr>
              <w:t xml:space="preserve">                                </w:t>
            </w:r>
            <w:r>
              <w:rPr>
                <w:sz w:val="22"/>
                <w:lang w:val="en-US"/>
              </w:rPr>
              <w:t>var(undertrykt)</w:t>
            </w:r>
            <w:r>
              <w:rPr>
                <w:sz w:val="22"/>
                <w:vertAlign w:val="superscript"/>
                <w:lang w:val="en-US"/>
              </w:rPr>
              <w:t>a</w:t>
            </w:r>
            <w:r>
              <w:rPr>
                <w:sz w:val="22"/>
                <w:lang w:val="en-US"/>
              </w:rPr>
              <w:t xml:space="preserve">     .4180053      .1696473          .1886783   .9260653                        </w:t>
            </w:r>
          </w:p>
          <w:p>
            <w:pPr>
              <w:pStyle w:val="Normal"/>
              <w:widowControl w:val="false"/>
              <w:rPr>
                <w:sz w:val="22"/>
                <w:lang w:val="en-US"/>
              </w:rPr>
            </w:pPr>
            <w:r>
              <w:rPr>
                <w:sz w:val="22"/>
                <w:lang w:val="en-US"/>
              </w:rPr>
              <w:t xml:space="preserve">                                </w:t>
            </w:r>
            <w:r>
              <w:rPr>
                <w:sz w:val="22"/>
                <w:lang w:val="en-US"/>
              </w:rPr>
              <w:t>var(_cons)            .202553        .0746302          .0983819   .4170248 ________________________________________________________________________</w:t>
            </w:r>
          </w:p>
          <w:p>
            <w:pPr>
              <w:pStyle w:val="Normal"/>
              <w:widowControl w:val="false"/>
              <w:spacing w:before="0" w:after="160"/>
              <w:rPr>
                <w:sz w:val="22"/>
                <w:lang w:val="en-US"/>
              </w:rPr>
            </w:pPr>
            <w:r>
              <w:rPr>
                <w:sz w:val="22"/>
                <w:lang w:val="en-US"/>
              </w:rPr>
              <w:t xml:space="preserve">                                </w:t>
            </w:r>
            <w:r>
              <w:rPr>
                <w:sz w:val="22"/>
                <w:lang w:val="en-US"/>
              </w:rPr>
              <w:t>var(Residual)       .7988865       .0100046          .7795165   .8187378 ________________________________________________________________________                                                                                                                           a: Residual for undertrykt</w:t>
            </w:r>
          </w:p>
        </w:tc>
      </w:tr>
    </w:tbl>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nivå</m:t>
          </m:r>
          <m:r>
            <w:rPr>
              <w:rFonts w:ascii="Cambria Math" w:hAnsi="Cambria Math"/>
            </w:rPr>
            <m:t xml:space="preserve">1</m:t>
          </m:r>
          <m:r>
            <w:rPr>
              <w:rFonts w:ascii="Cambria Math" w:hAnsi="Cambria Math"/>
            </w:rPr>
            <m:t xml:space="preserve">=</m:t>
          </m:r>
          <m:f>
            <m:num>
              <m:r>
                <w:rPr>
                  <w:rFonts w:ascii="Cambria Math" w:hAnsi="Cambria Math"/>
                </w:rPr>
                <m:t xml:space="preserve">var</m:t>
              </m:r>
              <m:sSub>
                <m:e>
                  <m:d>
                    <m:dPr>
                      <m:begChr m:val="("/>
                      <m:endChr m:val=")"/>
                    </m:dPr>
                    <m:e>
                      <m:r>
                        <w:rPr>
                          <w:rFonts w:ascii="Cambria Math" w:hAnsi="Cambria Math"/>
                        </w:rPr>
                        <m:t xml:space="preserve">e</m:t>
                      </m:r>
                    </m:e>
                  </m:d>
                </m:e>
                <m:sub>
                  <m:r>
                    <w:rPr>
                      <w:rFonts w:ascii="Cambria Math" w:hAnsi="Cambria Math"/>
                    </w:rPr>
                    <m:t xml:space="preserve">b</m:t>
                  </m:r>
                </m:sub>
              </m:sSub>
              <m:r>
                <w:rPr>
                  <w:rFonts w:ascii="Cambria Math" w:hAnsi="Cambria Math"/>
                </w:rPr>
                <m:t xml:space="preserve">−</m:t>
              </m:r>
              <m:r>
                <w:rPr>
                  <w:rFonts w:ascii="Cambria Math" w:hAnsi="Cambria Math"/>
                </w:rPr>
                <m:t xml:space="preserve">var</m:t>
              </m:r>
              <m:sSub>
                <m:e>
                  <m:d>
                    <m:dPr>
                      <m:begChr m:val="("/>
                      <m:endChr m:val=")"/>
                    </m:dPr>
                    <m:e>
                      <m:r>
                        <w:rPr>
                          <w:rFonts w:ascii="Cambria Math" w:hAnsi="Cambria Math"/>
                        </w:rPr>
                        <m:t xml:space="preserve">e</m:t>
                      </m:r>
                    </m:e>
                  </m:d>
                </m:e>
                <m:sub>
                  <m:r>
                    <w:rPr>
                      <w:rFonts w:ascii="Cambria Math" w:hAnsi="Cambria Math"/>
                    </w:rPr>
                    <m:t xml:space="preserve">m</m:t>
                  </m:r>
                </m:sub>
              </m:sSub>
            </m:num>
            <m:den>
              <m:r>
                <w:rPr>
                  <w:rFonts w:ascii="Cambria Math" w:hAnsi="Cambria Math"/>
                </w:rPr>
                <m:t xml:space="preserve">var</m:t>
              </m:r>
              <m:sSub>
                <m:e>
                  <m:d>
                    <m:dPr>
                      <m:begChr m:val="("/>
                      <m:endChr m:val=")"/>
                    </m:dPr>
                    <m:e>
                      <m:r>
                        <w:rPr>
                          <w:rFonts w:ascii="Cambria Math" w:hAnsi="Cambria Math"/>
                        </w:rPr>
                        <m:t xml:space="preserve">e</m:t>
                      </m:r>
                    </m:e>
                  </m:d>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0,8769764</m:t>
              </m:r>
              <m:r>
                <w:rPr>
                  <w:rFonts w:ascii="Cambria Math" w:hAnsi="Cambria Math"/>
                </w:rPr>
                <m:t xml:space="preserve">−</m:t>
              </m:r>
              <m:r>
                <w:rPr>
                  <w:rFonts w:ascii="Cambria Math" w:hAnsi="Cambria Math"/>
                </w:rPr>
                <m:t xml:space="preserve">0,798865</m:t>
              </m:r>
            </m:num>
            <m:den>
              <m:r>
                <w:rPr>
                  <w:rFonts w:ascii="Cambria Math" w:hAnsi="Cambria Math"/>
                </w:rPr>
                <m:t xml:space="preserve">0,8769764</m:t>
              </m:r>
            </m:den>
          </m:f>
          <m:r>
            <w:rPr>
              <w:rFonts w:ascii="Cambria Math" w:hAnsi="Cambria Math"/>
            </w:rPr>
            <m:t xml:space="preserve">=</m:t>
          </m:r>
          <m:r>
            <w:rPr>
              <w:rFonts w:ascii="Cambria Math" w:hAnsi="Cambria Math"/>
            </w:rPr>
            <m:t xml:space="preserve">0,089</m:t>
          </m:r>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nivå</m:t>
          </m:r>
          <m:r>
            <w:rPr>
              <w:rFonts w:ascii="Cambria Math" w:hAnsi="Cambria Math"/>
            </w:rPr>
            <m:t xml:space="preserve">2</m:t>
          </m:r>
          <m:r>
            <w:rPr>
              <w:rFonts w:ascii="Cambria Math" w:hAnsi="Cambria Math"/>
            </w:rPr>
            <m:t xml:space="preserve">=</m:t>
          </m:r>
          <m:f>
            <m:num>
              <m:r>
                <w:rPr>
                  <w:rFonts w:ascii="Cambria Math" w:hAnsi="Cambria Math"/>
                </w:rPr>
                <m:t xml:space="preserve">var</m:t>
              </m:r>
              <m:sSub>
                <m:e>
                  <m:d>
                    <m:dPr>
                      <m:begChr m:val="("/>
                      <m:endChr m:val=")"/>
                    </m:dPr>
                    <m:e>
                      <m:sSub>
                        <m:e>
                          <m:r>
                            <w:rPr>
                              <w:rFonts w:ascii="Cambria Math" w:hAnsi="Cambria Math"/>
                            </w:rPr>
                            <m:t xml:space="preserve">u</m:t>
                          </m:r>
                        </m:e>
                        <m:sub>
                          <m:r>
                            <w:rPr>
                              <w:rFonts w:ascii="Cambria Math" w:hAnsi="Cambria Math"/>
                            </w:rPr>
                            <m:t xml:space="preserve">0</m:t>
                          </m:r>
                        </m:sub>
                      </m:sSub>
                    </m:e>
                  </m:d>
                </m:e>
                <m:sub>
                  <m:r>
                    <w:rPr>
                      <w:rFonts w:ascii="Cambria Math" w:hAnsi="Cambria Math"/>
                    </w:rPr>
                    <m:t xml:space="preserve">b</m:t>
                  </m:r>
                </m:sub>
              </m:sSub>
              <m:r>
                <w:rPr>
                  <w:rFonts w:ascii="Cambria Math" w:hAnsi="Cambria Math"/>
                </w:rPr>
                <m:t xml:space="preserve">−</m:t>
              </m:r>
              <m:r>
                <w:rPr>
                  <w:rFonts w:ascii="Cambria Math" w:hAnsi="Cambria Math"/>
                </w:rPr>
                <m:t xml:space="preserve">var</m:t>
              </m:r>
              <m:sSub>
                <m:e>
                  <m:d>
                    <m:dPr>
                      <m:begChr m:val="("/>
                      <m:endChr m:val=")"/>
                    </m:dPr>
                    <m:e>
                      <m:sSub>
                        <m:e>
                          <m:r>
                            <w:rPr>
                              <w:rFonts w:ascii="Cambria Math" w:hAnsi="Cambria Math"/>
                            </w:rPr>
                            <m:t xml:space="preserve">u</m:t>
                          </m:r>
                        </m:e>
                        <m:sub>
                          <m:r>
                            <w:rPr>
                              <w:rFonts w:ascii="Cambria Math" w:hAnsi="Cambria Math"/>
                            </w:rPr>
                            <m:t xml:space="preserve">0</m:t>
                          </m:r>
                        </m:sub>
                      </m:sSub>
                    </m:e>
                  </m:d>
                </m:e>
                <m:sub>
                  <m:r>
                    <w:rPr>
                      <w:rFonts w:ascii="Cambria Math" w:hAnsi="Cambria Math"/>
                    </w:rPr>
                    <m:t xml:space="preserve">m</m:t>
                  </m:r>
                </m:sub>
              </m:sSub>
            </m:num>
            <m:den>
              <m:r>
                <w:rPr>
                  <w:rFonts w:ascii="Cambria Math" w:hAnsi="Cambria Math"/>
                </w:rPr>
                <m:t xml:space="preserve">var</m:t>
              </m:r>
              <m:sSub>
                <m:e>
                  <m:d>
                    <m:dPr>
                      <m:begChr m:val="("/>
                      <m:endChr m:val=")"/>
                    </m:dPr>
                    <m:e>
                      <m:sSub>
                        <m:e>
                          <m:r>
                            <w:rPr>
                              <w:rFonts w:ascii="Cambria Math" w:hAnsi="Cambria Math"/>
                            </w:rPr>
                            <m:t xml:space="preserve">u</m:t>
                          </m:r>
                        </m:e>
                        <m:sub>
                          <m:r>
                            <w:rPr>
                              <w:rFonts w:ascii="Cambria Math" w:hAnsi="Cambria Math"/>
                            </w:rPr>
                            <m:t xml:space="preserve">0</m:t>
                          </m:r>
                        </m:sub>
                      </m:sSub>
                    </m:e>
                  </m:d>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0,1445278</m:t>
              </m:r>
              <m:r>
                <w:rPr>
                  <w:rFonts w:ascii="Cambria Math" w:hAnsi="Cambria Math"/>
                </w:rPr>
                <m:t xml:space="preserve">−</m:t>
              </m:r>
              <m:r>
                <w:rPr>
                  <w:rFonts w:ascii="Cambria Math" w:hAnsi="Cambria Math"/>
                </w:rPr>
                <m:t xml:space="preserve">0,202553</m:t>
              </m:r>
            </m:num>
            <m:den>
              <m:r>
                <w:rPr>
                  <w:rFonts w:ascii="Cambria Math" w:hAnsi="Cambria Math"/>
                </w:rPr>
                <m:t xml:space="preserve">0,1445278</m:t>
              </m:r>
            </m:den>
          </m:f>
          <m:r>
            <w:rPr>
              <w:rFonts w:ascii="Cambria Math" w:hAnsi="Cambria Math"/>
            </w:rPr>
            <m:t xml:space="preserve">=</m:t>
          </m:r>
          <m:r>
            <w:rPr>
              <w:rFonts w:ascii="Cambria Math" w:hAnsi="Cambria Math"/>
            </w:rPr>
            <m:t xml:space="preserve">−</m:t>
          </m:r>
          <m:r>
            <w:rPr>
              <w:rFonts w:ascii="Cambria Math" w:hAnsi="Cambria Math"/>
            </w:rPr>
            <m:t xml:space="preserve">0,401</m:t>
          </m:r>
        </m:oMath>
      </m:oMathPara>
    </w:p>
    <w:p>
      <w:pPr>
        <w:pStyle w:val="Normal"/>
        <w:spacing w:lineRule="auto" w:line="360"/>
        <w:rPr>
          <w:rFonts w:cs="Times New Roman"/>
          <w:szCs w:val="24"/>
        </w:rPr>
      </w:pPr>
      <w:r>
        <w:rPr>
          <w:rFonts w:cs="Times New Roman"/>
          <w:szCs w:val="24"/>
        </w:rPr>
      </w:r>
    </w:p>
    <w:p>
      <w:pPr>
        <w:pStyle w:val="Normal"/>
        <w:spacing w:lineRule="auto" w:line="240"/>
        <w:rPr>
          <w:rFonts w:cs="Times New Roman"/>
          <w:b/>
          <w:b/>
          <w:bCs/>
          <w:szCs w:val="24"/>
          <w:shd w:fill="FFFFFF" w:val="clear"/>
        </w:rPr>
      </w:pPr>
      <w:r>
        <w:rPr>
          <w:rFonts w:cs="Times New Roman"/>
          <w:b/>
          <w:bCs/>
          <w:szCs w:val="24"/>
          <w:shd w:fill="FFFFFF" w:val="clear"/>
        </w:rPr>
        <w:t>Appendiks ek1: Estimert koeffisient for undertrykte grupper</w:t>
      </w:r>
    </w:p>
    <w:p>
      <w:pPr>
        <w:pStyle w:val="Normal"/>
        <w:spacing w:lineRule="auto" w:line="240"/>
        <w:rPr/>
      </w:pPr>
      <w:r>
        <w:rPr/>
        <w:drawing>
          <wp:inline distT="0" distB="0" distL="0" distR="0">
            <wp:extent cx="4725035" cy="3800475"/>
            <wp:effectExtent l="0" t="0" r="0" b="0"/>
            <wp:docPr id="4" name="Bild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9" descr=""/>
                    <pic:cNvPicPr>
                      <a:picLocks noChangeAspect="1" noChangeArrowheads="1"/>
                    </pic:cNvPicPr>
                  </pic:nvPicPr>
                  <pic:blipFill>
                    <a:blip r:embed="rId16"/>
                    <a:stretch>
                      <a:fillRect/>
                    </a:stretch>
                  </pic:blipFill>
                  <pic:spPr bwMode="auto">
                    <a:xfrm>
                      <a:off x="0" y="0"/>
                      <a:ext cx="4725035" cy="3800475"/>
                    </a:xfrm>
                    <a:prstGeom prst="rect">
                      <a:avLst/>
                    </a:prstGeom>
                  </pic:spPr>
                </pic:pic>
              </a:graphicData>
            </a:graphic>
          </wp:inline>
        </w:drawing>
      </w:r>
    </w:p>
    <w:p>
      <w:pPr>
        <w:pStyle w:val="Normal"/>
        <w:spacing w:lineRule="auto" w:line="240"/>
        <w:rPr>
          <w:rFonts w:cs="Times New Roman"/>
          <w:sz w:val="22"/>
          <w:shd w:fill="FFFFFF" w:val="clear"/>
        </w:rPr>
      </w:pPr>
      <w:r>
        <w:rPr>
          <w:rFonts w:cs="Times New Roman"/>
          <w:sz w:val="22"/>
          <w:shd w:fill="FFFFFF" w:val="clear"/>
        </w:rPr>
        <w:t>*Land med politisk maktdeling</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tblW w:w="8858" w:type="dxa"/>
        <w:jc w:val="left"/>
        <w:tblInd w:w="0" w:type="dxa"/>
        <w:tblLayout w:type="fixed"/>
        <w:tblCellMar>
          <w:top w:w="0" w:type="dxa"/>
          <w:left w:w="108" w:type="dxa"/>
          <w:bottom w:w="0" w:type="dxa"/>
          <w:right w:w="108" w:type="dxa"/>
        </w:tblCellMar>
      </w:tblPr>
      <w:tblGrid>
        <w:gridCol w:w="8858"/>
      </w:tblGrid>
      <w:tr>
        <w:trPr/>
        <w:tc>
          <w:tcPr>
            <w:tcW w:w="8858" w:type="dxa"/>
            <w:tcBorders/>
          </w:tcPr>
          <w:p>
            <w:pPr>
              <w:pStyle w:val="Normal"/>
              <w:widowControl w:val="false"/>
              <w:rPr>
                <w:rFonts w:cs="Times New Roman"/>
                <w:b/>
                <w:b/>
                <w:bCs/>
                <w:sz w:val="22"/>
                <w:szCs w:val="20"/>
                <w:lang w:val="en-US"/>
              </w:rPr>
            </w:pPr>
            <w:r>
              <w:rPr>
                <w:rFonts w:cs="Times New Roman"/>
                <w:b/>
                <w:bCs/>
                <w:sz w:val="22"/>
                <w:szCs w:val="20"/>
                <w:lang w:val="en-US"/>
              </w:rPr>
              <w:t>Appendiks rs2: Random slope (kvinne)</w:t>
            </w:r>
          </w:p>
          <w:tbl>
            <w:tblPr>
              <w:tblW w:w="8858" w:type="dxa"/>
              <w:jc w:val="left"/>
              <w:tblInd w:w="0" w:type="dxa"/>
              <w:tblLayout w:type="fixed"/>
              <w:tblCellMar>
                <w:top w:w="0" w:type="dxa"/>
                <w:left w:w="108" w:type="dxa"/>
                <w:bottom w:w="0" w:type="dxa"/>
                <w:right w:w="108" w:type="dxa"/>
              </w:tblCellMar>
            </w:tblPr>
            <w:tblGrid>
              <w:gridCol w:w="1707"/>
              <w:gridCol w:w="1201"/>
              <w:gridCol w:w="5950"/>
            </w:tblGrid>
            <w:tr>
              <w:trPr/>
              <w:tc>
                <w:tcPr>
                  <w:tcW w:w="1707" w:type="dxa"/>
                  <w:tcBorders>
                    <w:top w:val="single" w:sz="4" w:space="0" w:color="000000"/>
                    <w:bottom w:val="single" w:sz="8" w:space="0" w:color="000000"/>
                  </w:tcBorders>
                </w:tcPr>
                <w:p>
                  <w:pPr>
                    <w:pStyle w:val="Normal"/>
                    <w:widowControl w:val="false"/>
                    <w:spacing w:before="0" w:after="160"/>
                    <w:rPr>
                      <w:rFonts w:cs="Times New Roman"/>
                      <w:sz w:val="20"/>
                      <w:szCs w:val="18"/>
                    </w:rPr>
                  </w:pPr>
                  <w:r>
                    <w:rPr>
                      <w:rFonts w:cs="Times New Roman"/>
                      <w:sz w:val="20"/>
                      <w:szCs w:val="18"/>
                    </w:rPr>
                    <w:t xml:space="preserve"> </w:t>
                  </w:r>
                  <w:r>
                    <w:rPr>
                      <w:rFonts w:cs="Times New Roman"/>
                      <w:sz w:val="20"/>
                      <w:szCs w:val="18"/>
                    </w:rPr>
                    <w:t>Variabler</w:t>
                  </w:r>
                </w:p>
              </w:tc>
              <w:tc>
                <w:tcPr>
                  <w:tcW w:w="1201" w:type="dxa"/>
                  <w:tcBorders>
                    <w:top w:val="single" w:sz="4" w:space="0" w:color="000000"/>
                    <w:bottom w:val="single" w:sz="8" w:space="0" w:color="000000"/>
                  </w:tcBorders>
                </w:tcPr>
                <w:p>
                  <w:pPr>
                    <w:pStyle w:val="Normal"/>
                    <w:widowControl w:val="false"/>
                    <w:spacing w:before="0" w:after="160"/>
                    <w:rPr>
                      <w:rFonts w:cs="Times New Roman"/>
                      <w:sz w:val="20"/>
                      <w:szCs w:val="18"/>
                    </w:rPr>
                  </w:pPr>
                  <w:r>
                    <w:rPr>
                      <w:rFonts w:cs="Times New Roman"/>
                      <w:sz w:val="20"/>
                      <w:szCs w:val="18"/>
                    </w:rPr>
                    <w:t xml:space="preserve"> </w:t>
                  </w:r>
                  <w:r>
                    <w:rPr>
                      <w:rFonts w:cs="Times New Roman"/>
                      <w:sz w:val="20"/>
                      <w:szCs w:val="18"/>
                    </w:rPr>
                    <w:t>politisktillit</w:t>
                  </w:r>
                </w:p>
              </w:tc>
              <w:tc>
                <w:tcPr>
                  <w:tcW w:w="5950" w:type="dxa"/>
                  <w:tcBorders/>
                </w:tcPr>
                <w:p>
                  <w:pPr>
                    <w:pStyle w:val="Normal"/>
                    <w:widowControl w:val="false"/>
                    <w:spacing w:before="0" w:after="160"/>
                    <w:rPr/>
                  </w:pPr>
                  <w:r>
                    <w:rPr/>
                  </w:r>
                </w:p>
              </w:tc>
            </w:tr>
            <w:tr>
              <w:trPr/>
              <w:tc>
                <w:tcPr>
                  <w:tcW w:w="1707" w:type="dxa"/>
                  <w:tcBorders/>
                </w:tcPr>
                <w:p>
                  <w:pPr>
                    <w:pStyle w:val="Normal"/>
                    <w:widowControl w:val="false"/>
                    <w:spacing w:before="0" w:after="160"/>
                    <w:rPr>
                      <w:rFonts w:cs="Times New Roman"/>
                      <w:sz w:val="20"/>
                      <w:szCs w:val="18"/>
                    </w:rPr>
                  </w:pPr>
                  <w:r>
                    <w:rPr>
                      <w:rFonts w:cs="Times New Roman"/>
                      <w:sz w:val="20"/>
                      <w:szCs w:val="18"/>
                    </w:rPr>
                    <w:t>polps</w:t>
                  </w:r>
                  <w:r>
                    <w:rPr>
                      <w:rFonts w:cs="Times New Roman"/>
                      <w:sz w:val="20"/>
                      <w:szCs w:val="18"/>
                      <w:vertAlign w:val="superscript"/>
                    </w:rPr>
                    <w:t>a</w:t>
                  </w:r>
                </w:p>
              </w:tc>
              <w:tc>
                <w:tcPr>
                  <w:tcW w:w="1201" w:type="dxa"/>
                  <w:tcBorders/>
                </w:tcPr>
                <w:p>
                  <w:pPr>
                    <w:pStyle w:val="Normal"/>
                    <w:widowControl w:val="false"/>
                    <w:rPr>
                      <w:rFonts w:cs="Times New Roman"/>
                      <w:sz w:val="20"/>
                      <w:szCs w:val="18"/>
                    </w:rPr>
                  </w:pPr>
                  <w:r>
                    <w:rPr>
                      <w:rFonts w:cs="Times New Roman"/>
                      <w:sz w:val="20"/>
                      <w:szCs w:val="18"/>
                    </w:rPr>
                    <w:t>.266</w:t>
                  </w:r>
                </w:p>
                <w:p>
                  <w:pPr>
                    <w:pStyle w:val="Normal"/>
                    <w:widowControl w:val="false"/>
                    <w:spacing w:before="0" w:after="160"/>
                    <w:rPr>
                      <w:rFonts w:cs="Times New Roman"/>
                      <w:sz w:val="20"/>
                      <w:szCs w:val="18"/>
                    </w:rPr>
                  </w:pPr>
                  <w:r>
                    <w:rPr>
                      <w:rFonts w:cs="Times New Roman"/>
                      <w:sz w:val="20"/>
                      <w:szCs w:val="18"/>
                    </w:rPr>
                    <w:t>(.173)</w:t>
                  </w:r>
                </w:p>
              </w:tc>
              <w:tc>
                <w:tcPr>
                  <w:tcW w:w="5950" w:type="dxa"/>
                  <w:tcBorders/>
                </w:tcPr>
                <w:p>
                  <w:pPr>
                    <w:pStyle w:val="Normal"/>
                    <w:widowControl w:val="false"/>
                    <w:spacing w:before="0" w:after="160"/>
                    <w:rPr/>
                  </w:pPr>
                  <w:r>
                    <w:rPr/>
                  </w:r>
                </w:p>
              </w:tc>
            </w:tr>
            <w:tr>
              <w:trPr/>
              <w:tc>
                <w:tcPr>
                  <w:tcW w:w="1707" w:type="dxa"/>
                  <w:tcBorders/>
                </w:tcPr>
                <w:p>
                  <w:pPr>
                    <w:pStyle w:val="Normal"/>
                    <w:widowControl w:val="false"/>
                    <w:spacing w:before="0" w:after="160"/>
                    <w:rPr>
                      <w:rFonts w:cs="Times New Roman"/>
                      <w:sz w:val="20"/>
                      <w:szCs w:val="18"/>
                    </w:rPr>
                  </w:pPr>
                  <w:r>
                    <w:rPr>
                      <w:rFonts w:cs="Times New Roman"/>
                      <w:sz w:val="20"/>
                      <w:szCs w:val="18"/>
                    </w:rPr>
                    <w:t>undertrykt</w:t>
                  </w:r>
                </w:p>
              </w:tc>
              <w:tc>
                <w:tcPr>
                  <w:tcW w:w="1201" w:type="dxa"/>
                  <w:tcBorders/>
                </w:tcPr>
                <w:p>
                  <w:pPr>
                    <w:pStyle w:val="Normal"/>
                    <w:widowControl w:val="false"/>
                    <w:rPr>
                      <w:rFonts w:cs="Times New Roman"/>
                      <w:sz w:val="20"/>
                      <w:szCs w:val="18"/>
                    </w:rPr>
                  </w:pPr>
                  <w:r>
                    <w:rPr>
                      <w:rFonts w:cs="Times New Roman"/>
                      <w:sz w:val="20"/>
                      <w:szCs w:val="18"/>
                    </w:rPr>
                    <w:t>.39***</w:t>
                  </w:r>
                </w:p>
                <w:p>
                  <w:pPr>
                    <w:pStyle w:val="Normal"/>
                    <w:widowControl w:val="false"/>
                    <w:spacing w:before="0" w:after="160"/>
                    <w:rPr>
                      <w:rFonts w:cs="Times New Roman"/>
                      <w:sz w:val="20"/>
                      <w:szCs w:val="18"/>
                    </w:rPr>
                  </w:pPr>
                  <w:r>
                    <w:rPr>
                      <w:rFonts w:cs="Times New Roman"/>
                      <w:sz w:val="20"/>
                      <w:szCs w:val="18"/>
                    </w:rPr>
                    <w:t>(.034)</w:t>
                  </w:r>
                </w:p>
              </w:tc>
              <w:tc>
                <w:tcPr>
                  <w:tcW w:w="5950" w:type="dxa"/>
                  <w:tcBorders/>
                </w:tcPr>
                <w:p>
                  <w:pPr>
                    <w:pStyle w:val="Normal"/>
                    <w:widowControl w:val="false"/>
                    <w:spacing w:before="0" w:after="160"/>
                    <w:rPr/>
                  </w:pPr>
                  <w:r>
                    <w:rPr/>
                  </w:r>
                </w:p>
              </w:tc>
            </w:tr>
            <w:tr>
              <w:trPr/>
              <w:tc>
                <w:tcPr>
                  <w:tcW w:w="1707" w:type="dxa"/>
                  <w:tcBorders/>
                </w:tcPr>
                <w:p>
                  <w:pPr>
                    <w:pStyle w:val="Normal"/>
                    <w:widowControl w:val="false"/>
                    <w:spacing w:before="0" w:after="160"/>
                    <w:rPr>
                      <w:rFonts w:cs="Times New Roman"/>
                      <w:sz w:val="20"/>
                      <w:szCs w:val="18"/>
                    </w:rPr>
                  </w:pPr>
                  <w:r>
                    <w:rPr>
                      <w:rFonts w:cs="Times New Roman"/>
                      <w:sz w:val="20"/>
                      <w:szCs w:val="18"/>
                    </w:rPr>
                    <w:t>polps#undertrykt</w:t>
                  </w:r>
                  <w:r>
                    <w:rPr>
                      <w:rFonts w:cs="Times New Roman"/>
                      <w:sz w:val="20"/>
                      <w:szCs w:val="18"/>
                      <w:vertAlign w:val="superscript"/>
                    </w:rPr>
                    <w:t>b</w:t>
                  </w:r>
                </w:p>
              </w:tc>
              <w:tc>
                <w:tcPr>
                  <w:tcW w:w="1201" w:type="dxa"/>
                  <w:tcBorders/>
                </w:tcPr>
                <w:p>
                  <w:pPr>
                    <w:pStyle w:val="Normal"/>
                    <w:widowControl w:val="false"/>
                    <w:rPr>
                      <w:rFonts w:cs="Times New Roman"/>
                      <w:sz w:val="20"/>
                      <w:szCs w:val="18"/>
                    </w:rPr>
                  </w:pPr>
                  <w:r>
                    <w:rPr>
                      <w:rFonts w:cs="Times New Roman"/>
                      <w:sz w:val="20"/>
                      <w:szCs w:val="18"/>
                    </w:rPr>
                    <w:t>-.717***</w:t>
                  </w:r>
                </w:p>
                <w:p>
                  <w:pPr>
                    <w:pStyle w:val="Normal"/>
                    <w:widowControl w:val="false"/>
                    <w:spacing w:before="0" w:after="160"/>
                    <w:rPr>
                      <w:rFonts w:cs="Times New Roman"/>
                      <w:sz w:val="20"/>
                      <w:szCs w:val="18"/>
                    </w:rPr>
                  </w:pPr>
                  <w:r>
                    <w:rPr>
                      <w:rFonts w:cs="Times New Roman"/>
                      <w:sz w:val="20"/>
                      <w:szCs w:val="18"/>
                    </w:rPr>
                    <w:t>(.042)</w:t>
                  </w:r>
                </w:p>
              </w:tc>
              <w:tc>
                <w:tcPr>
                  <w:tcW w:w="5950" w:type="dxa"/>
                  <w:tcBorders/>
                </w:tcPr>
                <w:p>
                  <w:pPr>
                    <w:pStyle w:val="Normal"/>
                    <w:widowControl w:val="false"/>
                    <w:spacing w:before="0" w:after="160"/>
                    <w:rPr/>
                  </w:pPr>
                  <w:r>
                    <w:rPr/>
                  </w:r>
                </w:p>
              </w:tc>
            </w:tr>
            <w:tr>
              <w:trPr/>
              <w:tc>
                <w:tcPr>
                  <w:tcW w:w="1707" w:type="dxa"/>
                  <w:tcBorders/>
                </w:tcPr>
                <w:p>
                  <w:pPr>
                    <w:pStyle w:val="Normal"/>
                    <w:widowControl w:val="false"/>
                    <w:spacing w:before="0" w:after="160"/>
                    <w:rPr>
                      <w:rFonts w:cs="Times New Roman"/>
                      <w:sz w:val="20"/>
                      <w:szCs w:val="18"/>
                    </w:rPr>
                  </w:pPr>
                  <w:r>
                    <w:rPr>
                      <w:rFonts w:cs="Times New Roman"/>
                      <w:sz w:val="20"/>
                      <w:szCs w:val="18"/>
                    </w:rPr>
                    <w:t>kvinne</w:t>
                  </w:r>
                  <w:r>
                    <w:rPr>
                      <w:rFonts w:cs="Times New Roman"/>
                      <w:sz w:val="20"/>
                      <w:szCs w:val="18"/>
                      <w:vertAlign w:val="superscript"/>
                    </w:rPr>
                    <w:t>c</w:t>
                  </w:r>
                </w:p>
              </w:tc>
              <w:tc>
                <w:tcPr>
                  <w:tcW w:w="1201" w:type="dxa"/>
                  <w:tcBorders/>
                </w:tcPr>
                <w:p>
                  <w:pPr>
                    <w:pStyle w:val="Normal"/>
                    <w:widowControl w:val="false"/>
                    <w:rPr>
                      <w:rFonts w:cs="Times New Roman"/>
                      <w:sz w:val="20"/>
                      <w:szCs w:val="18"/>
                    </w:rPr>
                  </w:pPr>
                  <w:r>
                    <w:rPr>
                      <w:rFonts w:cs="Times New Roman"/>
                      <w:sz w:val="20"/>
                      <w:szCs w:val="18"/>
                    </w:rPr>
                    <w:t>-.013</w:t>
                  </w:r>
                </w:p>
                <w:p>
                  <w:pPr>
                    <w:pStyle w:val="Normal"/>
                    <w:widowControl w:val="false"/>
                    <w:spacing w:before="0" w:after="160"/>
                    <w:rPr>
                      <w:rFonts w:cs="Times New Roman"/>
                      <w:sz w:val="20"/>
                      <w:szCs w:val="18"/>
                    </w:rPr>
                  </w:pPr>
                  <w:r>
                    <w:rPr>
                      <w:rFonts w:cs="Times New Roman"/>
                      <w:sz w:val="20"/>
                      <w:szCs w:val="18"/>
                    </w:rPr>
                    <w:t>(.037)</w:t>
                  </w:r>
                </w:p>
              </w:tc>
              <w:tc>
                <w:tcPr>
                  <w:tcW w:w="5950" w:type="dxa"/>
                  <w:tcBorders/>
                </w:tcPr>
                <w:p>
                  <w:pPr>
                    <w:pStyle w:val="Normal"/>
                    <w:widowControl w:val="false"/>
                    <w:spacing w:before="0" w:after="160"/>
                    <w:rPr/>
                  </w:pPr>
                  <w:r>
                    <w:rPr/>
                  </w:r>
                </w:p>
              </w:tc>
            </w:tr>
            <w:tr>
              <w:trPr/>
              <w:tc>
                <w:tcPr>
                  <w:tcW w:w="1707" w:type="dxa"/>
                  <w:tcBorders/>
                </w:tcPr>
                <w:p>
                  <w:pPr>
                    <w:pStyle w:val="Normal"/>
                    <w:widowControl w:val="false"/>
                    <w:spacing w:before="0" w:after="160"/>
                    <w:rPr>
                      <w:rFonts w:cs="Times New Roman"/>
                      <w:sz w:val="20"/>
                      <w:szCs w:val="18"/>
                    </w:rPr>
                  </w:pPr>
                  <w:r>
                    <w:rPr>
                      <w:rFonts w:cs="Times New Roman"/>
                      <w:sz w:val="20"/>
                      <w:szCs w:val="18"/>
                    </w:rPr>
                    <w:t>alder</w:t>
                  </w:r>
                </w:p>
              </w:tc>
              <w:tc>
                <w:tcPr>
                  <w:tcW w:w="1201" w:type="dxa"/>
                  <w:tcBorders/>
                </w:tcPr>
                <w:p>
                  <w:pPr>
                    <w:pStyle w:val="Normal"/>
                    <w:widowControl w:val="false"/>
                    <w:rPr>
                      <w:rFonts w:cs="Times New Roman"/>
                      <w:sz w:val="20"/>
                      <w:szCs w:val="18"/>
                    </w:rPr>
                  </w:pPr>
                  <w:r>
                    <w:rPr>
                      <w:rFonts w:cs="Times New Roman"/>
                      <w:sz w:val="20"/>
                      <w:szCs w:val="18"/>
                    </w:rPr>
                    <w:t>.002***</w:t>
                  </w:r>
                </w:p>
                <w:p>
                  <w:pPr>
                    <w:pStyle w:val="Normal"/>
                    <w:widowControl w:val="false"/>
                    <w:spacing w:before="0" w:after="160"/>
                    <w:rPr>
                      <w:rFonts w:cs="Times New Roman"/>
                      <w:sz w:val="20"/>
                      <w:szCs w:val="18"/>
                    </w:rPr>
                  </w:pPr>
                  <w:r>
                    <w:rPr>
                      <w:rFonts w:cs="Times New Roman"/>
                      <w:sz w:val="20"/>
                      <w:szCs w:val="18"/>
                    </w:rPr>
                    <w:t>(.001)</w:t>
                  </w:r>
                </w:p>
              </w:tc>
              <w:tc>
                <w:tcPr>
                  <w:tcW w:w="5950" w:type="dxa"/>
                  <w:tcBorders/>
                </w:tcPr>
                <w:p>
                  <w:pPr>
                    <w:pStyle w:val="Normal"/>
                    <w:widowControl w:val="false"/>
                    <w:spacing w:before="0" w:after="160"/>
                    <w:rPr/>
                  </w:pPr>
                  <w:r>
                    <w:rPr/>
                  </w:r>
                </w:p>
              </w:tc>
            </w:tr>
            <w:tr>
              <w:trPr/>
              <w:tc>
                <w:tcPr>
                  <w:tcW w:w="1707" w:type="dxa"/>
                  <w:tcBorders/>
                </w:tcPr>
                <w:p>
                  <w:pPr>
                    <w:pStyle w:val="Normal"/>
                    <w:widowControl w:val="false"/>
                    <w:rPr>
                      <w:rFonts w:cs="Times New Roman"/>
                      <w:sz w:val="20"/>
                      <w:szCs w:val="18"/>
                    </w:rPr>
                  </w:pPr>
                  <w:r>
                    <w:rPr>
                      <w:rFonts w:cs="Times New Roman"/>
                      <w:sz w:val="20"/>
                      <w:szCs w:val="18"/>
                    </w:rPr>
                    <w:t>uteninntekt</w:t>
                  </w:r>
                </w:p>
                <w:p>
                  <w:pPr>
                    <w:pStyle w:val="Normal"/>
                    <w:widowControl w:val="false"/>
                    <w:rPr>
                      <w:rFonts w:cs="Times New Roman"/>
                      <w:b/>
                      <w:b/>
                      <w:bCs/>
                      <w:sz w:val="20"/>
                      <w:szCs w:val="18"/>
                    </w:rPr>
                  </w:pPr>
                  <w:r>
                    <w:rPr>
                      <w:rFonts w:cs="Times New Roman"/>
                      <w:b/>
                      <w:bCs/>
                      <w:sz w:val="20"/>
                      <w:szCs w:val="18"/>
                    </w:rPr>
                  </w:r>
                </w:p>
                <w:p>
                  <w:pPr>
                    <w:pStyle w:val="Normal"/>
                    <w:widowControl w:val="false"/>
                    <w:spacing w:before="0" w:after="160"/>
                    <w:rPr>
                      <w:rFonts w:cs="Times New Roman"/>
                      <w:b/>
                      <w:b/>
                      <w:bCs/>
                      <w:sz w:val="20"/>
                      <w:szCs w:val="18"/>
                    </w:rPr>
                  </w:pPr>
                  <w:r>
                    <w:rPr>
                      <w:rFonts w:cs="Times New Roman"/>
                      <w:b/>
                      <w:bCs/>
                      <w:sz w:val="20"/>
                      <w:szCs w:val="18"/>
                    </w:rPr>
                    <w:t>Utdanning</w:t>
                  </w:r>
                  <w:r>
                    <w:rPr>
                      <w:rFonts w:cs="Times New Roman"/>
                      <w:b/>
                      <w:bCs/>
                      <w:sz w:val="20"/>
                      <w:szCs w:val="18"/>
                      <w:vertAlign w:val="superscript"/>
                    </w:rPr>
                    <w:t>d</w:t>
                  </w:r>
                </w:p>
              </w:tc>
              <w:tc>
                <w:tcPr>
                  <w:tcW w:w="1201" w:type="dxa"/>
                  <w:tcBorders/>
                </w:tcPr>
                <w:p>
                  <w:pPr>
                    <w:pStyle w:val="Normal"/>
                    <w:widowControl w:val="false"/>
                    <w:rPr>
                      <w:rFonts w:cs="Times New Roman"/>
                      <w:sz w:val="20"/>
                      <w:szCs w:val="18"/>
                    </w:rPr>
                  </w:pPr>
                  <w:r>
                    <w:rPr>
                      <w:rFonts w:cs="Times New Roman"/>
                      <w:sz w:val="20"/>
                      <w:szCs w:val="18"/>
                    </w:rPr>
                    <w:t>-.162***</w:t>
                  </w:r>
                </w:p>
                <w:p>
                  <w:pPr>
                    <w:pStyle w:val="Normal"/>
                    <w:widowControl w:val="false"/>
                    <w:spacing w:before="0" w:after="160"/>
                    <w:rPr>
                      <w:rFonts w:cs="Times New Roman"/>
                      <w:sz w:val="20"/>
                      <w:szCs w:val="18"/>
                    </w:rPr>
                  </w:pPr>
                  <w:r>
                    <w:rPr>
                      <w:rFonts w:cs="Times New Roman"/>
                      <w:sz w:val="20"/>
                      <w:szCs w:val="18"/>
                    </w:rPr>
                    <w:t>(.019)</w:t>
                  </w:r>
                </w:p>
              </w:tc>
              <w:tc>
                <w:tcPr>
                  <w:tcW w:w="5950" w:type="dxa"/>
                  <w:tcBorders/>
                </w:tcPr>
                <w:p>
                  <w:pPr>
                    <w:pStyle w:val="Normal"/>
                    <w:widowControl w:val="false"/>
                    <w:spacing w:before="0" w:after="160"/>
                    <w:rPr/>
                  </w:pPr>
                  <w:r>
                    <w:rPr/>
                  </w:r>
                </w:p>
              </w:tc>
            </w:tr>
            <w:tr>
              <w:trPr/>
              <w:tc>
                <w:tcPr>
                  <w:tcW w:w="1707" w:type="dxa"/>
                  <w:tcBorders/>
                </w:tcPr>
                <w:p>
                  <w:pPr>
                    <w:pStyle w:val="Normal"/>
                    <w:widowControl w:val="false"/>
                    <w:spacing w:before="0" w:after="160"/>
                    <w:rPr>
                      <w:rFonts w:cs="Times New Roman"/>
                      <w:sz w:val="20"/>
                      <w:szCs w:val="18"/>
                    </w:rPr>
                  </w:pPr>
                  <w:r>
                    <w:rPr>
                      <w:rFonts w:cs="Times New Roman"/>
                      <w:sz w:val="20"/>
                      <w:szCs w:val="18"/>
                    </w:rPr>
                    <w:t>Primær</w:t>
                  </w:r>
                </w:p>
              </w:tc>
              <w:tc>
                <w:tcPr>
                  <w:tcW w:w="1201" w:type="dxa"/>
                  <w:tcBorders/>
                </w:tcPr>
                <w:p>
                  <w:pPr>
                    <w:pStyle w:val="Normal"/>
                    <w:widowControl w:val="false"/>
                    <w:rPr>
                      <w:rFonts w:cs="Times New Roman"/>
                      <w:sz w:val="20"/>
                      <w:szCs w:val="18"/>
                    </w:rPr>
                  </w:pPr>
                  <w:r>
                    <w:rPr>
                      <w:rFonts w:cs="Times New Roman"/>
                      <w:sz w:val="20"/>
                      <w:szCs w:val="18"/>
                    </w:rPr>
                    <w:t>-.044</w:t>
                  </w:r>
                </w:p>
                <w:p>
                  <w:pPr>
                    <w:pStyle w:val="Normal"/>
                    <w:widowControl w:val="false"/>
                    <w:spacing w:before="0" w:after="160"/>
                    <w:rPr>
                      <w:rFonts w:cs="Times New Roman"/>
                      <w:sz w:val="20"/>
                      <w:szCs w:val="18"/>
                    </w:rPr>
                  </w:pPr>
                  <w:r>
                    <w:rPr>
                      <w:rFonts w:cs="Times New Roman"/>
                      <w:sz w:val="20"/>
                      <w:szCs w:val="18"/>
                    </w:rPr>
                    <w:t>(.027)</w:t>
                  </w:r>
                </w:p>
              </w:tc>
              <w:tc>
                <w:tcPr>
                  <w:tcW w:w="5950" w:type="dxa"/>
                  <w:tcBorders/>
                </w:tcPr>
                <w:p>
                  <w:pPr>
                    <w:pStyle w:val="Normal"/>
                    <w:widowControl w:val="false"/>
                    <w:spacing w:before="0" w:after="160"/>
                    <w:rPr/>
                  </w:pPr>
                  <w:r>
                    <w:rPr/>
                  </w:r>
                </w:p>
              </w:tc>
            </w:tr>
            <w:tr>
              <w:trPr/>
              <w:tc>
                <w:tcPr>
                  <w:tcW w:w="1707" w:type="dxa"/>
                  <w:tcBorders/>
                </w:tcPr>
                <w:p>
                  <w:pPr>
                    <w:pStyle w:val="Normal"/>
                    <w:widowControl w:val="false"/>
                    <w:spacing w:before="0" w:after="160"/>
                    <w:rPr>
                      <w:rFonts w:cs="Times New Roman"/>
                      <w:sz w:val="20"/>
                      <w:szCs w:val="18"/>
                    </w:rPr>
                  </w:pPr>
                  <w:r>
                    <w:rPr>
                      <w:rFonts w:cs="Times New Roman"/>
                      <w:sz w:val="20"/>
                      <w:szCs w:val="18"/>
                    </w:rPr>
                    <w:t>Sekundær</w:t>
                  </w:r>
                </w:p>
              </w:tc>
              <w:tc>
                <w:tcPr>
                  <w:tcW w:w="1201" w:type="dxa"/>
                  <w:tcBorders/>
                </w:tcPr>
                <w:p>
                  <w:pPr>
                    <w:pStyle w:val="Normal"/>
                    <w:widowControl w:val="false"/>
                    <w:rPr>
                      <w:rFonts w:cs="Times New Roman"/>
                      <w:sz w:val="20"/>
                      <w:szCs w:val="18"/>
                    </w:rPr>
                  </w:pPr>
                  <w:r>
                    <w:rPr>
                      <w:rFonts w:cs="Times New Roman"/>
                      <w:sz w:val="20"/>
                      <w:szCs w:val="18"/>
                    </w:rPr>
                    <w:t>-.162***</w:t>
                  </w:r>
                </w:p>
                <w:p>
                  <w:pPr>
                    <w:pStyle w:val="Normal"/>
                    <w:widowControl w:val="false"/>
                    <w:spacing w:before="0" w:after="160"/>
                    <w:rPr>
                      <w:rFonts w:cs="Times New Roman"/>
                      <w:sz w:val="20"/>
                      <w:szCs w:val="18"/>
                    </w:rPr>
                  </w:pPr>
                  <w:r>
                    <w:rPr>
                      <w:rFonts w:cs="Times New Roman"/>
                      <w:sz w:val="20"/>
                      <w:szCs w:val="18"/>
                    </w:rPr>
                    <w:t>(.027)</w:t>
                  </w:r>
                </w:p>
              </w:tc>
              <w:tc>
                <w:tcPr>
                  <w:tcW w:w="5950" w:type="dxa"/>
                  <w:tcBorders/>
                </w:tcPr>
                <w:p>
                  <w:pPr>
                    <w:pStyle w:val="Normal"/>
                    <w:widowControl w:val="false"/>
                    <w:spacing w:before="0" w:after="160"/>
                    <w:rPr/>
                  </w:pPr>
                  <w:r>
                    <w:rPr/>
                  </w:r>
                </w:p>
              </w:tc>
            </w:tr>
            <w:tr>
              <w:trPr/>
              <w:tc>
                <w:tcPr>
                  <w:tcW w:w="1707" w:type="dxa"/>
                  <w:tcBorders/>
                </w:tcPr>
                <w:p>
                  <w:pPr>
                    <w:pStyle w:val="Normal"/>
                    <w:widowControl w:val="false"/>
                    <w:spacing w:before="0" w:after="160"/>
                    <w:rPr>
                      <w:rFonts w:cs="Times New Roman"/>
                      <w:sz w:val="20"/>
                      <w:szCs w:val="18"/>
                    </w:rPr>
                  </w:pPr>
                  <w:r>
                    <w:rPr>
                      <w:rFonts w:cs="Times New Roman"/>
                      <w:sz w:val="20"/>
                      <w:szCs w:val="18"/>
                    </w:rPr>
                    <w:t>Post-sekundær</w:t>
                  </w:r>
                </w:p>
              </w:tc>
              <w:tc>
                <w:tcPr>
                  <w:tcW w:w="1201" w:type="dxa"/>
                  <w:tcBorders/>
                </w:tcPr>
                <w:p>
                  <w:pPr>
                    <w:pStyle w:val="Normal"/>
                    <w:widowControl w:val="false"/>
                    <w:rPr>
                      <w:rFonts w:cs="Times New Roman"/>
                      <w:sz w:val="20"/>
                      <w:szCs w:val="18"/>
                    </w:rPr>
                  </w:pPr>
                  <w:r>
                    <w:rPr>
                      <w:rFonts w:cs="Times New Roman"/>
                      <w:sz w:val="20"/>
                      <w:szCs w:val="18"/>
                    </w:rPr>
                    <w:t>-.275***</w:t>
                  </w:r>
                </w:p>
                <w:p>
                  <w:pPr>
                    <w:pStyle w:val="Normal"/>
                    <w:widowControl w:val="false"/>
                    <w:spacing w:before="0" w:after="160"/>
                    <w:rPr>
                      <w:rFonts w:cs="Times New Roman"/>
                      <w:sz w:val="20"/>
                      <w:szCs w:val="18"/>
                    </w:rPr>
                  </w:pPr>
                  <w:r>
                    <w:rPr>
                      <w:rFonts w:cs="Times New Roman"/>
                      <w:sz w:val="20"/>
                      <w:szCs w:val="18"/>
                    </w:rPr>
                    <w:t>(.031)</w:t>
                  </w:r>
                </w:p>
              </w:tc>
              <w:tc>
                <w:tcPr>
                  <w:tcW w:w="5950" w:type="dxa"/>
                  <w:tcBorders/>
                </w:tcPr>
                <w:p>
                  <w:pPr>
                    <w:pStyle w:val="Normal"/>
                    <w:widowControl w:val="false"/>
                    <w:spacing w:before="0" w:after="160"/>
                    <w:rPr/>
                  </w:pPr>
                  <w:r>
                    <w:rPr/>
                  </w:r>
                </w:p>
              </w:tc>
            </w:tr>
            <w:tr>
              <w:trPr/>
              <w:tc>
                <w:tcPr>
                  <w:tcW w:w="1707" w:type="dxa"/>
                  <w:tcBorders/>
                </w:tcPr>
                <w:p>
                  <w:pPr>
                    <w:pStyle w:val="Normal"/>
                    <w:widowControl w:val="false"/>
                    <w:rPr>
                      <w:rFonts w:cs="Times New Roman"/>
                      <w:sz w:val="20"/>
                      <w:szCs w:val="18"/>
                    </w:rPr>
                  </w:pPr>
                  <w:r>
                    <w:rPr>
                      <w:rFonts w:cs="Times New Roman"/>
                      <w:sz w:val="20"/>
                      <w:szCs w:val="18"/>
                    </w:rPr>
                    <w:t>Constant</w:t>
                  </w:r>
                </w:p>
                <w:p>
                  <w:pPr>
                    <w:pStyle w:val="Normal"/>
                    <w:widowControl w:val="false"/>
                    <w:rPr>
                      <w:rFonts w:cs="Times New Roman"/>
                      <w:sz w:val="20"/>
                      <w:szCs w:val="18"/>
                    </w:rPr>
                  </w:pPr>
                  <w:r>
                    <w:rPr>
                      <w:rFonts w:cs="Times New Roman"/>
                      <w:sz w:val="20"/>
                      <w:szCs w:val="18"/>
                    </w:rPr>
                  </w:r>
                </w:p>
                <w:p>
                  <w:pPr>
                    <w:pStyle w:val="Normal"/>
                    <w:widowControl w:val="false"/>
                    <w:rPr>
                      <w:rFonts w:cs="Times New Roman"/>
                      <w:sz w:val="20"/>
                      <w:szCs w:val="18"/>
                    </w:rPr>
                  </w:pPr>
                  <w:r>
                    <w:rPr>
                      <w:rFonts w:cs="Times New Roman"/>
                      <w:sz w:val="20"/>
                      <w:szCs w:val="18"/>
                    </w:rPr>
                    <w:t>N1</w:t>
                  </w:r>
                </w:p>
                <w:p>
                  <w:pPr>
                    <w:pStyle w:val="Normal"/>
                    <w:widowControl w:val="false"/>
                    <w:spacing w:before="0" w:after="160"/>
                    <w:rPr>
                      <w:rFonts w:cs="Times New Roman"/>
                      <w:sz w:val="20"/>
                      <w:szCs w:val="18"/>
                    </w:rPr>
                  </w:pPr>
                  <w:r>
                    <w:rPr>
                      <w:rFonts w:cs="Times New Roman"/>
                      <w:sz w:val="20"/>
                      <w:szCs w:val="18"/>
                    </w:rPr>
                    <w:t>N2</w:t>
                  </w:r>
                </w:p>
              </w:tc>
              <w:tc>
                <w:tcPr>
                  <w:tcW w:w="1201" w:type="dxa"/>
                  <w:tcBorders/>
                </w:tcPr>
                <w:p>
                  <w:pPr>
                    <w:pStyle w:val="Normal"/>
                    <w:widowControl w:val="false"/>
                    <w:rPr>
                      <w:rFonts w:cs="Times New Roman"/>
                      <w:sz w:val="20"/>
                      <w:szCs w:val="18"/>
                    </w:rPr>
                  </w:pPr>
                  <w:r>
                    <w:rPr>
                      <w:rFonts w:cs="Times New Roman"/>
                      <w:sz w:val="20"/>
                      <w:szCs w:val="18"/>
                    </w:rPr>
                    <w:t>2.632***</w:t>
                  </w:r>
                </w:p>
                <w:p>
                  <w:pPr>
                    <w:pStyle w:val="Normal"/>
                    <w:widowControl w:val="false"/>
                    <w:rPr>
                      <w:rFonts w:cs="Times New Roman"/>
                      <w:sz w:val="20"/>
                      <w:szCs w:val="18"/>
                    </w:rPr>
                  </w:pPr>
                  <w:r>
                    <w:rPr>
                      <w:rFonts w:cs="Times New Roman"/>
                      <w:sz w:val="20"/>
                      <w:szCs w:val="18"/>
                    </w:rPr>
                    <w:t>(.127)</w:t>
                  </w:r>
                </w:p>
                <w:p>
                  <w:pPr>
                    <w:pStyle w:val="Normal"/>
                    <w:widowControl w:val="false"/>
                    <w:rPr>
                      <w:rFonts w:cs="Times New Roman"/>
                      <w:sz w:val="20"/>
                      <w:szCs w:val="18"/>
                    </w:rPr>
                  </w:pPr>
                  <w:r>
                    <w:rPr>
                      <w:rFonts w:cs="Times New Roman"/>
                      <w:sz w:val="20"/>
                      <w:szCs w:val="18"/>
                    </w:rPr>
                    <w:t>12,781</w:t>
                  </w:r>
                </w:p>
                <w:p>
                  <w:pPr>
                    <w:pStyle w:val="Normal"/>
                    <w:widowControl w:val="false"/>
                    <w:spacing w:before="0" w:after="160"/>
                    <w:rPr>
                      <w:rFonts w:cs="Times New Roman"/>
                      <w:sz w:val="20"/>
                      <w:szCs w:val="18"/>
                    </w:rPr>
                  </w:pPr>
                  <w:r>
                    <w:rPr>
                      <w:rFonts w:cs="Times New Roman"/>
                      <w:sz w:val="20"/>
                      <w:szCs w:val="18"/>
                    </w:rPr>
                    <w:t>16</w:t>
                  </w:r>
                </w:p>
              </w:tc>
              <w:tc>
                <w:tcPr>
                  <w:tcW w:w="5950" w:type="dxa"/>
                  <w:tcBorders/>
                </w:tcPr>
                <w:p>
                  <w:pPr>
                    <w:pStyle w:val="Normal"/>
                    <w:widowControl w:val="false"/>
                    <w:spacing w:before="0" w:after="160"/>
                    <w:rPr/>
                  </w:pPr>
                  <w:r>
                    <w:rPr/>
                  </w:r>
                </w:p>
              </w:tc>
            </w:tr>
            <w:tr>
              <w:trPr/>
              <w:tc>
                <w:tcPr>
                  <w:tcW w:w="8858" w:type="dxa"/>
                  <w:gridSpan w:val="3"/>
                  <w:tcBorders>
                    <w:top w:val="single" w:sz="6" w:space="0" w:color="000000"/>
                  </w:tcBorders>
                </w:tcPr>
                <w:p>
                  <w:pPr>
                    <w:pStyle w:val="Normal"/>
                    <w:widowControl w:val="false"/>
                    <w:rPr>
                      <w:rFonts w:cs="Times New Roman"/>
                      <w:szCs w:val="20"/>
                    </w:rPr>
                  </w:pPr>
                  <w:r>
                    <w:rPr>
                      <w:rFonts w:cs="Times New Roman"/>
                      <w:i/>
                      <w:iCs/>
                      <w:sz w:val="22"/>
                      <w:szCs w:val="20"/>
                    </w:rPr>
                    <w:t xml:space="preserve">*** p&lt;.01, ** p&lt;.05, * p&lt;.1 </w:t>
                  </w:r>
                  <w:r>
                    <w:rPr>
                      <w:rFonts w:cs="Times New Roman"/>
                      <w:sz w:val="22"/>
                      <w:szCs w:val="20"/>
                    </w:rPr>
                    <w:t>| a: Nivå 2-variabel | b: Samspillsledd | c:  Random slope-variabel | d: Ingen formell utdanning er referansekategori</w:t>
                  </w:r>
                </w:p>
                <w:p>
                  <w:pPr>
                    <w:pStyle w:val="Normal"/>
                    <w:widowControl w:val="false"/>
                    <w:spacing w:before="0" w:after="160"/>
                    <w:rPr>
                      <w:rFonts w:cs="Times New Roman"/>
                      <w:sz w:val="22"/>
                      <w:szCs w:val="20"/>
                    </w:rPr>
                  </w:pPr>
                  <w:r>
                    <w:rPr>
                      <w:rFonts w:cs="Times New Roman"/>
                      <w:sz w:val="22"/>
                      <w:szCs w:val="20"/>
                    </w:rPr>
                  </w:r>
                </w:p>
              </w:tc>
            </w:tr>
          </w:tbl>
          <w:p>
            <w:pPr>
              <w:pStyle w:val="Normal"/>
              <w:widowControl w:val="false"/>
              <w:spacing w:before="0" w:after="160"/>
              <w:rPr>
                <w:rFonts w:cs="Times New Roman"/>
                <w:sz w:val="22"/>
                <w:szCs w:val="20"/>
              </w:rPr>
            </w:pPr>
            <w:r>
              <w:rPr>
                <w:rFonts w:cs="Times New Roman"/>
                <w:sz w:val="22"/>
                <w:szCs w:val="20"/>
              </w:rPr>
            </w:r>
          </w:p>
        </w:tc>
      </w:tr>
    </w:tbl>
    <w:p>
      <w:pPr>
        <w:pStyle w:val="Normal"/>
        <w:rPr>
          <w:rFonts w:cs="Times New Roman"/>
          <w:i/>
          <w:i/>
          <w:iCs/>
          <w:sz w:val="22"/>
        </w:rPr>
      </w:pPr>
      <w:r>
        <w:rPr>
          <w:rFonts w:cs="Times New Roman"/>
          <w:i/>
          <w:iCs/>
          <w:sz w:val="22"/>
        </w:rPr>
      </w:r>
    </w:p>
    <w:tbl>
      <w:tblPr>
        <w:tblW w:w="8858" w:type="dxa"/>
        <w:jc w:val="left"/>
        <w:tblInd w:w="0" w:type="dxa"/>
        <w:tblLayout w:type="fixed"/>
        <w:tblCellMar>
          <w:top w:w="0" w:type="dxa"/>
          <w:left w:w="108" w:type="dxa"/>
          <w:bottom w:w="0" w:type="dxa"/>
          <w:right w:w="108" w:type="dxa"/>
        </w:tblCellMar>
      </w:tblPr>
      <w:tblGrid>
        <w:gridCol w:w="8858"/>
      </w:tblGrid>
      <w:tr>
        <w:trPr/>
        <w:tc>
          <w:tcPr>
            <w:tcW w:w="8858" w:type="dxa"/>
            <w:tcBorders>
              <w:top w:val="single" w:sz="6" w:space="0" w:color="000000"/>
            </w:tcBorders>
          </w:tcPr>
          <w:p>
            <w:pPr>
              <w:pStyle w:val="Normal"/>
              <w:widowControl w:val="false"/>
              <w:spacing w:before="0" w:after="160"/>
              <w:rPr>
                <w:sz w:val="22"/>
                <w:lang w:val="en-US"/>
              </w:rPr>
            </w:pPr>
            <w:r>
              <w:rPr>
                <w:sz w:val="22"/>
                <w:lang w:val="en-US"/>
              </w:rPr>
              <w:t xml:space="preserve">Random-effects Parameters                 Estimate        Std. Err.           [95% Conf. Interval] ________________________________________________________________________                                                                                                       </w:t>
            </w:r>
          </w:p>
        </w:tc>
      </w:tr>
      <w:tr>
        <w:trPr/>
        <w:tc>
          <w:tcPr>
            <w:tcW w:w="8858" w:type="dxa"/>
            <w:tcBorders/>
          </w:tcPr>
          <w:p>
            <w:pPr>
              <w:pStyle w:val="Normal"/>
              <w:widowControl w:val="false"/>
              <w:rPr>
                <w:sz w:val="22"/>
              </w:rPr>
            </w:pPr>
            <w:r>
              <w:rPr>
                <w:sz w:val="22"/>
              </w:rPr>
              <w:t>COUNTRY: Uavhengig</w:t>
            </w:r>
          </w:p>
          <w:p>
            <w:pPr>
              <w:pStyle w:val="Normal"/>
              <w:widowControl w:val="false"/>
              <w:rPr>
                <w:lang w:val="nn-NO"/>
              </w:rPr>
            </w:pPr>
            <w:r>
              <w:rPr>
                <w:sz w:val="22"/>
                <w:lang w:val="nn-NO"/>
              </w:rPr>
              <w:t xml:space="preserve">                                </w:t>
            </w:r>
            <w:r>
              <w:rPr>
                <w:sz w:val="22"/>
                <w:lang w:val="nn-NO"/>
              </w:rPr>
              <w:t>var(kvinne)</w:t>
            </w:r>
            <w:r>
              <w:rPr>
                <w:sz w:val="22"/>
                <w:vertAlign w:val="superscript"/>
                <w:lang w:val="nn-NO"/>
              </w:rPr>
              <w:t>a</w:t>
            </w:r>
            <w:r>
              <w:rPr>
                <w:sz w:val="22"/>
                <w:lang w:val="nn-NO"/>
              </w:rPr>
              <w:t xml:space="preserve">          .0163328       .0077533           .0064416    .0414126                        </w:t>
            </w:r>
          </w:p>
          <w:p>
            <w:pPr>
              <w:pStyle w:val="Normal"/>
              <w:widowControl w:val="false"/>
              <w:rPr>
                <w:sz w:val="22"/>
                <w:lang w:val="nn-NO"/>
              </w:rPr>
            </w:pPr>
            <w:r>
              <w:rPr>
                <w:sz w:val="22"/>
                <w:lang w:val="nn-NO"/>
              </w:rPr>
              <w:t xml:space="preserve">                                </w:t>
            </w:r>
            <w:r>
              <w:rPr>
                <w:sz w:val="22"/>
                <w:lang w:val="nn-NO"/>
              </w:rPr>
              <w:t>var(_cons)            .115655        .0421498           .0566173   .2362546 ________________________________________________________________________</w:t>
            </w:r>
          </w:p>
          <w:p>
            <w:pPr>
              <w:pStyle w:val="Normal"/>
              <w:widowControl w:val="false"/>
              <w:rPr>
                <w:lang w:val="nn-NO"/>
              </w:rPr>
            </w:pPr>
            <w:r>
              <w:rPr>
                <w:sz w:val="22"/>
                <w:lang w:val="nn-NO"/>
              </w:rPr>
              <w:t xml:space="preserve">                                </w:t>
            </w:r>
            <w:r>
              <w:rPr>
                <w:sz w:val="22"/>
                <w:lang w:val="nn-NO"/>
              </w:rPr>
              <w:t xml:space="preserve">var(Residual)       .8419474       .0105456           .82153      .8628722 ________________________________________________________________________                                                                                                                           </w:t>
            </w:r>
            <w:r>
              <w:rPr>
                <w:color w:val="2A2A2A"/>
                <w:szCs w:val="24"/>
                <w:shd w:fill="FFFFFF" w:val="clear"/>
                <w:lang w:val="nn-NO"/>
              </w:rPr>
              <w:t>a: Residual for kvinne</w:t>
            </w:r>
          </w:p>
          <w:p>
            <w:pPr>
              <w:pStyle w:val="Normal"/>
              <w:widowControl w:val="false"/>
              <w:spacing w:lineRule="auto" w:line="360"/>
              <w:jc w:val="center"/>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nivå</m:t>
                </m:r>
                <m:r>
                  <w:rPr>
                    <w:rFonts w:ascii="Cambria Math" w:hAnsi="Cambria Math"/>
                  </w:rPr>
                  <m:t xml:space="preserve">1</m:t>
                </m:r>
                <m:r>
                  <w:rPr>
                    <w:rFonts w:ascii="Cambria Math" w:hAnsi="Cambria Math"/>
                  </w:rPr>
                  <m:t xml:space="preserve">=</m:t>
                </m:r>
                <m:f>
                  <m:num>
                    <m:r>
                      <w:rPr>
                        <w:rFonts w:ascii="Cambria Math" w:hAnsi="Cambria Math"/>
                      </w:rPr>
                      <m:t xml:space="preserve">var</m:t>
                    </m:r>
                    <m:sSub>
                      <m:e>
                        <m:d>
                          <m:dPr>
                            <m:begChr m:val="("/>
                            <m:endChr m:val=")"/>
                          </m:dPr>
                          <m:e>
                            <m:r>
                              <w:rPr>
                                <w:rFonts w:ascii="Cambria Math" w:hAnsi="Cambria Math"/>
                              </w:rPr>
                              <m:t xml:space="preserve">e</m:t>
                            </m:r>
                          </m:e>
                        </m:d>
                      </m:e>
                      <m:sub>
                        <m:r>
                          <w:rPr>
                            <w:rFonts w:ascii="Cambria Math" w:hAnsi="Cambria Math"/>
                          </w:rPr>
                          <m:t xml:space="preserve">b</m:t>
                        </m:r>
                      </m:sub>
                    </m:sSub>
                    <m:r>
                      <w:rPr>
                        <w:rFonts w:ascii="Cambria Math" w:hAnsi="Cambria Math"/>
                      </w:rPr>
                      <m:t xml:space="preserve">−</m:t>
                    </m:r>
                    <m:r>
                      <w:rPr>
                        <w:rFonts w:ascii="Cambria Math" w:hAnsi="Cambria Math"/>
                      </w:rPr>
                      <m:t xml:space="preserve">var</m:t>
                    </m:r>
                    <m:sSub>
                      <m:e>
                        <m:d>
                          <m:dPr>
                            <m:begChr m:val="("/>
                            <m:endChr m:val=")"/>
                          </m:dPr>
                          <m:e>
                            <m:r>
                              <w:rPr>
                                <w:rFonts w:ascii="Cambria Math" w:hAnsi="Cambria Math"/>
                              </w:rPr>
                              <m:t xml:space="preserve">e</m:t>
                            </m:r>
                          </m:e>
                        </m:d>
                      </m:e>
                      <m:sub>
                        <m:r>
                          <w:rPr>
                            <w:rFonts w:ascii="Cambria Math" w:hAnsi="Cambria Math"/>
                          </w:rPr>
                          <m:t xml:space="preserve">m</m:t>
                        </m:r>
                      </m:sub>
                    </m:sSub>
                  </m:num>
                  <m:den>
                    <m:r>
                      <w:rPr>
                        <w:rFonts w:ascii="Cambria Math" w:hAnsi="Cambria Math"/>
                      </w:rPr>
                      <m:t xml:space="preserve">var</m:t>
                    </m:r>
                    <m:sSub>
                      <m:e>
                        <m:d>
                          <m:dPr>
                            <m:begChr m:val="("/>
                            <m:endChr m:val=")"/>
                          </m:dPr>
                          <m:e>
                            <m:r>
                              <w:rPr>
                                <w:rFonts w:ascii="Cambria Math" w:hAnsi="Cambria Math"/>
                              </w:rPr>
                              <m:t xml:space="preserve">e</m:t>
                            </m:r>
                          </m:e>
                        </m:d>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0,8769764</m:t>
                    </m:r>
                    <m:r>
                      <w:rPr>
                        <w:rFonts w:ascii="Cambria Math" w:hAnsi="Cambria Math"/>
                      </w:rPr>
                      <m:t xml:space="preserve">−</m:t>
                    </m:r>
                    <m:r>
                      <w:rPr>
                        <w:rFonts w:ascii="Cambria Math" w:hAnsi="Cambria Math"/>
                      </w:rPr>
                      <m:t xml:space="preserve">0,8419474</m:t>
                    </m:r>
                  </m:num>
                  <m:den>
                    <m:r>
                      <w:rPr>
                        <w:rFonts w:ascii="Cambria Math" w:hAnsi="Cambria Math"/>
                      </w:rPr>
                      <m:t xml:space="preserve">0,8769764</m:t>
                    </m:r>
                  </m:den>
                </m:f>
                <m:r>
                  <w:rPr>
                    <w:rFonts w:ascii="Cambria Math" w:hAnsi="Cambria Math"/>
                  </w:rPr>
                  <m:t xml:space="preserve">=</m:t>
                </m:r>
                <m:r>
                  <w:rPr>
                    <w:rFonts w:ascii="Cambria Math" w:hAnsi="Cambria Math"/>
                  </w:rPr>
                  <m:t xml:space="preserve">0,040</m:t>
                </m:r>
              </m:oMath>
            </m:oMathPara>
          </w:p>
          <w:p>
            <w:pPr>
              <w:pStyle w:val="Normal"/>
              <w:widowControl w:val="false"/>
              <w:spacing w:lineRule="auto" w:line="360"/>
              <w:jc w:val="center"/>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nivå</m:t>
                </m:r>
                <m:r>
                  <w:rPr>
                    <w:rFonts w:ascii="Cambria Math" w:hAnsi="Cambria Math"/>
                  </w:rPr>
                  <m:t xml:space="preserve">2</m:t>
                </m:r>
                <m:r>
                  <w:rPr>
                    <w:rFonts w:ascii="Cambria Math" w:hAnsi="Cambria Math"/>
                  </w:rPr>
                  <m:t xml:space="preserve">=</m:t>
                </m:r>
                <m:f>
                  <m:num>
                    <m:r>
                      <w:rPr>
                        <w:rFonts w:ascii="Cambria Math" w:hAnsi="Cambria Math"/>
                      </w:rPr>
                      <m:t xml:space="preserve">var</m:t>
                    </m:r>
                    <m:sSub>
                      <m:e>
                        <m:d>
                          <m:dPr>
                            <m:begChr m:val="("/>
                            <m:endChr m:val=")"/>
                          </m:dPr>
                          <m:e>
                            <m:sSub>
                              <m:e>
                                <m:r>
                                  <w:rPr>
                                    <w:rFonts w:ascii="Cambria Math" w:hAnsi="Cambria Math"/>
                                  </w:rPr>
                                  <m:t xml:space="preserve">u</m:t>
                                </m:r>
                              </m:e>
                              <m:sub>
                                <m:r>
                                  <w:rPr>
                                    <w:rFonts w:ascii="Cambria Math" w:hAnsi="Cambria Math"/>
                                  </w:rPr>
                                  <m:t xml:space="preserve">0</m:t>
                                </m:r>
                              </m:sub>
                            </m:sSub>
                          </m:e>
                        </m:d>
                      </m:e>
                      <m:sub>
                        <m:r>
                          <w:rPr>
                            <w:rFonts w:ascii="Cambria Math" w:hAnsi="Cambria Math"/>
                          </w:rPr>
                          <m:t xml:space="preserve">b</m:t>
                        </m:r>
                      </m:sub>
                    </m:sSub>
                    <m:r>
                      <w:rPr>
                        <w:rFonts w:ascii="Cambria Math" w:hAnsi="Cambria Math"/>
                      </w:rPr>
                      <m:t xml:space="preserve">−</m:t>
                    </m:r>
                    <m:r>
                      <w:rPr>
                        <w:rFonts w:ascii="Cambria Math" w:hAnsi="Cambria Math"/>
                      </w:rPr>
                      <m:t xml:space="preserve">var</m:t>
                    </m:r>
                    <m:sSub>
                      <m:e>
                        <m:d>
                          <m:dPr>
                            <m:begChr m:val="("/>
                            <m:endChr m:val=")"/>
                          </m:dPr>
                          <m:e>
                            <m:sSub>
                              <m:e>
                                <m:r>
                                  <w:rPr>
                                    <w:rFonts w:ascii="Cambria Math" w:hAnsi="Cambria Math"/>
                                  </w:rPr>
                                  <m:t xml:space="preserve">u</m:t>
                                </m:r>
                              </m:e>
                              <m:sub>
                                <m:r>
                                  <w:rPr>
                                    <w:rFonts w:ascii="Cambria Math" w:hAnsi="Cambria Math"/>
                                  </w:rPr>
                                  <m:t xml:space="preserve">0</m:t>
                                </m:r>
                              </m:sub>
                            </m:sSub>
                          </m:e>
                        </m:d>
                      </m:e>
                      <m:sub>
                        <m:r>
                          <w:rPr>
                            <w:rFonts w:ascii="Cambria Math" w:hAnsi="Cambria Math"/>
                          </w:rPr>
                          <m:t xml:space="preserve">m</m:t>
                        </m:r>
                      </m:sub>
                    </m:sSub>
                  </m:num>
                  <m:den>
                    <m:r>
                      <w:rPr>
                        <w:rFonts w:ascii="Cambria Math" w:hAnsi="Cambria Math"/>
                      </w:rPr>
                      <m:t xml:space="preserve">var</m:t>
                    </m:r>
                    <m:sSub>
                      <m:e>
                        <m:d>
                          <m:dPr>
                            <m:begChr m:val="("/>
                            <m:endChr m:val=")"/>
                          </m:dPr>
                          <m:e>
                            <m:sSub>
                              <m:e>
                                <m:r>
                                  <w:rPr>
                                    <w:rFonts w:ascii="Cambria Math" w:hAnsi="Cambria Math"/>
                                  </w:rPr>
                                  <m:t xml:space="preserve">u</m:t>
                                </m:r>
                              </m:e>
                              <m:sub>
                                <m:r>
                                  <w:rPr>
                                    <w:rFonts w:ascii="Cambria Math" w:hAnsi="Cambria Math"/>
                                  </w:rPr>
                                  <m:t xml:space="preserve">0</m:t>
                                </m:r>
                              </m:sub>
                            </m:sSub>
                          </m:e>
                        </m:d>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0,1445278</m:t>
                    </m:r>
                    <m:r>
                      <w:rPr>
                        <w:rFonts w:ascii="Cambria Math" w:hAnsi="Cambria Math"/>
                      </w:rPr>
                      <m:t xml:space="preserve">−</m:t>
                    </m:r>
                    <m:r>
                      <w:rPr>
                        <w:rFonts w:ascii="Cambria Math" w:hAnsi="Cambria Math"/>
                      </w:rPr>
                      <m:t xml:space="preserve">0,115655</m:t>
                    </m:r>
                  </m:num>
                  <m:den>
                    <m:r>
                      <w:rPr>
                        <w:rFonts w:ascii="Cambria Math" w:hAnsi="Cambria Math"/>
                      </w:rPr>
                      <m:t xml:space="preserve">0,1445278</m:t>
                    </m:r>
                  </m:den>
                </m:f>
                <m:r>
                  <w:rPr>
                    <w:rFonts w:ascii="Cambria Math" w:hAnsi="Cambria Math"/>
                  </w:rPr>
                  <m:t xml:space="preserve">=</m:t>
                </m:r>
                <m:r>
                  <w:rPr>
                    <w:rFonts w:ascii="Cambria Math" w:hAnsi="Cambria Math"/>
                  </w:rPr>
                  <m:t xml:space="preserve">0,200</m:t>
                </m:r>
              </m:oMath>
            </m:oMathPara>
          </w:p>
          <w:p>
            <w:pPr>
              <w:pStyle w:val="Normal"/>
              <w:widowControl w:val="false"/>
              <w:rPr>
                <w:sz w:val="22"/>
                <w:lang w:val="en-US"/>
              </w:rPr>
            </w:pPr>
            <w:r>
              <w:rPr>
                <w:sz w:val="22"/>
                <w:lang w:val="en-US"/>
              </w:rPr>
              <w:t xml:space="preserve">          </w:t>
            </w:r>
          </w:p>
          <w:p>
            <w:pPr>
              <w:pStyle w:val="Normal"/>
              <w:widowControl w:val="false"/>
              <w:spacing w:before="0" w:after="160"/>
              <w:rPr>
                <w:sz w:val="22"/>
                <w:lang w:val="en-US"/>
              </w:rPr>
            </w:pPr>
            <w:r>
              <w:rPr>
                <w:sz w:val="22"/>
                <w:lang w:val="en-US"/>
              </w:rPr>
              <w:t xml:space="preserve">     </w:t>
            </w:r>
          </w:p>
        </w:tc>
      </w:tr>
      <w:tr>
        <w:trPr>
          <w:trHeight w:val="80" w:hRule="atLeast"/>
        </w:trPr>
        <w:tc>
          <w:tcPr>
            <w:tcW w:w="8858" w:type="dxa"/>
            <w:tcBorders/>
          </w:tcPr>
          <w:p>
            <w:pPr>
              <w:pStyle w:val="Normal"/>
              <w:widowControl w:val="false"/>
              <w:spacing w:before="0" w:after="160"/>
              <w:rPr>
                <w:sz w:val="22"/>
                <w:szCs w:val="20"/>
                <w:lang w:val="en-US"/>
              </w:rPr>
            </w:pPr>
            <w:r>
              <w:rPr>
                <w:sz w:val="22"/>
                <w:szCs w:val="20"/>
                <w:lang w:val="en-US"/>
              </w:rPr>
            </w:r>
          </w:p>
        </w:tc>
      </w:tr>
    </w:tbl>
    <w:p>
      <w:pPr>
        <w:pStyle w:val="Normal"/>
        <w:spacing w:lineRule="auto" w:line="360"/>
        <w:rPr>
          <w:rFonts w:cs="Times New Roman"/>
          <w:b/>
          <w:b/>
          <w:bCs/>
          <w:szCs w:val="24"/>
          <w:shd w:fill="FFFFFF" w:val="clear"/>
        </w:rPr>
      </w:pPr>
      <w:r>
        <w:rPr>
          <w:rFonts w:cs="Times New Roman"/>
          <w:b/>
          <w:bCs/>
          <w:szCs w:val="24"/>
          <w:shd w:fill="FFFFFF" w:val="clear"/>
        </w:rPr>
        <w:t>Appendiks ek2: Estimert koeffisient for kvinner</w:t>
      </w:r>
    </w:p>
    <w:p>
      <w:pPr>
        <w:pStyle w:val="Normal"/>
        <w:spacing w:lineRule="auto" w:line="360"/>
        <w:rPr/>
      </w:pPr>
      <w:r>
        <w:rPr/>
        <w:drawing>
          <wp:inline distT="0" distB="0" distL="0" distR="0">
            <wp:extent cx="4438650" cy="3595370"/>
            <wp:effectExtent l="0" t="0" r="0" b="0"/>
            <wp:docPr id="5" name="Bild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1" descr=""/>
                    <pic:cNvPicPr>
                      <a:picLocks noChangeAspect="1" noChangeArrowheads="1"/>
                    </pic:cNvPicPr>
                  </pic:nvPicPr>
                  <pic:blipFill>
                    <a:blip r:embed="rId17"/>
                    <a:stretch>
                      <a:fillRect/>
                    </a:stretch>
                  </pic:blipFill>
                  <pic:spPr bwMode="auto">
                    <a:xfrm>
                      <a:off x="0" y="0"/>
                      <a:ext cx="4438650" cy="3595370"/>
                    </a:xfrm>
                    <a:prstGeom prst="rect">
                      <a:avLst/>
                    </a:prstGeom>
                  </pic:spPr>
                </pic:pic>
              </a:graphicData>
            </a:graphic>
          </wp:inline>
        </w:drawing>
      </w:r>
    </w:p>
    <w:p>
      <w:pPr>
        <w:pStyle w:val="Normal"/>
        <w:spacing w:lineRule="auto" w:line="240"/>
        <w:rPr>
          <w:rFonts w:cs="Times New Roman"/>
          <w:sz w:val="22"/>
          <w:shd w:fill="FFFFFF" w:val="clear"/>
        </w:rPr>
      </w:pPr>
      <w:r>
        <w:rPr>
          <w:rFonts w:cs="Times New Roman"/>
          <w:sz w:val="22"/>
          <w:shd w:fill="FFFFFF" w:val="clear"/>
        </w:rPr>
        <w:t>*Maktdelingsavtale hvor kvinners rettigheter er nevnt | **Maktdelingsavtale hvor kvinners rettigheter ikke er nevnt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360"/>
        <w:rPr>
          <w:b/>
          <w:b/>
          <w:bCs/>
          <w:sz w:val="22"/>
          <w:szCs w:val="20"/>
        </w:rPr>
      </w:pPr>
      <w:r>
        <w:rPr>
          <w:b/>
          <w:bCs/>
          <w:sz w:val="22"/>
          <w:szCs w:val="20"/>
        </w:rPr>
        <w:t>Appendiks z: Flernivåregresjon uten undertrykt (uvektet)</w:t>
      </w:r>
    </w:p>
    <w:tbl>
      <w:tblPr>
        <w:tblW w:w="9291" w:type="dxa"/>
        <w:jc w:val="center"/>
        <w:tblInd w:w="0" w:type="dxa"/>
        <w:tblLayout w:type="fixed"/>
        <w:tblCellMar>
          <w:top w:w="0" w:type="dxa"/>
          <w:left w:w="75" w:type="dxa"/>
          <w:bottom w:w="0" w:type="dxa"/>
          <w:right w:w="75" w:type="dxa"/>
        </w:tblCellMar>
      </w:tblPr>
      <w:tblGrid>
        <w:gridCol w:w="2523"/>
        <w:gridCol w:w="2159"/>
        <w:gridCol w:w="1440"/>
        <w:gridCol w:w="1584"/>
        <w:gridCol w:w="1585"/>
      </w:tblGrid>
      <w:tr>
        <w:trPr/>
        <w:tc>
          <w:tcPr>
            <w:tcW w:w="2523" w:type="dxa"/>
            <w:tcBorders>
              <w:top w:val="single" w:sz="6" w:space="0" w:color="000000"/>
            </w:tcBorders>
          </w:tcPr>
          <w:p>
            <w:pPr>
              <w:pStyle w:val="Normal"/>
              <w:widowControl w:val="false"/>
              <w:spacing w:lineRule="auto" w:line="240" w:before="0" w:after="0"/>
              <w:rPr>
                <w:rFonts w:cs="Times New Roman"/>
                <w:sz w:val="20"/>
                <w:szCs w:val="20"/>
              </w:rPr>
            </w:pPr>
            <w:r>
              <w:rPr>
                <w:rFonts w:cs="Times New Roman"/>
                <w:sz w:val="20"/>
                <w:szCs w:val="20"/>
              </w:rPr>
            </w:r>
          </w:p>
        </w:tc>
        <w:tc>
          <w:tcPr>
            <w:tcW w:w="2159" w:type="dxa"/>
            <w:tcBorders>
              <w:top w:val="single" w:sz="6" w:space="0" w:color="000000"/>
            </w:tcBorders>
          </w:tcPr>
          <w:p>
            <w:pPr>
              <w:pStyle w:val="Normal"/>
              <w:widowControl w:val="false"/>
              <w:spacing w:lineRule="auto" w:line="240" w:before="0" w:after="0"/>
              <w:jc w:val="center"/>
              <w:rPr>
                <w:rFonts w:cs="Times New Roman"/>
                <w:sz w:val="20"/>
                <w:szCs w:val="20"/>
              </w:rPr>
            </w:pPr>
            <w:r>
              <w:rPr>
                <w:rFonts w:cs="Times New Roman"/>
                <w:sz w:val="20"/>
                <w:szCs w:val="20"/>
              </w:rPr>
              <w:t>(1)</w:t>
            </w:r>
          </w:p>
        </w:tc>
        <w:tc>
          <w:tcPr>
            <w:tcW w:w="1440" w:type="dxa"/>
            <w:tcBorders>
              <w:top w:val="single" w:sz="6" w:space="0" w:color="000000"/>
            </w:tcBorders>
          </w:tcPr>
          <w:p>
            <w:pPr>
              <w:pStyle w:val="Normal"/>
              <w:widowControl w:val="false"/>
              <w:spacing w:lineRule="auto" w:line="240" w:before="0" w:after="0"/>
              <w:jc w:val="center"/>
              <w:rPr>
                <w:rFonts w:cs="Times New Roman"/>
                <w:sz w:val="20"/>
                <w:szCs w:val="20"/>
              </w:rPr>
            </w:pPr>
            <w:r>
              <w:rPr>
                <w:rFonts w:cs="Times New Roman"/>
                <w:sz w:val="20"/>
                <w:szCs w:val="20"/>
              </w:rPr>
              <w:t>(2)</w:t>
            </w:r>
          </w:p>
        </w:tc>
        <w:tc>
          <w:tcPr>
            <w:tcW w:w="1584" w:type="dxa"/>
            <w:tcBorders>
              <w:top w:val="single" w:sz="6" w:space="0" w:color="000000"/>
            </w:tcBorders>
          </w:tcPr>
          <w:p>
            <w:pPr>
              <w:pStyle w:val="Normal"/>
              <w:widowControl w:val="false"/>
              <w:spacing w:lineRule="auto" w:line="240" w:before="0" w:after="0"/>
              <w:jc w:val="center"/>
              <w:rPr>
                <w:rFonts w:cs="Times New Roman"/>
                <w:sz w:val="20"/>
                <w:szCs w:val="20"/>
              </w:rPr>
            </w:pPr>
            <w:r>
              <w:rPr>
                <w:rFonts w:cs="Times New Roman"/>
                <w:sz w:val="20"/>
                <w:szCs w:val="20"/>
              </w:rPr>
              <w:t>(3)</w:t>
            </w:r>
          </w:p>
        </w:tc>
        <w:tc>
          <w:tcPr>
            <w:tcW w:w="1585" w:type="dxa"/>
            <w:tcBorders>
              <w:top w:val="single" w:sz="6" w:space="0" w:color="000000"/>
            </w:tcBorders>
          </w:tcPr>
          <w:p>
            <w:pPr>
              <w:pStyle w:val="Normal"/>
              <w:widowControl w:val="false"/>
              <w:spacing w:lineRule="auto" w:line="240" w:before="0" w:after="0"/>
              <w:jc w:val="center"/>
              <w:rPr>
                <w:rFonts w:cs="Times New Roman"/>
                <w:sz w:val="20"/>
                <w:szCs w:val="20"/>
              </w:rPr>
            </w:pPr>
            <w:r>
              <w:rPr>
                <w:rFonts w:cs="Times New Roman"/>
                <w:sz w:val="20"/>
                <w:szCs w:val="20"/>
              </w:rPr>
              <w:t>(4)</w:t>
            </w:r>
          </w:p>
        </w:tc>
      </w:tr>
      <w:tr>
        <w:trPr/>
        <w:tc>
          <w:tcPr>
            <w:tcW w:w="2523" w:type="dxa"/>
            <w:tcBorders>
              <w:bottom w:val="single" w:sz="6" w:space="0" w:color="000000"/>
            </w:tcBorders>
          </w:tcPr>
          <w:p>
            <w:pPr>
              <w:pStyle w:val="Normal"/>
              <w:widowControl w:val="false"/>
              <w:spacing w:lineRule="auto" w:line="240" w:before="0" w:after="0"/>
              <w:rPr>
                <w:rFonts w:cs="Times New Roman"/>
                <w:sz w:val="20"/>
                <w:szCs w:val="20"/>
              </w:rPr>
            </w:pPr>
            <w:r>
              <w:rPr>
                <w:rFonts w:cs="Times New Roman"/>
                <w:sz w:val="20"/>
                <w:szCs w:val="20"/>
              </w:rPr>
              <w:t>VARIABLES</w:t>
            </w:r>
          </w:p>
        </w:tc>
        <w:tc>
          <w:tcPr>
            <w:tcW w:w="2159" w:type="dxa"/>
            <w:tcBorders>
              <w:bottom w:val="single" w:sz="6" w:space="0" w:color="000000"/>
            </w:tcBorders>
          </w:tcPr>
          <w:p>
            <w:pPr>
              <w:pStyle w:val="Normal"/>
              <w:widowControl w:val="false"/>
              <w:spacing w:lineRule="auto" w:line="240" w:before="0" w:after="0"/>
              <w:jc w:val="center"/>
              <w:rPr>
                <w:rFonts w:cs="Times New Roman"/>
                <w:sz w:val="20"/>
                <w:szCs w:val="20"/>
              </w:rPr>
            </w:pPr>
            <w:r>
              <w:rPr>
                <w:rFonts w:cs="Times New Roman"/>
                <w:sz w:val="20"/>
                <w:szCs w:val="20"/>
              </w:rPr>
              <w:t>politisktillit</w:t>
            </w:r>
          </w:p>
        </w:tc>
        <w:tc>
          <w:tcPr>
            <w:tcW w:w="1440" w:type="dxa"/>
            <w:tcBorders>
              <w:bottom w:val="single" w:sz="6" w:space="0" w:color="000000"/>
            </w:tcBorders>
          </w:tcPr>
          <w:p>
            <w:pPr>
              <w:pStyle w:val="Normal"/>
              <w:widowControl w:val="false"/>
              <w:spacing w:lineRule="auto" w:line="240" w:before="0" w:after="0"/>
              <w:jc w:val="center"/>
              <w:rPr>
                <w:rFonts w:cs="Times New Roman"/>
                <w:sz w:val="20"/>
                <w:szCs w:val="20"/>
              </w:rPr>
            </w:pPr>
            <w:r>
              <w:rPr>
                <w:rFonts w:cs="Times New Roman"/>
                <w:sz w:val="20"/>
                <w:szCs w:val="20"/>
              </w:rPr>
              <w:t>politisktillit</w:t>
            </w:r>
          </w:p>
        </w:tc>
        <w:tc>
          <w:tcPr>
            <w:tcW w:w="1584" w:type="dxa"/>
            <w:tcBorders>
              <w:bottom w:val="single" w:sz="6" w:space="0" w:color="000000"/>
            </w:tcBorders>
          </w:tcPr>
          <w:p>
            <w:pPr>
              <w:pStyle w:val="Normal"/>
              <w:widowControl w:val="false"/>
              <w:spacing w:lineRule="auto" w:line="240" w:before="0" w:after="0"/>
              <w:jc w:val="center"/>
              <w:rPr>
                <w:rFonts w:cs="Times New Roman"/>
                <w:sz w:val="20"/>
                <w:szCs w:val="20"/>
              </w:rPr>
            </w:pPr>
            <w:r>
              <w:rPr>
                <w:rFonts w:cs="Times New Roman"/>
                <w:sz w:val="20"/>
                <w:szCs w:val="20"/>
              </w:rPr>
              <w:t>politisktillit</w:t>
            </w:r>
          </w:p>
        </w:tc>
        <w:tc>
          <w:tcPr>
            <w:tcW w:w="1585" w:type="dxa"/>
            <w:tcBorders>
              <w:bottom w:val="single" w:sz="6" w:space="0" w:color="000000"/>
            </w:tcBorders>
          </w:tcPr>
          <w:p>
            <w:pPr>
              <w:pStyle w:val="Normal"/>
              <w:widowControl w:val="false"/>
              <w:spacing w:lineRule="auto" w:line="240" w:before="0" w:after="0"/>
              <w:jc w:val="center"/>
              <w:rPr>
                <w:rFonts w:cs="Times New Roman"/>
                <w:sz w:val="20"/>
                <w:szCs w:val="20"/>
              </w:rPr>
            </w:pPr>
            <w:r>
              <w:rPr>
                <w:rFonts w:cs="Times New Roman"/>
                <w:sz w:val="20"/>
                <w:szCs w:val="20"/>
              </w:rPr>
              <w:t>politisktillit</w:t>
            </w:r>
          </w:p>
        </w:tc>
      </w:tr>
      <w:tr>
        <w:trPr/>
        <w:tc>
          <w:tcPr>
            <w:tcW w:w="2523" w:type="dxa"/>
            <w:tcBorders/>
          </w:tcPr>
          <w:p>
            <w:pPr>
              <w:pStyle w:val="Normal"/>
              <w:widowControl w:val="false"/>
              <w:spacing w:lineRule="auto" w:line="240" w:before="0" w:after="0"/>
              <w:rPr>
                <w:rFonts w:cs="Times New Roman"/>
                <w:sz w:val="20"/>
                <w:szCs w:val="20"/>
              </w:rPr>
            </w:pPr>
            <w:r>
              <w:rPr>
                <w:rFonts w:cs="Times New Roman"/>
                <w:sz w:val="20"/>
                <w:szCs w:val="20"/>
              </w:rPr>
            </w:r>
          </w:p>
        </w:tc>
        <w:tc>
          <w:tcPr>
            <w:tcW w:w="2159" w:type="dxa"/>
            <w:tcBorders/>
          </w:tcPr>
          <w:p>
            <w:pPr>
              <w:pStyle w:val="Normal"/>
              <w:widowControl w:val="false"/>
              <w:spacing w:lineRule="auto" w:line="240" w:before="0" w:after="0"/>
              <w:jc w:val="center"/>
              <w:rPr>
                <w:rFonts w:cs="Times New Roman"/>
                <w:sz w:val="20"/>
                <w:szCs w:val="20"/>
              </w:rPr>
            </w:pPr>
            <w:r>
              <w:rPr>
                <w:rFonts w:cs="Times New Roman"/>
                <w:sz w:val="20"/>
                <w:szCs w:val="20"/>
              </w:rPr>
            </w:r>
          </w:p>
        </w:tc>
        <w:tc>
          <w:tcPr>
            <w:tcW w:w="1440" w:type="dxa"/>
            <w:tcBorders/>
          </w:tcPr>
          <w:p>
            <w:pPr>
              <w:pStyle w:val="Normal"/>
              <w:widowControl w:val="false"/>
              <w:spacing w:lineRule="auto" w:line="240" w:before="0" w:after="0"/>
              <w:jc w:val="center"/>
              <w:rPr>
                <w:rFonts w:cs="Times New Roman"/>
                <w:sz w:val="20"/>
                <w:szCs w:val="20"/>
              </w:rPr>
            </w:pPr>
            <w:r>
              <w:rPr>
                <w:rFonts w:cs="Times New Roman"/>
                <w:sz w:val="20"/>
                <w:szCs w:val="20"/>
              </w:rPr>
            </w:r>
          </w:p>
        </w:tc>
        <w:tc>
          <w:tcPr>
            <w:tcW w:w="1584" w:type="dxa"/>
            <w:tcBorders/>
          </w:tcPr>
          <w:p>
            <w:pPr>
              <w:pStyle w:val="Normal"/>
              <w:widowControl w:val="false"/>
              <w:spacing w:lineRule="auto" w:line="240" w:before="0" w:after="0"/>
              <w:jc w:val="center"/>
              <w:rPr>
                <w:rFonts w:cs="Times New Roman"/>
                <w:sz w:val="20"/>
                <w:szCs w:val="20"/>
              </w:rPr>
            </w:pPr>
            <w:r>
              <w:rPr>
                <w:rFonts w:cs="Times New Roman"/>
                <w:sz w:val="20"/>
                <w:szCs w:val="20"/>
              </w:rPr>
            </w:r>
          </w:p>
        </w:tc>
        <w:tc>
          <w:tcPr>
            <w:tcW w:w="1585" w:type="dxa"/>
            <w:tcBorders/>
          </w:tcPr>
          <w:p>
            <w:pPr>
              <w:pStyle w:val="Normal"/>
              <w:widowControl w:val="false"/>
              <w:spacing w:lineRule="auto" w:line="240" w:before="0" w:after="0"/>
              <w:jc w:val="center"/>
              <w:rPr>
                <w:rFonts w:cs="Times New Roman"/>
                <w:sz w:val="20"/>
                <w:szCs w:val="20"/>
              </w:rPr>
            </w:pPr>
            <w:r>
              <w:rPr>
                <w:rFonts w:cs="Times New Roman"/>
                <w:sz w:val="20"/>
                <w:szCs w:val="20"/>
              </w:rPr>
            </w:r>
          </w:p>
        </w:tc>
      </w:tr>
      <w:tr>
        <w:trPr/>
        <w:tc>
          <w:tcPr>
            <w:tcW w:w="2523" w:type="dxa"/>
            <w:tcBorders/>
          </w:tcPr>
          <w:p>
            <w:pPr>
              <w:pStyle w:val="Normal"/>
              <w:widowControl w:val="false"/>
              <w:spacing w:lineRule="auto" w:line="240" w:before="0" w:after="0"/>
              <w:rPr>
                <w:rFonts w:cs="Times New Roman"/>
                <w:sz w:val="20"/>
                <w:szCs w:val="20"/>
              </w:rPr>
            </w:pPr>
            <w:r>
              <w:rPr>
                <w:rFonts w:cs="Times New Roman"/>
                <w:sz w:val="20"/>
                <w:szCs w:val="20"/>
              </w:rPr>
              <w:t>polps</w:t>
            </w:r>
            <w:r>
              <w:rPr>
                <w:rFonts w:cs="Times New Roman"/>
                <w:sz w:val="20"/>
                <w:szCs w:val="20"/>
                <w:vertAlign w:val="superscript"/>
              </w:rPr>
              <w:t>a</w:t>
            </w:r>
          </w:p>
          <w:p>
            <w:pPr>
              <w:pStyle w:val="Normal"/>
              <w:widowControl w:val="false"/>
              <w:spacing w:lineRule="auto" w:line="240" w:before="0" w:after="0"/>
              <w:rPr>
                <w:rFonts w:cs="Times New Roman"/>
                <w:sz w:val="20"/>
                <w:szCs w:val="20"/>
              </w:rPr>
            </w:pPr>
            <w:r>
              <w:rPr>
                <w:rFonts w:cs="Times New Roman"/>
                <w:sz w:val="20"/>
                <w:szCs w:val="20"/>
              </w:rPr>
            </w:r>
          </w:p>
          <w:p>
            <w:pPr>
              <w:pStyle w:val="Normal"/>
              <w:widowControl w:val="false"/>
              <w:spacing w:lineRule="auto" w:line="240" w:before="0" w:after="0"/>
              <w:rPr>
                <w:rFonts w:cs="Times New Roman"/>
                <w:sz w:val="20"/>
                <w:szCs w:val="20"/>
              </w:rPr>
            </w:pPr>
            <w:r>
              <w:rPr>
                <w:rFonts w:cs="Times New Roman"/>
                <w:sz w:val="20"/>
                <w:szCs w:val="20"/>
              </w:rPr>
            </w:r>
          </w:p>
          <w:p>
            <w:pPr>
              <w:pStyle w:val="Normal"/>
              <w:widowControl w:val="false"/>
              <w:spacing w:lineRule="auto" w:line="240" w:before="0" w:after="0"/>
              <w:rPr>
                <w:rFonts w:cs="Times New Roman"/>
                <w:sz w:val="20"/>
                <w:szCs w:val="20"/>
              </w:rPr>
            </w:pPr>
            <w:r>
              <w:rPr>
                <w:rFonts w:cs="Times New Roman"/>
                <w:sz w:val="20"/>
                <w:szCs w:val="20"/>
              </w:rPr>
              <w:t>closedpr</w:t>
            </w:r>
            <w:r>
              <w:rPr>
                <w:rFonts w:cs="Times New Roman"/>
                <w:sz w:val="20"/>
                <w:szCs w:val="20"/>
                <w:vertAlign w:val="superscript"/>
              </w:rPr>
              <w:t>a</w:t>
            </w:r>
          </w:p>
          <w:p>
            <w:pPr>
              <w:pStyle w:val="Normal"/>
              <w:widowControl w:val="false"/>
              <w:spacing w:lineRule="auto" w:line="240" w:before="0" w:after="0"/>
              <w:rPr>
                <w:rFonts w:cs="Times New Roman"/>
                <w:sz w:val="20"/>
                <w:szCs w:val="20"/>
                <w:vertAlign w:val="superscript"/>
              </w:rPr>
            </w:pPr>
            <w:r>
              <w:rPr>
                <w:rFonts w:cs="Times New Roman"/>
                <w:sz w:val="20"/>
                <w:szCs w:val="20"/>
                <w:vertAlign w:val="superscript"/>
              </w:rPr>
            </w:r>
          </w:p>
          <w:p>
            <w:pPr>
              <w:pStyle w:val="Normal"/>
              <w:widowControl w:val="false"/>
              <w:spacing w:lineRule="auto" w:line="240" w:before="0" w:after="0"/>
              <w:rPr>
                <w:rFonts w:cs="Times New Roman"/>
                <w:sz w:val="20"/>
                <w:szCs w:val="20"/>
                <w:vertAlign w:val="superscript"/>
              </w:rPr>
            </w:pPr>
            <w:r>
              <w:rPr>
                <w:rFonts w:cs="Times New Roman"/>
                <w:sz w:val="20"/>
                <w:szCs w:val="20"/>
                <w:vertAlign w:val="superscript"/>
              </w:rPr>
            </w:r>
          </w:p>
          <w:p>
            <w:pPr>
              <w:pStyle w:val="Normal"/>
              <w:widowControl w:val="false"/>
              <w:spacing w:lineRule="auto" w:line="240" w:before="0" w:after="0"/>
              <w:rPr>
                <w:rFonts w:cs="Times New Roman"/>
                <w:sz w:val="20"/>
                <w:szCs w:val="20"/>
              </w:rPr>
            </w:pPr>
            <w:r>
              <w:rPr>
                <w:rFonts w:cs="Times New Roman"/>
                <w:sz w:val="20"/>
                <w:szCs w:val="20"/>
              </w:rPr>
              <w:t>kvinne</w:t>
            </w:r>
          </w:p>
          <w:p>
            <w:pPr>
              <w:pStyle w:val="Normal"/>
              <w:widowControl w:val="false"/>
              <w:spacing w:lineRule="auto" w:line="240" w:before="0" w:after="0"/>
              <w:rPr>
                <w:rFonts w:cs="Times New Roman"/>
                <w:sz w:val="20"/>
                <w:szCs w:val="20"/>
              </w:rPr>
            </w:pPr>
            <w:r>
              <w:rPr>
                <w:rFonts w:cs="Times New Roman"/>
                <w:sz w:val="20"/>
                <w:szCs w:val="20"/>
              </w:rPr>
            </w:r>
          </w:p>
          <w:p>
            <w:pPr>
              <w:pStyle w:val="Normal"/>
              <w:widowControl w:val="false"/>
              <w:spacing w:lineRule="auto" w:line="240" w:before="0" w:after="0"/>
              <w:rPr>
                <w:rFonts w:cs="Times New Roman"/>
                <w:sz w:val="20"/>
                <w:szCs w:val="20"/>
                <w:vertAlign w:val="superscript"/>
              </w:rPr>
            </w:pPr>
            <w:r>
              <w:rPr>
                <w:rFonts w:cs="Times New Roman"/>
                <w:sz w:val="20"/>
                <w:szCs w:val="20"/>
                <w:vertAlign w:val="superscript"/>
              </w:rPr>
            </w:r>
          </w:p>
          <w:p>
            <w:pPr>
              <w:pStyle w:val="Normal"/>
              <w:widowControl w:val="false"/>
              <w:spacing w:lineRule="auto" w:line="240" w:before="0" w:after="0"/>
              <w:rPr>
                <w:rFonts w:cs="Times New Roman"/>
                <w:sz w:val="20"/>
                <w:szCs w:val="20"/>
              </w:rPr>
            </w:pPr>
            <w:r>
              <w:rPr>
                <w:rFonts w:cs="Times New Roman"/>
                <w:sz w:val="20"/>
                <w:szCs w:val="20"/>
              </w:rPr>
              <w:t>polps#kvinne</w:t>
            </w:r>
            <w:r>
              <w:rPr>
                <w:rFonts w:cs="Times New Roman"/>
                <w:sz w:val="20"/>
                <w:szCs w:val="20"/>
                <w:vertAlign w:val="superscript"/>
              </w:rPr>
              <w:t>b</w:t>
            </w:r>
          </w:p>
          <w:p>
            <w:pPr>
              <w:pStyle w:val="Normal"/>
              <w:widowControl w:val="false"/>
              <w:spacing w:lineRule="auto" w:line="240" w:before="0" w:after="0"/>
              <w:rPr>
                <w:rFonts w:cs="Times New Roman"/>
                <w:sz w:val="20"/>
                <w:szCs w:val="20"/>
              </w:rPr>
            </w:pPr>
            <w:r>
              <w:rPr>
                <w:rFonts w:cs="Times New Roman"/>
                <w:sz w:val="20"/>
                <w:szCs w:val="20"/>
              </w:rPr>
            </w:r>
          </w:p>
          <w:p>
            <w:pPr>
              <w:pStyle w:val="Normal"/>
              <w:widowControl w:val="false"/>
              <w:spacing w:lineRule="auto" w:line="240" w:before="0" w:after="0"/>
              <w:rPr>
                <w:rFonts w:cs="Times New Roman"/>
                <w:sz w:val="20"/>
                <w:szCs w:val="20"/>
              </w:rPr>
            </w:pPr>
            <w:r>
              <w:rPr>
                <w:rFonts w:cs="Times New Roman"/>
                <w:sz w:val="20"/>
                <w:szCs w:val="20"/>
              </w:rPr>
            </w:r>
          </w:p>
          <w:p>
            <w:pPr>
              <w:pStyle w:val="Normal"/>
              <w:widowControl w:val="false"/>
              <w:spacing w:lineRule="auto" w:line="240" w:before="0" w:after="0"/>
              <w:rPr>
                <w:rFonts w:cs="Times New Roman"/>
                <w:sz w:val="20"/>
                <w:szCs w:val="20"/>
              </w:rPr>
            </w:pPr>
            <w:r>
              <w:rPr>
                <w:rFonts w:cs="Times New Roman"/>
                <w:sz w:val="20"/>
                <w:szCs w:val="20"/>
              </w:rPr>
              <w:t>closedpr#kvinne</w:t>
            </w:r>
            <w:r>
              <w:rPr>
                <w:rFonts w:cs="Times New Roman"/>
                <w:sz w:val="20"/>
                <w:szCs w:val="20"/>
                <w:vertAlign w:val="superscript"/>
              </w:rPr>
              <w:t>b</w:t>
            </w:r>
          </w:p>
          <w:p>
            <w:pPr>
              <w:pStyle w:val="Normal"/>
              <w:widowControl w:val="false"/>
              <w:spacing w:lineRule="auto" w:line="240" w:before="0" w:after="0"/>
              <w:rPr>
                <w:rFonts w:cs="Times New Roman"/>
                <w:sz w:val="20"/>
                <w:szCs w:val="20"/>
              </w:rPr>
            </w:pPr>
            <w:r>
              <w:rPr>
                <w:rFonts w:cs="Times New Roman"/>
                <w:sz w:val="20"/>
                <w:szCs w:val="20"/>
              </w:rPr>
            </w:r>
          </w:p>
        </w:tc>
        <w:tc>
          <w:tcPr>
            <w:tcW w:w="2159" w:type="dxa"/>
            <w:tcBorders/>
          </w:tcPr>
          <w:p>
            <w:pPr>
              <w:pStyle w:val="Normal"/>
              <w:widowControl w:val="false"/>
              <w:spacing w:lineRule="auto" w:line="240" w:before="0" w:after="0"/>
              <w:jc w:val="center"/>
              <w:rPr>
                <w:rFonts w:cs="Times New Roman"/>
                <w:sz w:val="20"/>
                <w:szCs w:val="20"/>
              </w:rPr>
            </w:pPr>
            <w:r>
              <w:rPr>
                <w:rFonts w:cs="Times New Roman"/>
                <w:sz w:val="20"/>
                <w:szCs w:val="20"/>
              </w:rPr>
              <w:t>-0.0321</w:t>
            </w:r>
          </w:p>
          <w:p>
            <w:pPr>
              <w:pStyle w:val="Normal"/>
              <w:widowControl w:val="false"/>
              <w:spacing w:lineRule="auto" w:line="240" w:before="0" w:after="0"/>
              <w:jc w:val="center"/>
              <w:rPr>
                <w:rFonts w:cs="Times New Roman"/>
                <w:sz w:val="20"/>
                <w:szCs w:val="20"/>
              </w:rPr>
            </w:pPr>
            <w:r>
              <w:rPr>
                <w:rFonts w:cs="Times New Roman"/>
                <w:sz w:val="20"/>
                <w:szCs w:val="20"/>
              </w:rPr>
              <w:t>(0.142)</w:t>
            </w:r>
          </w:p>
          <w:p>
            <w:pPr>
              <w:pStyle w:val="Normal"/>
              <w:widowControl w:val="false"/>
              <w:spacing w:lineRule="auto" w:line="240" w:before="0" w:after="0"/>
              <w:jc w:val="center"/>
              <w:rPr>
                <w:rFonts w:cs="Times New Roman"/>
                <w:sz w:val="20"/>
                <w:szCs w:val="20"/>
              </w:rPr>
            </w:pPr>
            <w:r>
              <w:rPr>
                <w:rFonts w:cs="Times New Roman"/>
                <w:sz w:val="20"/>
                <w:szCs w:val="20"/>
              </w:rPr>
            </w:r>
          </w:p>
          <w:p>
            <w:pPr>
              <w:pStyle w:val="Normal"/>
              <w:widowControl w:val="false"/>
              <w:spacing w:lineRule="auto" w:line="240" w:before="0" w:after="0"/>
              <w:jc w:val="center"/>
              <w:rPr>
                <w:rFonts w:cs="Times New Roman"/>
                <w:sz w:val="20"/>
                <w:szCs w:val="20"/>
              </w:rPr>
            </w:pPr>
            <w:r>
              <w:rPr>
                <w:rFonts w:cs="Times New Roman"/>
                <w:sz w:val="20"/>
                <w:szCs w:val="20"/>
              </w:rPr>
            </w:r>
          </w:p>
          <w:p>
            <w:pPr>
              <w:pStyle w:val="Normal"/>
              <w:widowControl w:val="false"/>
              <w:spacing w:lineRule="auto" w:line="240" w:before="0" w:after="0"/>
              <w:jc w:val="center"/>
              <w:rPr>
                <w:rFonts w:cs="Times New Roman"/>
                <w:sz w:val="20"/>
                <w:szCs w:val="20"/>
              </w:rPr>
            </w:pPr>
            <w:r>
              <w:rPr>
                <w:rFonts w:cs="Times New Roman"/>
                <w:sz w:val="20"/>
                <w:szCs w:val="20"/>
              </w:rPr>
            </w:r>
          </w:p>
          <w:p>
            <w:pPr>
              <w:pStyle w:val="Normal"/>
              <w:widowControl w:val="false"/>
              <w:spacing w:lineRule="auto" w:line="240" w:before="0" w:after="0"/>
              <w:rPr>
                <w:rFonts w:cs="Times New Roman"/>
                <w:sz w:val="20"/>
                <w:szCs w:val="20"/>
              </w:rPr>
            </w:pPr>
            <w:r>
              <w:rPr>
                <w:rFonts w:cs="Times New Roman"/>
                <w:sz w:val="20"/>
                <w:szCs w:val="20"/>
              </w:rPr>
            </w:r>
          </w:p>
          <w:p>
            <w:pPr>
              <w:pStyle w:val="Normal"/>
              <w:widowControl w:val="false"/>
              <w:spacing w:lineRule="auto" w:line="240" w:before="0" w:after="0"/>
              <w:jc w:val="center"/>
              <w:rPr>
                <w:rFonts w:cs="Times New Roman"/>
                <w:sz w:val="20"/>
                <w:szCs w:val="20"/>
              </w:rPr>
            </w:pPr>
            <w:r>
              <w:rPr>
                <w:rFonts w:cs="Times New Roman"/>
                <w:sz w:val="20"/>
                <w:szCs w:val="20"/>
              </w:rPr>
              <w:t>-0.00141</w:t>
            </w:r>
          </w:p>
          <w:p>
            <w:pPr>
              <w:pStyle w:val="Normal"/>
              <w:widowControl w:val="false"/>
              <w:spacing w:lineRule="auto" w:line="240" w:before="0" w:after="0"/>
              <w:jc w:val="center"/>
              <w:rPr>
                <w:rFonts w:cs="Times New Roman"/>
                <w:sz w:val="20"/>
                <w:szCs w:val="20"/>
              </w:rPr>
            </w:pPr>
            <w:r>
              <w:rPr>
                <w:rFonts w:cs="Times New Roman"/>
                <w:sz w:val="20"/>
                <w:szCs w:val="20"/>
              </w:rPr>
              <w:t>(0.0110)</w:t>
            </w:r>
          </w:p>
          <w:p>
            <w:pPr>
              <w:pStyle w:val="Normal"/>
              <w:widowControl w:val="false"/>
              <w:spacing w:lineRule="auto" w:line="240" w:before="0" w:after="0"/>
              <w:jc w:val="center"/>
              <w:rPr>
                <w:rFonts w:cs="Times New Roman"/>
                <w:sz w:val="20"/>
                <w:szCs w:val="20"/>
              </w:rPr>
            </w:pPr>
            <w:r>
              <w:rPr>
                <w:rFonts w:cs="Times New Roman"/>
                <w:sz w:val="20"/>
                <w:szCs w:val="20"/>
              </w:rPr>
            </w:r>
          </w:p>
          <w:p>
            <w:pPr>
              <w:pStyle w:val="Normal"/>
              <w:widowControl w:val="false"/>
              <w:spacing w:lineRule="auto" w:line="240" w:before="0" w:after="0"/>
              <w:jc w:val="center"/>
              <w:rPr>
                <w:rFonts w:cs="Times New Roman"/>
                <w:sz w:val="20"/>
                <w:szCs w:val="20"/>
              </w:rPr>
            </w:pPr>
            <w:r>
              <w:rPr>
                <w:rFonts w:cs="Times New Roman"/>
                <w:sz w:val="20"/>
                <w:szCs w:val="20"/>
              </w:rPr>
            </w:r>
          </w:p>
        </w:tc>
        <w:tc>
          <w:tcPr>
            <w:tcW w:w="1440" w:type="dxa"/>
            <w:tcBorders/>
          </w:tcPr>
          <w:p>
            <w:pPr>
              <w:pStyle w:val="Normal"/>
              <w:widowControl w:val="false"/>
              <w:spacing w:lineRule="auto" w:line="240" w:before="0" w:after="0"/>
              <w:jc w:val="center"/>
              <w:rPr>
                <w:rFonts w:cs="Times New Roman"/>
                <w:sz w:val="20"/>
                <w:szCs w:val="20"/>
              </w:rPr>
            </w:pPr>
            <w:r>
              <w:rPr>
                <w:rFonts w:cs="Times New Roman"/>
                <w:sz w:val="20"/>
                <w:szCs w:val="20"/>
              </w:rPr>
            </w:r>
          </w:p>
          <w:p>
            <w:pPr>
              <w:pStyle w:val="Normal"/>
              <w:widowControl w:val="false"/>
              <w:spacing w:lineRule="auto" w:line="240" w:before="0" w:after="0"/>
              <w:jc w:val="center"/>
              <w:rPr>
                <w:rFonts w:cs="Times New Roman"/>
                <w:sz w:val="20"/>
                <w:szCs w:val="20"/>
              </w:rPr>
            </w:pPr>
            <w:r>
              <w:rPr>
                <w:rFonts w:cs="Times New Roman"/>
                <w:sz w:val="20"/>
                <w:szCs w:val="20"/>
              </w:rPr>
            </w:r>
          </w:p>
          <w:p>
            <w:pPr>
              <w:pStyle w:val="Normal"/>
              <w:widowControl w:val="false"/>
              <w:spacing w:lineRule="auto" w:line="240" w:before="0" w:after="0"/>
              <w:jc w:val="center"/>
              <w:rPr>
                <w:rFonts w:cs="Times New Roman"/>
                <w:sz w:val="20"/>
                <w:szCs w:val="20"/>
              </w:rPr>
            </w:pPr>
            <w:r>
              <w:rPr>
                <w:rFonts w:cs="Times New Roman"/>
                <w:sz w:val="20"/>
                <w:szCs w:val="20"/>
              </w:rPr>
            </w:r>
          </w:p>
          <w:p>
            <w:pPr>
              <w:pStyle w:val="Normal"/>
              <w:widowControl w:val="false"/>
              <w:spacing w:lineRule="auto" w:line="240" w:before="0" w:after="0"/>
              <w:jc w:val="center"/>
              <w:rPr>
                <w:rFonts w:cs="Times New Roman"/>
                <w:sz w:val="20"/>
                <w:szCs w:val="20"/>
              </w:rPr>
            </w:pPr>
            <w:r>
              <w:rPr>
                <w:rFonts w:cs="Times New Roman"/>
                <w:sz w:val="20"/>
                <w:szCs w:val="20"/>
              </w:rPr>
              <w:t>-0.0132</w:t>
            </w:r>
          </w:p>
          <w:p>
            <w:pPr>
              <w:pStyle w:val="Normal"/>
              <w:widowControl w:val="false"/>
              <w:spacing w:lineRule="auto" w:line="240" w:before="0" w:after="0"/>
              <w:jc w:val="center"/>
              <w:rPr>
                <w:rFonts w:cs="Times New Roman"/>
                <w:sz w:val="20"/>
                <w:szCs w:val="20"/>
              </w:rPr>
            </w:pPr>
            <w:r>
              <w:rPr>
                <w:rFonts w:cs="Times New Roman"/>
                <w:sz w:val="20"/>
                <w:szCs w:val="20"/>
              </w:rPr>
              <w:t>(0.155)</w:t>
            </w:r>
          </w:p>
          <w:p>
            <w:pPr>
              <w:pStyle w:val="Normal"/>
              <w:widowControl w:val="false"/>
              <w:spacing w:lineRule="auto" w:line="240" w:before="0" w:after="0"/>
              <w:rPr>
                <w:rFonts w:cs="Times New Roman"/>
                <w:sz w:val="20"/>
                <w:szCs w:val="20"/>
              </w:rPr>
            </w:pPr>
            <w:r>
              <w:rPr>
                <w:rFonts w:cs="Times New Roman"/>
                <w:sz w:val="20"/>
                <w:szCs w:val="20"/>
              </w:rPr>
            </w:r>
          </w:p>
          <w:p>
            <w:pPr>
              <w:pStyle w:val="Normal"/>
              <w:widowControl w:val="false"/>
              <w:spacing w:lineRule="auto" w:line="240" w:before="0" w:after="0"/>
              <w:jc w:val="center"/>
              <w:rPr>
                <w:rFonts w:cs="Times New Roman"/>
                <w:sz w:val="20"/>
                <w:szCs w:val="20"/>
              </w:rPr>
            </w:pPr>
            <w:r>
              <w:rPr>
                <w:rFonts w:cs="Times New Roman"/>
                <w:sz w:val="20"/>
                <w:szCs w:val="20"/>
              </w:rPr>
              <w:t>-0.00142</w:t>
            </w:r>
          </w:p>
          <w:p>
            <w:pPr>
              <w:pStyle w:val="Normal"/>
              <w:widowControl w:val="false"/>
              <w:spacing w:lineRule="auto" w:line="240" w:before="0" w:after="0"/>
              <w:jc w:val="center"/>
              <w:rPr>
                <w:rFonts w:cs="Times New Roman"/>
                <w:sz w:val="20"/>
                <w:szCs w:val="20"/>
              </w:rPr>
            </w:pPr>
            <w:r>
              <w:rPr>
                <w:rFonts w:cs="Times New Roman"/>
                <w:sz w:val="20"/>
                <w:szCs w:val="20"/>
              </w:rPr>
              <w:t>(0.0110)</w:t>
            </w:r>
          </w:p>
          <w:p>
            <w:pPr>
              <w:pStyle w:val="Normal"/>
              <w:widowControl w:val="false"/>
              <w:spacing w:lineRule="auto" w:line="240" w:before="0" w:after="0"/>
              <w:jc w:val="center"/>
              <w:rPr>
                <w:rFonts w:cs="Times New Roman"/>
                <w:sz w:val="20"/>
                <w:szCs w:val="20"/>
              </w:rPr>
            </w:pPr>
            <w:r>
              <w:rPr>
                <w:rFonts w:cs="Times New Roman"/>
                <w:sz w:val="20"/>
                <w:szCs w:val="20"/>
              </w:rPr>
            </w:r>
          </w:p>
          <w:p>
            <w:pPr>
              <w:pStyle w:val="Normal"/>
              <w:widowControl w:val="false"/>
              <w:spacing w:lineRule="auto" w:line="240" w:before="0" w:after="0"/>
              <w:jc w:val="center"/>
              <w:rPr>
                <w:rFonts w:cs="Times New Roman"/>
                <w:sz w:val="20"/>
                <w:szCs w:val="20"/>
              </w:rPr>
            </w:pPr>
            <w:r>
              <w:rPr>
                <w:rFonts w:cs="Times New Roman"/>
                <w:sz w:val="20"/>
                <w:szCs w:val="20"/>
              </w:rPr>
            </w:r>
          </w:p>
        </w:tc>
        <w:tc>
          <w:tcPr>
            <w:tcW w:w="1584" w:type="dxa"/>
            <w:tcBorders/>
          </w:tcPr>
          <w:p>
            <w:pPr>
              <w:pStyle w:val="Normal"/>
              <w:widowControl w:val="false"/>
              <w:spacing w:lineRule="auto" w:line="240" w:before="0" w:after="0"/>
              <w:jc w:val="center"/>
              <w:rPr>
                <w:rFonts w:cs="Times New Roman"/>
                <w:sz w:val="20"/>
                <w:szCs w:val="20"/>
              </w:rPr>
            </w:pPr>
            <w:r>
              <w:rPr>
                <w:rFonts w:cs="Times New Roman"/>
                <w:sz w:val="20"/>
                <w:szCs w:val="20"/>
              </w:rPr>
              <w:t>-0.0451</w:t>
            </w:r>
          </w:p>
          <w:p>
            <w:pPr>
              <w:pStyle w:val="Normal"/>
              <w:widowControl w:val="false"/>
              <w:spacing w:lineRule="auto" w:line="240" w:before="0" w:after="0"/>
              <w:jc w:val="center"/>
              <w:rPr>
                <w:rFonts w:cs="Times New Roman"/>
                <w:sz w:val="20"/>
                <w:szCs w:val="20"/>
              </w:rPr>
            </w:pPr>
            <w:r>
              <w:rPr>
                <w:rFonts w:cs="Times New Roman"/>
                <w:sz w:val="20"/>
                <w:szCs w:val="20"/>
              </w:rPr>
              <w:t>(0.143)</w:t>
            </w:r>
          </w:p>
          <w:p>
            <w:pPr>
              <w:pStyle w:val="Normal"/>
              <w:widowControl w:val="false"/>
              <w:spacing w:lineRule="auto" w:line="240" w:before="0" w:after="0"/>
              <w:jc w:val="center"/>
              <w:rPr>
                <w:rFonts w:cs="Times New Roman"/>
                <w:sz w:val="20"/>
                <w:szCs w:val="20"/>
              </w:rPr>
            </w:pPr>
            <w:r>
              <w:rPr>
                <w:rFonts w:cs="Times New Roman"/>
                <w:sz w:val="20"/>
                <w:szCs w:val="20"/>
              </w:rPr>
            </w:r>
          </w:p>
          <w:p>
            <w:pPr>
              <w:pStyle w:val="Normal"/>
              <w:widowControl w:val="false"/>
              <w:spacing w:lineRule="auto" w:line="240" w:before="0" w:after="0"/>
              <w:jc w:val="center"/>
              <w:rPr>
                <w:rFonts w:cs="Times New Roman"/>
                <w:sz w:val="20"/>
                <w:szCs w:val="20"/>
              </w:rPr>
            </w:pPr>
            <w:r>
              <w:rPr>
                <w:rFonts w:cs="Times New Roman"/>
                <w:sz w:val="20"/>
                <w:szCs w:val="20"/>
              </w:rPr>
            </w:r>
          </w:p>
          <w:p>
            <w:pPr>
              <w:pStyle w:val="Normal"/>
              <w:widowControl w:val="false"/>
              <w:spacing w:lineRule="auto" w:line="240" w:before="0" w:after="0"/>
              <w:jc w:val="center"/>
              <w:rPr>
                <w:rFonts w:cs="Times New Roman"/>
                <w:sz w:val="20"/>
                <w:szCs w:val="20"/>
              </w:rPr>
            </w:pPr>
            <w:r>
              <w:rPr>
                <w:rFonts w:cs="Times New Roman"/>
                <w:sz w:val="20"/>
                <w:szCs w:val="20"/>
              </w:rPr>
            </w:r>
          </w:p>
          <w:p>
            <w:pPr>
              <w:pStyle w:val="Normal"/>
              <w:widowControl w:val="false"/>
              <w:spacing w:lineRule="auto" w:line="240" w:before="0" w:after="0"/>
              <w:jc w:val="center"/>
              <w:rPr>
                <w:rFonts w:cs="Times New Roman"/>
                <w:sz w:val="20"/>
                <w:szCs w:val="20"/>
              </w:rPr>
            </w:pPr>
            <w:r>
              <w:rPr>
                <w:rFonts w:cs="Times New Roman"/>
                <w:sz w:val="20"/>
                <w:szCs w:val="20"/>
              </w:rPr>
            </w:r>
          </w:p>
          <w:p>
            <w:pPr>
              <w:pStyle w:val="Normal"/>
              <w:widowControl w:val="false"/>
              <w:spacing w:lineRule="auto" w:line="240" w:before="0" w:after="0"/>
              <w:jc w:val="center"/>
              <w:rPr>
                <w:rFonts w:cs="Times New Roman"/>
                <w:sz w:val="20"/>
                <w:szCs w:val="20"/>
              </w:rPr>
            </w:pPr>
            <w:r>
              <w:rPr>
                <w:rFonts w:cs="Times New Roman"/>
                <w:sz w:val="20"/>
                <w:szCs w:val="20"/>
              </w:rPr>
              <w:t>-0.0142</w:t>
            </w:r>
          </w:p>
          <w:p>
            <w:pPr>
              <w:pStyle w:val="Normal"/>
              <w:widowControl w:val="false"/>
              <w:spacing w:lineRule="auto" w:line="240" w:before="0" w:after="0"/>
              <w:jc w:val="center"/>
              <w:rPr>
                <w:rFonts w:cs="Times New Roman"/>
                <w:sz w:val="20"/>
                <w:szCs w:val="20"/>
              </w:rPr>
            </w:pPr>
            <w:r>
              <w:rPr>
                <w:rFonts w:cs="Times New Roman"/>
                <w:sz w:val="20"/>
                <w:szCs w:val="20"/>
              </w:rPr>
              <w:t>(0.0151)</w:t>
            </w:r>
          </w:p>
          <w:p>
            <w:pPr>
              <w:pStyle w:val="Normal"/>
              <w:widowControl w:val="false"/>
              <w:spacing w:lineRule="auto" w:line="240" w:before="0" w:after="0"/>
              <w:jc w:val="center"/>
              <w:rPr>
                <w:rFonts w:cs="Times New Roman"/>
                <w:sz w:val="20"/>
                <w:szCs w:val="20"/>
              </w:rPr>
            </w:pPr>
            <w:r>
              <w:rPr>
                <w:rFonts w:cs="Times New Roman"/>
                <w:sz w:val="20"/>
                <w:szCs w:val="20"/>
              </w:rPr>
            </w:r>
          </w:p>
          <w:p>
            <w:pPr>
              <w:pStyle w:val="Normal"/>
              <w:widowControl w:val="false"/>
              <w:spacing w:lineRule="auto" w:line="240" w:before="0" w:after="0"/>
              <w:jc w:val="center"/>
              <w:rPr>
                <w:rFonts w:cs="Times New Roman"/>
                <w:sz w:val="20"/>
                <w:szCs w:val="20"/>
              </w:rPr>
            </w:pPr>
            <w:r>
              <w:rPr>
                <w:rFonts w:cs="Times New Roman"/>
                <w:sz w:val="20"/>
                <w:szCs w:val="20"/>
              </w:rPr>
              <w:t>0.0267</w:t>
            </w:r>
          </w:p>
          <w:p>
            <w:pPr>
              <w:pStyle w:val="Normal"/>
              <w:widowControl w:val="false"/>
              <w:spacing w:lineRule="auto" w:line="240" w:before="0" w:after="0"/>
              <w:jc w:val="center"/>
              <w:rPr>
                <w:rFonts w:cs="Times New Roman"/>
                <w:sz w:val="20"/>
                <w:szCs w:val="20"/>
              </w:rPr>
            </w:pPr>
            <w:r>
              <w:rPr>
                <w:rFonts w:cs="Times New Roman"/>
                <w:sz w:val="20"/>
                <w:szCs w:val="20"/>
              </w:rPr>
              <w:t>(0.0216)</w:t>
            </w:r>
          </w:p>
        </w:tc>
        <w:tc>
          <w:tcPr>
            <w:tcW w:w="1585" w:type="dxa"/>
            <w:tcBorders/>
          </w:tcPr>
          <w:p>
            <w:pPr>
              <w:pStyle w:val="Normal"/>
              <w:widowControl w:val="false"/>
              <w:spacing w:lineRule="auto" w:line="240" w:before="0" w:after="0"/>
              <w:jc w:val="center"/>
              <w:rPr>
                <w:rFonts w:cs="Times New Roman"/>
                <w:sz w:val="20"/>
                <w:szCs w:val="20"/>
              </w:rPr>
            </w:pPr>
            <w:r>
              <w:rPr>
                <w:rFonts w:cs="Times New Roman"/>
                <w:sz w:val="20"/>
                <w:szCs w:val="20"/>
              </w:rPr>
            </w:r>
          </w:p>
          <w:p>
            <w:pPr>
              <w:pStyle w:val="Normal"/>
              <w:widowControl w:val="false"/>
              <w:spacing w:lineRule="auto" w:line="240" w:before="0" w:after="0"/>
              <w:jc w:val="center"/>
              <w:rPr>
                <w:rFonts w:cs="Times New Roman"/>
                <w:sz w:val="20"/>
                <w:szCs w:val="20"/>
              </w:rPr>
            </w:pPr>
            <w:r>
              <w:rPr>
                <w:rFonts w:cs="Times New Roman"/>
                <w:sz w:val="20"/>
                <w:szCs w:val="20"/>
              </w:rPr>
            </w:r>
          </w:p>
          <w:p>
            <w:pPr>
              <w:pStyle w:val="Normal"/>
              <w:widowControl w:val="false"/>
              <w:spacing w:lineRule="auto" w:line="240" w:before="0" w:after="0"/>
              <w:jc w:val="center"/>
              <w:rPr>
                <w:rFonts w:cs="Times New Roman"/>
                <w:sz w:val="20"/>
                <w:szCs w:val="20"/>
              </w:rPr>
            </w:pPr>
            <w:r>
              <w:rPr>
                <w:rFonts w:cs="Times New Roman"/>
                <w:sz w:val="20"/>
                <w:szCs w:val="20"/>
              </w:rPr>
            </w:r>
          </w:p>
          <w:p>
            <w:pPr>
              <w:pStyle w:val="Normal"/>
              <w:widowControl w:val="false"/>
              <w:spacing w:lineRule="auto" w:line="240" w:before="0" w:after="0"/>
              <w:jc w:val="center"/>
              <w:rPr>
                <w:rFonts w:cs="Times New Roman"/>
                <w:sz w:val="20"/>
                <w:szCs w:val="20"/>
              </w:rPr>
            </w:pPr>
            <w:r>
              <w:rPr>
                <w:rFonts w:cs="Times New Roman"/>
                <w:sz w:val="20"/>
                <w:szCs w:val="20"/>
              </w:rPr>
              <w:t>-0.0544</w:t>
            </w:r>
          </w:p>
          <w:p>
            <w:pPr>
              <w:pStyle w:val="Normal"/>
              <w:widowControl w:val="false"/>
              <w:spacing w:lineRule="auto" w:line="240" w:before="0" w:after="0"/>
              <w:jc w:val="center"/>
              <w:rPr>
                <w:rFonts w:cs="Times New Roman"/>
                <w:sz w:val="20"/>
                <w:szCs w:val="20"/>
              </w:rPr>
            </w:pPr>
            <w:r>
              <w:rPr>
                <w:rFonts w:cs="Times New Roman"/>
                <w:sz w:val="20"/>
                <w:szCs w:val="20"/>
              </w:rPr>
              <w:t>(0.155)</w:t>
            </w:r>
          </w:p>
          <w:p>
            <w:pPr>
              <w:pStyle w:val="Normal"/>
              <w:widowControl w:val="false"/>
              <w:spacing w:lineRule="auto" w:line="240" w:before="0" w:after="0"/>
              <w:jc w:val="center"/>
              <w:rPr>
                <w:rFonts w:cs="Times New Roman"/>
                <w:sz w:val="20"/>
                <w:szCs w:val="20"/>
              </w:rPr>
            </w:pPr>
            <w:r>
              <w:rPr>
                <w:rFonts w:cs="Times New Roman"/>
                <w:sz w:val="20"/>
                <w:szCs w:val="20"/>
              </w:rPr>
            </w:r>
          </w:p>
          <w:p>
            <w:pPr>
              <w:pStyle w:val="Normal"/>
              <w:widowControl w:val="false"/>
              <w:spacing w:lineRule="auto" w:line="240" w:before="0" w:after="0"/>
              <w:jc w:val="center"/>
              <w:rPr>
                <w:rFonts w:cs="Times New Roman"/>
                <w:sz w:val="20"/>
                <w:szCs w:val="20"/>
              </w:rPr>
            </w:pPr>
            <w:r>
              <w:rPr>
                <w:rFonts w:cs="Times New Roman"/>
                <w:sz w:val="20"/>
                <w:szCs w:val="20"/>
              </w:rPr>
              <w:t>-0.0290**</w:t>
            </w:r>
          </w:p>
          <w:p>
            <w:pPr>
              <w:pStyle w:val="Normal"/>
              <w:widowControl w:val="false"/>
              <w:spacing w:lineRule="auto" w:line="240" w:before="0" w:after="0"/>
              <w:jc w:val="center"/>
              <w:rPr>
                <w:rFonts w:cs="Times New Roman"/>
                <w:sz w:val="20"/>
                <w:szCs w:val="20"/>
              </w:rPr>
            </w:pPr>
            <w:r>
              <w:rPr>
                <w:rFonts w:cs="Times New Roman"/>
                <w:sz w:val="20"/>
                <w:szCs w:val="20"/>
              </w:rPr>
              <w:t>(0.0133)</w:t>
            </w:r>
          </w:p>
          <w:p>
            <w:pPr>
              <w:pStyle w:val="Normal"/>
              <w:widowControl w:val="false"/>
              <w:spacing w:lineRule="auto" w:line="240" w:before="0" w:after="0"/>
              <w:jc w:val="center"/>
              <w:rPr>
                <w:rFonts w:cs="Times New Roman"/>
                <w:sz w:val="20"/>
                <w:szCs w:val="20"/>
              </w:rPr>
            </w:pPr>
            <w:r>
              <w:rPr>
                <w:rFonts w:cs="Times New Roman"/>
                <w:sz w:val="20"/>
                <w:szCs w:val="20"/>
              </w:rPr>
            </w:r>
          </w:p>
          <w:p>
            <w:pPr>
              <w:pStyle w:val="Normal"/>
              <w:widowControl w:val="false"/>
              <w:spacing w:lineRule="auto" w:line="240" w:before="0" w:after="0"/>
              <w:jc w:val="center"/>
              <w:rPr>
                <w:rFonts w:cs="Times New Roman"/>
                <w:sz w:val="20"/>
                <w:szCs w:val="20"/>
              </w:rPr>
            </w:pPr>
            <w:r>
              <w:rPr>
                <w:rFonts w:cs="Times New Roman"/>
                <w:sz w:val="20"/>
                <w:szCs w:val="20"/>
              </w:rPr>
            </w:r>
          </w:p>
          <w:p>
            <w:pPr>
              <w:pStyle w:val="Normal"/>
              <w:widowControl w:val="false"/>
              <w:spacing w:lineRule="auto" w:line="240" w:before="0" w:after="0"/>
              <w:jc w:val="center"/>
              <w:rPr>
                <w:rFonts w:cs="Times New Roman"/>
                <w:sz w:val="20"/>
                <w:szCs w:val="20"/>
              </w:rPr>
            </w:pPr>
            <w:r>
              <w:rPr>
                <w:rFonts w:cs="Times New Roman"/>
                <w:sz w:val="20"/>
                <w:szCs w:val="20"/>
              </w:rPr>
            </w:r>
          </w:p>
          <w:p>
            <w:pPr>
              <w:pStyle w:val="Normal"/>
              <w:widowControl w:val="false"/>
              <w:spacing w:lineRule="auto" w:line="240" w:before="0" w:after="0"/>
              <w:jc w:val="center"/>
              <w:rPr>
                <w:rFonts w:cs="Times New Roman"/>
                <w:sz w:val="20"/>
                <w:szCs w:val="20"/>
              </w:rPr>
            </w:pPr>
            <w:r>
              <w:rPr>
                <w:rFonts w:cs="Times New Roman"/>
                <w:sz w:val="20"/>
                <w:szCs w:val="20"/>
              </w:rPr>
            </w:r>
          </w:p>
          <w:p>
            <w:pPr>
              <w:pStyle w:val="Normal"/>
              <w:widowControl w:val="false"/>
              <w:spacing w:lineRule="auto" w:line="240" w:before="0" w:after="0"/>
              <w:jc w:val="center"/>
              <w:rPr>
                <w:rFonts w:cs="Times New Roman"/>
                <w:sz w:val="20"/>
                <w:szCs w:val="20"/>
              </w:rPr>
            </w:pPr>
            <w:r>
              <w:rPr>
                <w:rFonts w:cs="Times New Roman"/>
                <w:sz w:val="20"/>
                <w:szCs w:val="20"/>
              </w:rPr>
              <w:t>0.0835***</w:t>
            </w:r>
          </w:p>
          <w:p>
            <w:pPr>
              <w:pStyle w:val="Normal"/>
              <w:widowControl w:val="false"/>
              <w:spacing w:lineRule="auto" w:line="240" w:before="0" w:after="0"/>
              <w:jc w:val="center"/>
              <w:rPr>
                <w:rFonts w:cs="Times New Roman"/>
                <w:sz w:val="20"/>
                <w:szCs w:val="20"/>
              </w:rPr>
            </w:pPr>
            <w:r>
              <w:rPr>
                <w:rFonts w:cs="Times New Roman"/>
                <w:sz w:val="20"/>
                <w:szCs w:val="20"/>
              </w:rPr>
              <w:t>(0.0230)</w:t>
            </w:r>
          </w:p>
        </w:tc>
      </w:tr>
      <w:tr>
        <w:trPr/>
        <w:tc>
          <w:tcPr>
            <w:tcW w:w="2523" w:type="dxa"/>
            <w:tcBorders/>
          </w:tcPr>
          <w:p>
            <w:pPr>
              <w:pStyle w:val="Normal"/>
              <w:widowControl w:val="false"/>
              <w:spacing w:lineRule="auto" w:line="240" w:before="0" w:after="0"/>
              <w:rPr>
                <w:rFonts w:cs="Times New Roman"/>
                <w:sz w:val="20"/>
                <w:szCs w:val="20"/>
              </w:rPr>
            </w:pPr>
            <w:r>
              <w:rPr>
                <w:rFonts w:cs="Times New Roman"/>
                <w:sz w:val="20"/>
                <w:szCs w:val="20"/>
              </w:rPr>
            </w:r>
          </w:p>
        </w:tc>
        <w:tc>
          <w:tcPr>
            <w:tcW w:w="2159" w:type="dxa"/>
            <w:tcBorders/>
          </w:tcPr>
          <w:p>
            <w:pPr>
              <w:pStyle w:val="Normal"/>
              <w:widowControl w:val="false"/>
              <w:spacing w:lineRule="auto" w:line="240" w:before="0" w:after="0"/>
              <w:jc w:val="center"/>
              <w:rPr>
                <w:rFonts w:cs="Times New Roman"/>
                <w:sz w:val="20"/>
                <w:szCs w:val="20"/>
              </w:rPr>
            </w:pPr>
            <w:r>
              <w:rPr>
                <w:rFonts w:cs="Times New Roman"/>
                <w:sz w:val="20"/>
                <w:szCs w:val="20"/>
              </w:rPr>
            </w:r>
          </w:p>
        </w:tc>
        <w:tc>
          <w:tcPr>
            <w:tcW w:w="1440" w:type="dxa"/>
            <w:tcBorders/>
          </w:tcPr>
          <w:p>
            <w:pPr>
              <w:pStyle w:val="Normal"/>
              <w:widowControl w:val="false"/>
              <w:spacing w:lineRule="auto" w:line="240" w:before="0" w:after="0"/>
              <w:jc w:val="center"/>
              <w:rPr>
                <w:rFonts w:cs="Times New Roman"/>
                <w:sz w:val="20"/>
                <w:szCs w:val="20"/>
              </w:rPr>
            </w:pPr>
            <w:r>
              <w:rPr>
                <w:rFonts w:cs="Times New Roman"/>
                <w:sz w:val="20"/>
                <w:szCs w:val="20"/>
              </w:rPr>
            </w:r>
          </w:p>
        </w:tc>
        <w:tc>
          <w:tcPr>
            <w:tcW w:w="1584" w:type="dxa"/>
            <w:tcBorders/>
          </w:tcPr>
          <w:p>
            <w:pPr>
              <w:pStyle w:val="Normal"/>
              <w:widowControl w:val="false"/>
              <w:spacing w:lineRule="auto" w:line="240" w:before="0" w:after="0"/>
              <w:jc w:val="center"/>
              <w:rPr>
                <w:rFonts w:cs="Times New Roman"/>
                <w:sz w:val="20"/>
                <w:szCs w:val="20"/>
              </w:rPr>
            </w:pPr>
            <w:r>
              <w:rPr>
                <w:rFonts w:cs="Times New Roman"/>
                <w:sz w:val="20"/>
                <w:szCs w:val="20"/>
              </w:rPr>
            </w:r>
          </w:p>
        </w:tc>
        <w:tc>
          <w:tcPr>
            <w:tcW w:w="1585" w:type="dxa"/>
            <w:tcBorders/>
          </w:tcPr>
          <w:p>
            <w:pPr>
              <w:pStyle w:val="Normal"/>
              <w:widowControl w:val="false"/>
              <w:spacing w:lineRule="auto" w:line="240" w:before="0" w:after="0"/>
              <w:jc w:val="center"/>
              <w:rPr>
                <w:rFonts w:cs="Times New Roman"/>
                <w:sz w:val="20"/>
                <w:szCs w:val="20"/>
              </w:rPr>
            </w:pPr>
            <w:r>
              <w:rPr>
                <w:rFonts w:cs="Times New Roman"/>
                <w:sz w:val="20"/>
                <w:szCs w:val="20"/>
              </w:rPr>
            </w:r>
          </w:p>
        </w:tc>
      </w:tr>
      <w:tr>
        <w:trPr/>
        <w:tc>
          <w:tcPr>
            <w:tcW w:w="2523" w:type="dxa"/>
            <w:tcBorders/>
          </w:tcPr>
          <w:p>
            <w:pPr>
              <w:pStyle w:val="Normal"/>
              <w:widowControl w:val="false"/>
              <w:spacing w:lineRule="auto" w:line="240" w:before="0" w:after="0"/>
              <w:rPr>
                <w:rFonts w:cs="Times New Roman"/>
                <w:sz w:val="20"/>
                <w:szCs w:val="20"/>
              </w:rPr>
            </w:pPr>
            <w:r>
              <w:rPr>
                <w:rFonts w:cs="Times New Roman"/>
                <w:sz w:val="20"/>
                <w:szCs w:val="20"/>
              </w:rPr>
              <w:t>alder</w:t>
            </w:r>
          </w:p>
          <w:p>
            <w:pPr>
              <w:pStyle w:val="Normal"/>
              <w:widowControl w:val="false"/>
              <w:spacing w:lineRule="auto" w:line="240" w:before="0" w:after="0"/>
              <w:rPr>
                <w:rFonts w:cs="Times New Roman"/>
                <w:sz w:val="20"/>
                <w:szCs w:val="20"/>
              </w:rPr>
            </w:pPr>
            <w:r>
              <w:rPr>
                <w:rFonts w:cs="Times New Roman"/>
                <w:sz w:val="20"/>
                <w:szCs w:val="20"/>
              </w:rPr>
            </w:r>
          </w:p>
        </w:tc>
        <w:tc>
          <w:tcPr>
            <w:tcW w:w="2159" w:type="dxa"/>
            <w:tcBorders/>
          </w:tcPr>
          <w:p>
            <w:pPr>
              <w:pStyle w:val="Normal"/>
              <w:widowControl w:val="false"/>
              <w:spacing w:lineRule="auto" w:line="240" w:before="0" w:after="0"/>
              <w:jc w:val="center"/>
              <w:rPr>
                <w:rFonts w:cs="Times New Roman"/>
                <w:sz w:val="20"/>
                <w:szCs w:val="20"/>
              </w:rPr>
            </w:pPr>
            <w:r>
              <w:rPr>
                <w:rFonts w:cs="Times New Roman"/>
                <w:sz w:val="20"/>
                <w:szCs w:val="20"/>
              </w:rPr>
              <w:t>0.00301***</w:t>
            </w:r>
          </w:p>
          <w:p>
            <w:pPr>
              <w:pStyle w:val="Normal"/>
              <w:widowControl w:val="false"/>
              <w:spacing w:lineRule="auto" w:line="240" w:before="0" w:after="0"/>
              <w:jc w:val="center"/>
              <w:rPr>
                <w:rFonts w:cs="Times New Roman"/>
                <w:sz w:val="20"/>
                <w:szCs w:val="20"/>
              </w:rPr>
            </w:pPr>
            <w:r>
              <w:rPr>
                <w:rFonts w:cs="Times New Roman"/>
                <w:sz w:val="20"/>
                <w:szCs w:val="20"/>
              </w:rPr>
              <w:t>(0.000407)</w:t>
            </w:r>
          </w:p>
        </w:tc>
        <w:tc>
          <w:tcPr>
            <w:tcW w:w="1440" w:type="dxa"/>
            <w:tcBorders/>
          </w:tcPr>
          <w:p>
            <w:pPr>
              <w:pStyle w:val="Normal"/>
              <w:widowControl w:val="false"/>
              <w:spacing w:lineRule="auto" w:line="240" w:before="0" w:after="0"/>
              <w:jc w:val="center"/>
              <w:rPr>
                <w:rFonts w:cs="Times New Roman"/>
                <w:sz w:val="20"/>
                <w:szCs w:val="20"/>
              </w:rPr>
            </w:pPr>
            <w:r>
              <w:rPr>
                <w:rFonts w:cs="Times New Roman"/>
                <w:sz w:val="20"/>
                <w:szCs w:val="20"/>
              </w:rPr>
              <w:t>0.00301***</w:t>
            </w:r>
          </w:p>
          <w:p>
            <w:pPr>
              <w:pStyle w:val="Normal"/>
              <w:widowControl w:val="false"/>
              <w:spacing w:lineRule="auto" w:line="240" w:before="0" w:after="0"/>
              <w:jc w:val="center"/>
              <w:rPr>
                <w:rFonts w:cs="Times New Roman"/>
                <w:sz w:val="20"/>
                <w:szCs w:val="20"/>
              </w:rPr>
            </w:pPr>
            <w:r>
              <w:rPr>
                <w:rFonts w:cs="Times New Roman"/>
                <w:sz w:val="20"/>
                <w:szCs w:val="20"/>
              </w:rPr>
              <w:t>(0.000407)</w:t>
            </w:r>
          </w:p>
        </w:tc>
        <w:tc>
          <w:tcPr>
            <w:tcW w:w="1584" w:type="dxa"/>
            <w:tcBorders/>
          </w:tcPr>
          <w:p>
            <w:pPr>
              <w:pStyle w:val="Normal"/>
              <w:widowControl w:val="false"/>
              <w:spacing w:lineRule="auto" w:line="240" w:before="0" w:after="0"/>
              <w:jc w:val="center"/>
              <w:rPr>
                <w:rFonts w:cs="Times New Roman"/>
                <w:sz w:val="20"/>
                <w:szCs w:val="20"/>
              </w:rPr>
            </w:pPr>
            <w:r>
              <w:rPr>
                <w:rFonts w:cs="Times New Roman"/>
                <w:sz w:val="20"/>
                <w:szCs w:val="20"/>
              </w:rPr>
              <w:t>0.00299***</w:t>
            </w:r>
          </w:p>
          <w:p>
            <w:pPr>
              <w:pStyle w:val="Normal"/>
              <w:widowControl w:val="false"/>
              <w:spacing w:lineRule="auto" w:line="240" w:before="0" w:after="0"/>
              <w:jc w:val="center"/>
              <w:rPr>
                <w:rFonts w:cs="Times New Roman"/>
                <w:sz w:val="20"/>
                <w:szCs w:val="20"/>
              </w:rPr>
            </w:pPr>
            <w:r>
              <w:rPr>
                <w:rFonts w:cs="Times New Roman"/>
                <w:sz w:val="20"/>
                <w:szCs w:val="20"/>
              </w:rPr>
              <w:t>(0.000407)</w:t>
            </w:r>
          </w:p>
        </w:tc>
        <w:tc>
          <w:tcPr>
            <w:tcW w:w="1585" w:type="dxa"/>
            <w:tcBorders/>
          </w:tcPr>
          <w:p>
            <w:pPr>
              <w:pStyle w:val="Normal"/>
              <w:widowControl w:val="false"/>
              <w:spacing w:lineRule="auto" w:line="240" w:before="0" w:after="0"/>
              <w:jc w:val="center"/>
              <w:rPr>
                <w:rFonts w:cs="Times New Roman"/>
                <w:sz w:val="20"/>
                <w:szCs w:val="20"/>
              </w:rPr>
            </w:pPr>
            <w:r>
              <w:rPr>
                <w:rFonts w:cs="Times New Roman"/>
                <w:sz w:val="20"/>
                <w:szCs w:val="20"/>
              </w:rPr>
              <w:t>0.00293***</w:t>
            </w:r>
          </w:p>
          <w:p>
            <w:pPr>
              <w:pStyle w:val="Normal"/>
              <w:widowControl w:val="false"/>
              <w:spacing w:lineRule="auto" w:line="240" w:before="0" w:after="0"/>
              <w:jc w:val="center"/>
              <w:rPr>
                <w:rFonts w:cs="Times New Roman"/>
                <w:sz w:val="20"/>
                <w:szCs w:val="20"/>
              </w:rPr>
            </w:pPr>
            <w:r>
              <w:rPr>
                <w:rFonts w:cs="Times New Roman"/>
                <w:sz w:val="20"/>
                <w:szCs w:val="20"/>
              </w:rPr>
              <w:t>(0.000407)</w:t>
            </w:r>
          </w:p>
        </w:tc>
      </w:tr>
      <w:tr>
        <w:trPr/>
        <w:tc>
          <w:tcPr>
            <w:tcW w:w="2523" w:type="dxa"/>
            <w:tcBorders/>
          </w:tcPr>
          <w:p>
            <w:pPr>
              <w:pStyle w:val="Normal"/>
              <w:widowControl w:val="false"/>
              <w:spacing w:lineRule="auto" w:line="240" w:before="0" w:after="0"/>
              <w:rPr>
                <w:rFonts w:cs="Times New Roman"/>
                <w:sz w:val="20"/>
                <w:szCs w:val="20"/>
              </w:rPr>
            </w:pPr>
            <w:r>
              <w:rPr>
                <w:rFonts w:cs="Times New Roman"/>
                <w:sz w:val="20"/>
                <w:szCs w:val="20"/>
              </w:rPr>
            </w:r>
          </w:p>
        </w:tc>
        <w:tc>
          <w:tcPr>
            <w:tcW w:w="2159" w:type="dxa"/>
            <w:tcBorders/>
          </w:tcPr>
          <w:p>
            <w:pPr>
              <w:pStyle w:val="Normal"/>
              <w:widowControl w:val="false"/>
              <w:spacing w:lineRule="auto" w:line="240" w:before="0" w:after="0"/>
              <w:jc w:val="center"/>
              <w:rPr>
                <w:rFonts w:cs="Times New Roman"/>
                <w:sz w:val="20"/>
                <w:szCs w:val="20"/>
              </w:rPr>
            </w:pPr>
            <w:r>
              <w:rPr>
                <w:rFonts w:cs="Times New Roman"/>
                <w:sz w:val="20"/>
                <w:szCs w:val="20"/>
              </w:rPr>
            </w:r>
          </w:p>
        </w:tc>
        <w:tc>
          <w:tcPr>
            <w:tcW w:w="1440" w:type="dxa"/>
            <w:tcBorders/>
          </w:tcPr>
          <w:p>
            <w:pPr>
              <w:pStyle w:val="Normal"/>
              <w:widowControl w:val="false"/>
              <w:spacing w:lineRule="auto" w:line="240" w:before="0" w:after="0"/>
              <w:jc w:val="center"/>
              <w:rPr>
                <w:rFonts w:cs="Times New Roman"/>
                <w:sz w:val="20"/>
                <w:szCs w:val="20"/>
              </w:rPr>
            </w:pPr>
            <w:r>
              <w:rPr>
                <w:rFonts w:cs="Times New Roman"/>
                <w:sz w:val="20"/>
                <w:szCs w:val="20"/>
              </w:rPr>
            </w:r>
          </w:p>
        </w:tc>
        <w:tc>
          <w:tcPr>
            <w:tcW w:w="1584" w:type="dxa"/>
            <w:tcBorders/>
          </w:tcPr>
          <w:p>
            <w:pPr>
              <w:pStyle w:val="Normal"/>
              <w:widowControl w:val="false"/>
              <w:spacing w:lineRule="auto" w:line="240" w:before="0" w:after="0"/>
              <w:jc w:val="center"/>
              <w:rPr>
                <w:rFonts w:cs="Times New Roman"/>
                <w:sz w:val="20"/>
                <w:szCs w:val="20"/>
              </w:rPr>
            </w:pPr>
            <w:r>
              <w:rPr>
                <w:rFonts w:cs="Times New Roman"/>
                <w:sz w:val="20"/>
                <w:szCs w:val="20"/>
              </w:rPr>
            </w:r>
          </w:p>
        </w:tc>
        <w:tc>
          <w:tcPr>
            <w:tcW w:w="1585" w:type="dxa"/>
            <w:tcBorders/>
          </w:tcPr>
          <w:p>
            <w:pPr>
              <w:pStyle w:val="Normal"/>
              <w:widowControl w:val="false"/>
              <w:spacing w:lineRule="auto" w:line="240" w:before="0" w:after="0"/>
              <w:jc w:val="center"/>
              <w:rPr>
                <w:rFonts w:cs="Times New Roman"/>
                <w:sz w:val="20"/>
                <w:szCs w:val="20"/>
              </w:rPr>
            </w:pPr>
            <w:r>
              <w:rPr>
                <w:rFonts w:cs="Times New Roman"/>
                <w:sz w:val="20"/>
                <w:szCs w:val="20"/>
              </w:rPr>
            </w:r>
          </w:p>
        </w:tc>
      </w:tr>
      <w:tr>
        <w:trPr/>
        <w:tc>
          <w:tcPr>
            <w:tcW w:w="2523" w:type="dxa"/>
            <w:tcBorders/>
          </w:tcPr>
          <w:p>
            <w:pPr>
              <w:pStyle w:val="Normal"/>
              <w:widowControl w:val="false"/>
              <w:spacing w:lineRule="auto" w:line="240" w:before="0" w:after="0"/>
              <w:rPr>
                <w:rFonts w:cs="Times New Roman"/>
                <w:sz w:val="20"/>
                <w:szCs w:val="20"/>
              </w:rPr>
            </w:pPr>
            <w:r>
              <w:rPr>
                <w:rFonts w:cs="Times New Roman"/>
                <w:sz w:val="20"/>
                <w:szCs w:val="20"/>
              </w:rPr>
              <w:t>uteninntekt</w:t>
            </w:r>
          </w:p>
          <w:p>
            <w:pPr>
              <w:pStyle w:val="Normal"/>
              <w:widowControl w:val="false"/>
              <w:spacing w:lineRule="auto" w:line="240" w:before="0" w:after="0"/>
              <w:rPr>
                <w:rFonts w:cs="Times New Roman"/>
                <w:sz w:val="20"/>
                <w:szCs w:val="20"/>
              </w:rPr>
            </w:pPr>
            <w:r>
              <w:rPr>
                <w:rFonts w:cs="Times New Roman"/>
                <w:sz w:val="20"/>
                <w:szCs w:val="20"/>
              </w:rPr>
            </w:r>
          </w:p>
          <w:p>
            <w:pPr>
              <w:pStyle w:val="Normal"/>
              <w:widowControl w:val="false"/>
              <w:spacing w:lineRule="auto" w:line="240" w:before="0" w:after="0"/>
              <w:rPr>
                <w:rFonts w:cs="Times New Roman"/>
                <w:sz w:val="20"/>
                <w:szCs w:val="20"/>
              </w:rPr>
            </w:pPr>
            <w:r>
              <w:rPr>
                <w:rFonts w:cs="Times New Roman"/>
                <w:sz w:val="20"/>
                <w:szCs w:val="20"/>
              </w:rPr>
            </w:r>
          </w:p>
          <w:p>
            <w:pPr>
              <w:pStyle w:val="Normal"/>
              <w:widowControl w:val="false"/>
              <w:spacing w:lineRule="auto" w:line="240" w:before="0" w:after="0"/>
              <w:rPr>
                <w:rFonts w:cs="Times New Roman"/>
                <w:b/>
                <w:b/>
                <w:bCs/>
                <w:sz w:val="20"/>
                <w:szCs w:val="20"/>
              </w:rPr>
            </w:pPr>
            <w:r>
              <w:rPr>
                <w:rFonts w:cs="Times New Roman"/>
                <w:b/>
                <w:bCs/>
                <w:sz w:val="20"/>
                <w:szCs w:val="20"/>
              </w:rPr>
              <w:t>Utdanning</w:t>
            </w:r>
            <w:r>
              <w:rPr>
                <w:rFonts w:cs="Times New Roman"/>
                <w:b/>
                <w:bCs/>
                <w:sz w:val="20"/>
                <w:szCs w:val="20"/>
                <w:vertAlign w:val="superscript"/>
              </w:rPr>
              <w:t>c</w:t>
            </w:r>
          </w:p>
        </w:tc>
        <w:tc>
          <w:tcPr>
            <w:tcW w:w="2159" w:type="dxa"/>
            <w:tcBorders/>
          </w:tcPr>
          <w:p>
            <w:pPr>
              <w:pStyle w:val="Normal"/>
              <w:widowControl w:val="false"/>
              <w:spacing w:lineRule="auto" w:line="240" w:before="0" w:after="0"/>
              <w:jc w:val="center"/>
              <w:rPr>
                <w:rFonts w:cs="Times New Roman"/>
                <w:sz w:val="20"/>
                <w:szCs w:val="20"/>
              </w:rPr>
            </w:pPr>
            <w:r>
              <w:rPr>
                <w:rFonts w:cs="Times New Roman"/>
                <w:sz w:val="20"/>
                <w:szCs w:val="20"/>
              </w:rPr>
              <w:t>-0.142***</w:t>
            </w:r>
          </w:p>
          <w:p>
            <w:pPr>
              <w:pStyle w:val="Normal"/>
              <w:widowControl w:val="false"/>
              <w:spacing w:lineRule="auto" w:line="240" w:before="0" w:after="0"/>
              <w:jc w:val="center"/>
              <w:rPr>
                <w:rFonts w:cs="Times New Roman"/>
                <w:sz w:val="20"/>
                <w:szCs w:val="20"/>
              </w:rPr>
            </w:pPr>
            <w:r>
              <w:rPr>
                <w:rFonts w:cs="Times New Roman"/>
                <w:sz w:val="20"/>
                <w:szCs w:val="20"/>
              </w:rPr>
              <w:t>(0.0126)</w:t>
            </w:r>
          </w:p>
          <w:p>
            <w:pPr>
              <w:pStyle w:val="Normal"/>
              <w:widowControl w:val="false"/>
              <w:spacing w:lineRule="auto" w:line="240" w:before="0" w:after="0"/>
              <w:jc w:val="center"/>
              <w:rPr>
                <w:rFonts w:cs="Times New Roman"/>
                <w:sz w:val="20"/>
                <w:szCs w:val="20"/>
              </w:rPr>
            </w:pPr>
            <w:r>
              <w:rPr>
                <w:rFonts w:cs="Times New Roman"/>
                <w:sz w:val="20"/>
                <w:szCs w:val="20"/>
              </w:rPr>
            </w:r>
          </w:p>
        </w:tc>
        <w:tc>
          <w:tcPr>
            <w:tcW w:w="1440" w:type="dxa"/>
            <w:tcBorders/>
          </w:tcPr>
          <w:p>
            <w:pPr>
              <w:pStyle w:val="Normal"/>
              <w:widowControl w:val="false"/>
              <w:spacing w:lineRule="auto" w:line="240" w:before="0" w:after="0"/>
              <w:jc w:val="center"/>
              <w:rPr>
                <w:rFonts w:cs="Times New Roman"/>
                <w:sz w:val="20"/>
                <w:szCs w:val="20"/>
              </w:rPr>
            </w:pPr>
            <w:r>
              <w:rPr>
                <w:rFonts w:cs="Times New Roman"/>
                <w:sz w:val="20"/>
                <w:szCs w:val="20"/>
              </w:rPr>
              <w:t>-0.142***</w:t>
            </w:r>
          </w:p>
          <w:p>
            <w:pPr>
              <w:pStyle w:val="Normal"/>
              <w:widowControl w:val="false"/>
              <w:spacing w:lineRule="auto" w:line="240" w:before="0" w:after="0"/>
              <w:jc w:val="center"/>
              <w:rPr>
                <w:rFonts w:cs="Times New Roman"/>
                <w:sz w:val="20"/>
                <w:szCs w:val="20"/>
              </w:rPr>
            </w:pPr>
            <w:r>
              <w:rPr>
                <w:rFonts w:cs="Times New Roman"/>
                <w:sz w:val="20"/>
                <w:szCs w:val="20"/>
              </w:rPr>
              <w:t>(0.0126)</w:t>
            </w:r>
          </w:p>
        </w:tc>
        <w:tc>
          <w:tcPr>
            <w:tcW w:w="1584" w:type="dxa"/>
            <w:tcBorders/>
          </w:tcPr>
          <w:p>
            <w:pPr>
              <w:pStyle w:val="Normal"/>
              <w:widowControl w:val="false"/>
              <w:spacing w:lineRule="auto" w:line="240" w:before="0" w:after="0"/>
              <w:jc w:val="center"/>
              <w:rPr>
                <w:rFonts w:cs="Times New Roman"/>
                <w:sz w:val="20"/>
                <w:szCs w:val="20"/>
              </w:rPr>
            </w:pPr>
            <w:r>
              <w:rPr>
                <w:rFonts w:cs="Times New Roman"/>
                <w:sz w:val="20"/>
                <w:szCs w:val="20"/>
              </w:rPr>
              <w:t>-0.142***</w:t>
            </w:r>
          </w:p>
          <w:p>
            <w:pPr>
              <w:pStyle w:val="Normal"/>
              <w:widowControl w:val="false"/>
              <w:spacing w:lineRule="auto" w:line="240" w:before="0" w:after="0"/>
              <w:jc w:val="center"/>
              <w:rPr>
                <w:rFonts w:cs="Times New Roman"/>
                <w:sz w:val="20"/>
                <w:szCs w:val="20"/>
              </w:rPr>
            </w:pPr>
            <w:r>
              <w:rPr>
                <w:rFonts w:cs="Times New Roman"/>
                <w:sz w:val="20"/>
                <w:szCs w:val="20"/>
              </w:rPr>
              <w:t>(0.0126)</w:t>
            </w:r>
          </w:p>
        </w:tc>
        <w:tc>
          <w:tcPr>
            <w:tcW w:w="1585" w:type="dxa"/>
            <w:tcBorders/>
          </w:tcPr>
          <w:p>
            <w:pPr>
              <w:pStyle w:val="Normal"/>
              <w:widowControl w:val="false"/>
              <w:spacing w:lineRule="auto" w:line="240" w:before="0" w:after="0"/>
              <w:jc w:val="center"/>
              <w:rPr>
                <w:rFonts w:cs="Times New Roman"/>
                <w:sz w:val="20"/>
                <w:szCs w:val="20"/>
              </w:rPr>
            </w:pPr>
            <w:r>
              <w:rPr>
                <w:rFonts w:cs="Times New Roman"/>
                <w:sz w:val="20"/>
                <w:szCs w:val="20"/>
              </w:rPr>
              <w:t>-0.143***</w:t>
            </w:r>
          </w:p>
          <w:p>
            <w:pPr>
              <w:pStyle w:val="Normal"/>
              <w:widowControl w:val="false"/>
              <w:spacing w:lineRule="auto" w:line="240" w:before="0" w:after="0"/>
              <w:jc w:val="center"/>
              <w:rPr>
                <w:rFonts w:cs="Times New Roman"/>
                <w:sz w:val="20"/>
                <w:szCs w:val="20"/>
              </w:rPr>
            </w:pPr>
            <w:r>
              <w:rPr>
                <w:rFonts w:cs="Times New Roman"/>
                <w:sz w:val="20"/>
                <w:szCs w:val="20"/>
              </w:rPr>
              <w:t>(0.0126)</w:t>
            </w:r>
          </w:p>
        </w:tc>
      </w:tr>
      <w:tr>
        <w:trPr/>
        <w:tc>
          <w:tcPr>
            <w:tcW w:w="2523" w:type="dxa"/>
            <w:tcBorders/>
          </w:tcPr>
          <w:p>
            <w:pPr>
              <w:pStyle w:val="Normal"/>
              <w:widowControl w:val="false"/>
              <w:spacing w:lineRule="auto" w:line="240" w:before="0" w:after="0"/>
              <w:rPr>
                <w:rFonts w:cs="Times New Roman"/>
                <w:sz w:val="20"/>
                <w:szCs w:val="20"/>
              </w:rPr>
            </w:pPr>
            <w:r>
              <w:rPr>
                <w:rFonts w:cs="Times New Roman"/>
                <w:sz w:val="20"/>
                <w:szCs w:val="20"/>
              </w:rPr>
            </w:r>
          </w:p>
        </w:tc>
        <w:tc>
          <w:tcPr>
            <w:tcW w:w="2159" w:type="dxa"/>
            <w:tcBorders/>
          </w:tcPr>
          <w:p>
            <w:pPr>
              <w:pStyle w:val="Normal"/>
              <w:widowControl w:val="false"/>
              <w:spacing w:lineRule="auto" w:line="240" w:before="0" w:after="0"/>
              <w:jc w:val="center"/>
              <w:rPr>
                <w:rFonts w:cs="Times New Roman"/>
                <w:sz w:val="20"/>
                <w:szCs w:val="20"/>
              </w:rPr>
            </w:pPr>
            <w:r>
              <w:rPr>
                <w:rFonts w:cs="Times New Roman"/>
                <w:sz w:val="20"/>
                <w:szCs w:val="20"/>
              </w:rPr>
            </w:r>
          </w:p>
        </w:tc>
        <w:tc>
          <w:tcPr>
            <w:tcW w:w="1440" w:type="dxa"/>
            <w:tcBorders/>
          </w:tcPr>
          <w:p>
            <w:pPr>
              <w:pStyle w:val="Normal"/>
              <w:widowControl w:val="false"/>
              <w:spacing w:lineRule="auto" w:line="240" w:before="0" w:after="0"/>
              <w:jc w:val="center"/>
              <w:rPr>
                <w:rFonts w:cs="Times New Roman"/>
                <w:sz w:val="20"/>
                <w:szCs w:val="20"/>
              </w:rPr>
            </w:pPr>
            <w:r>
              <w:rPr>
                <w:rFonts w:cs="Times New Roman"/>
                <w:sz w:val="20"/>
                <w:szCs w:val="20"/>
              </w:rPr>
            </w:r>
          </w:p>
        </w:tc>
        <w:tc>
          <w:tcPr>
            <w:tcW w:w="1584" w:type="dxa"/>
            <w:tcBorders/>
          </w:tcPr>
          <w:p>
            <w:pPr>
              <w:pStyle w:val="Normal"/>
              <w:widowControl w:val="false"/>
              <w:spacing w:lineRule="auto" w:line="240" w:before="0" w:after="0"/>
              <w:jc w:val="center"/>
              <w:rPr>
                <w:rFonts w:cs="Times New Roman"/>
                <w:sz w:val="20"/>
                <w:szCs w:val="20"/>
              </w:rPr>
            </w:pPr>
            <w:r>
              <w:rPr>
                <w:rFonts w:cs="Times New Roman"/>
                <w:sz w:val="20"/>
                <w:szCs w:val="20"/>
              </w:rPr>
            </w:r>
          </w:p>
        </w:tc>
        <w:tc>
          <w:tcPr>
            <w:tcW w:w="1585" w:type="dxa"/>
            <w:tcBorders/>
          </w:tcPr>
          <w:p>
            <w:pPr>
              <w:pStyle w:val="Normal"/>
              <w:widowControl w:val="false"/>
              <w:spacing w:lineRule="auto" w:line="240" w:before="0" w:after="0"/>
              <w:jc w:val="center"/>
              <w:rPr>
                <w:rFonts w:cs="Times New Roman"/>
                <w:sz w:val="20"/>
                <w:szCs w:val="20"/>
              </w:rPr>
            </w:pPr>
            <w:r>
              <w:rPr>
                <w:rFonts w:cs="Times New Roman"/>
                <w:sz w:val="20"/>
                <w:szCs w:val="20"/>
              </w:rPr>
            </w:r>
          </w:p>
        </w:tc>
      </w:tr>
      <w:tr>
        <w:trPr/>
        <w:tc>
          <w:tcPr>
            <w:tcW w:w="2523" w:type="dxa"/>
            <w:tcBorders/>
          </w:tcPr>
          <w:p>
            <w:pPr>
              <w:pStyle w:val="Normal"/>
              <w:widowControl w:val="false"/>
              <w:spacing w:lineRule="auto" w:line="240" w:before="0" w:after="0"/>
              <w:rPr>
                <w:rFonts w:cs="Times New Roman"/>
                <w:sz w:val="20"/>
                <w:szCs w:val="20"/>
              </w:rPr>
            </w:pPr>
            <w:r>
              <w:rPr>
                <w:rFonts w:cs="Times New Roman"/>
                <w:sz w:val="20"/>
                <w:szCs w:val="20"/>
              </w:rPr>
              <w:t>Primær</w:t>
            </w:r>
          </w:p>
        </w:tc>
        <w:tc>
          <w:tcPr>
            <w:tcW w:w="2159" w:type="dxa"/>
            <w:tcBorders/>
          </w:tcPr>
          <w:p>
            <w:pPr>
              <w:pStyle w:val="Normal"/>
              <w:widowControl w:val="false"/>
              <w:spacing w:lineRule="auto" w:line="240" w:before="0" w:after="0"/>
              <w:jc w:val="center"/>
              <w:rPr>
                <w:rFonts w:cs="Times New Roman"/>
                <w:sz w:val="20"/>
                <w:szCs w:val="20"/>
              </w:rPr>
            </w:pPr>
            <w:r>
              <w:rPr>
                <w:rFonts w:cs="Times New Roman"/>
                <w:sz w:val="20"/>
                <w:szCs w:val="20"/>
              </w:rPr>
              <w:t>-0.115***</w:t>
            </w:r>
          </w:p>
        </w:tc>
        <w:tc>
          <w:tcPr>
            <w:tcW w:w="1440" w:type="dxa"/>
            <w:tcBorders/>
          </w:tcPr>
          <w:p>
            <w:pPr>
              <w:pStyle w:val="Normal"/>
              <w:widowControl w:val="false"/>
              <w:spacing w:lineRule="auto" w:line="240" w:before="0" w:after="0"/>
              <w:jc w:val="center"/>
              <w:rPr>
                <w:rFonts w:cs="Times New Roman"/>
                <w:sz w:val="20"/>
                <w:szCs w:val="20"/>
              </w:rPr>
            </w:pPr>
            <w:r>
              <w:rPr>
                <w:rFonts w:cs="Times New Roman"/>
                <w:sz w:val="20"/>
                <w:szCs w:val="20"/>
              </w:rPr>
              <w:t>-0.115***</w:t>
            </w:r>
          </w:p>
        </w:tc>
        <w:tc>
          <w:tcPr>
            <w:tcW w:w="1584" w:type="dxa"/>
            <w:tcBorders/>
          </w:tcPr>
          <w:p>
            <w:pPr>
              <w:pStyle w:val="Normal"/>
              <w:widowControl w:val="false"/>
              <w:spacing w:lineRule="auto" w:line="240" w:before="0" w:after="0"/>
              <w:jc w:val="center"/>
              <w:rPr>
                <w:rFonts w:cs="Times New Roman"/>
                <w:sz w:val="20"/>
                <w:szCs w:val="20"/>
              </w:rPr>
            </w:pPr>
            <w:r>
              <w:rPr>
                <w:rFonts w:cs="Times New Roman"/>
                <w:sz w:val="20"/>
                <w:szCs w:val="20"/>
              </w:rPr>
              <w:t>-0.115***</w:t>
            </w:r>
          </w:p>
        </w:tc>
        <w:tc>
          <w:tcPr>
            <w:tcW w:w="1585" w:type="dxa"/>
            <w:tcBorders/>
          </w:tcPr>
          <w:p>
            <w:pPr>
              <w:pStyle w:val="Normal"/>
              <w:widowControl w:val="false"/>
              <w:spacing w:lineRule="auto" w:line="240" w:before="0" w:after="0"/>
              <w:jc w:val="center"/>
              <w:rPr>
                <w:rFonts w:cs="Times New Roman"/>
                <w:sz w:val="20"/>
                <w:szCs w:val="20"/>
              </w:rPr>
            </w:pPr>
            <w:r>
              <w:rPr>
                <w:rFonts w:cs="Times New Roman"/>
                <w:sz w:val="20"/>
                <w:szCs w:val="20"/>
              </w:rPr>
              <w:t>-0.115***</w:t>
            </w:r>
          </w:p>
        </w:tc>
      </w:tr>
      <w:tr>
        <w:trPr/>
        <w:tc>
          <w:tcPr>
            <w:tcW w:w="2523" w:type="dxa"/>
            <w:tcBorders/>
          </w:tcPr>
          <w:p>
            <w:pPr>
              <w:pStyle w:val="Normal"/>
              <w:widowControl w:val="false"/>
              <w:spacing w:lineRule="auto" w:line="240" w:before="0" w:after="0"/>
              <w:rPr>
                <w:rFonts w:cs="Times New Roman"/>
                <w:sz w:val="20"/>
                <w:szCs w:val="20"/>
              </w:rPr>
            </w:pPr>
            <w:r>
              <w:rPr>
                <w:rFonts w:cs="Times New Roman"/>
                <w:sz w:val="20"/>
                <w:szCs w:val="20"/>
              </w:rPr>
            </w:r>
          </w:p>
        </w:tc>
        <w:tc>
          <w:tcPr>
            <w:tcW w:w="2159" w:type="dxa"/>
            <w:tcBorders/>
          </w:tcPr>
          <w:p>
            <w:pPr>
              <w:pStyle w:val="Normal"/>
              <w:widowControl w:val="false"/>
              <w:spacing w:lineRule="auto" w:line="240" w:before="0" w:after="0"/>
              <w:jc w:val="center"/>
              <w:rPr>
                <w:rFonts w:cs="Times New Roman"/>
                <w:sz w:val="20"/>
                <w:szCs w:val="20"/>
              </w:rPr>
            </w:pPr>
            <w:r>
              <w:rPr>
                <w:rFonts w:cs="Times New Roman"/>
                <w:sz w:val="20"/>
                <w:szCs w:val="20"/>
              </w:rPr>
              <w:t>(0.0172)</w:t>
            </w:r>
          </w:p>
        </w:tc>
        <w:tc>
          <w:tcPr>
            <w:tcW w:w="1440" w:type="dxa"/>
            <w:tcBorders/>
          </w:tcPr>
          <w:p>
            <w:pPr>
              <w:pStyle w:val="Normal"/>
              <w:widowControl w:val="false"/>
              <w:spacing w:lineRule="auto" w:line="240" w:before="0" w:after="0"/>
              <w:jc w:val="center"/>
              <w:rPr>
                <w:rFonts w:cs="Times New Roman"/>
                <w:sz w:val="20"/>
                <w:szCs w:val="20"/>
              </w:rPr>
            </w:pPr>
            <w:r>
              <w:rPr>
                <w:rFonts w:cs="Times New Roman"/>
                <w:sz w:val="20"/>
                <w:szCs w:val="20"/>
              </w:rPr>
              <w:t>(0.0172)</w:t>
            </w:r>
          </w:p>
        </w:tc>
        <w:tc>
          <w:tcPr>
            <w:tcW w:w="1584" w:type="dxa"/>
            <w:tcBorders/>
          </w:tcPr>
          <w:p>
            <w:pPr>
              <w:pStyle w:val="Normal"/>
              <w:widowControl w:val="false"/>
              <w:spacing w:lineRule="auto" w:line="240" w:before="0" w:after="0"/>
              <w:jc w:val="center"/>
              <w:rPr>
                <w:rFonts w:cs="Times New Roman"/>
                <w:sz w:val="20"/>
                <w:szCs w:val="20"/>
              </w:rPr>
            </w:pPr>
            <w:r>
              <w:rPr>
                <w:rFonts w:cs="Times New Roman"/>
                <w:sz w:val="20"/>
                <w:szCs w:val="20"/>
              </w:rPr>
              <w:t>(0.0172)</w:t>
            </w:r>
          </w:p>
        </w:tc>
        <w:tc>
          <w:tcPr>
            <w:tcW w:w="1585" w:type="dxa"/>
            <w:tcBorders/>
          </w:tcPr>
          <w:p>
            <w:pPr>
              <w:pStyle w:val="Normal"/>
              <w:widowControl w:val="false"/>
              <w:spacing w:lineRule="auto" w:line="240" w:before="0" w:after="0"/>
              <w:jc w:val="center"/>
              <w:rPr>
                <w:rFonts w:cs="Times New Roman"/>
                <w:sz w:val="20"/>
                <w:szCs w:val="20"/>
              </w:rPr>
            </w:pPr>
            <w:r>
              <w:rPr>
                <w:rFonts w:cs="Times New Roman"/>
                <w:sz w:val="20"/>
                <w:szCs w:val="20"/>
              </w:rPr>
              <w:t>(0.0172)</w:t>
            </w:r>
          </w:p>
        </w:tc>
      </w:tr>
      <w:tr>
        <w:trPr/>
        <w:tc>
          <w:tcPr>
            <w:tcW w:w="2523" w:type="dxa"/>
            <w:tcBorders/>
          </w:tcPr>
          <w:p>
            <w:pPr>
              <w:pStyle w:val="Normal"/>
              <w:widowControl w:val="false"/>
              <w:spacing w:lineRule="auto" w:line="240" w:before="0" w:after="0"/>
              <w:rPr>
                <w:rFonts w:cs="Times New Roman"/>
                <w:sz w:val="20"/>
                <w:szCs w:val="20"/>
              </w:rPr>
            </w:pPr>
            <w:r>
              <w:rPr>
                <w:rFonts w:cs="Times New Roman"/>
                <w:sz w:val="20"/>
                <w:szCs w:val="20"/>
              </w:rPr>
              <w:t>Sekundær</w:t>
            </w:r>
          </w:p>
        </w:tc>
        <w:tc>
          <w:tcPr>
            <w:tcW w:w="2159" w:type="dxa"/>
            <w:tcBorders/>
          </w:tcPr>
          <w:p>
            <w:pPr>
              <w:pStyle w:val="Normal"/>
              <w:widowControl w:val="false"/>
              <w:spacing w:lineRule="auto" w:line="240" w:before="0" w:after="0"/>
              <w:jc w:val="center"/>
              <w:rPr>
                <w:rFonts w:cs="Times New Roman"/>
                <w:sz w:val="20"/>
                <w:szCs w:val="20"/>
              </w:rPr>
            </w:pPr>
            <w:r>
              <w:rPr>
                <w:rFonts w:cs="Times New Roman"/>
                <w:sz w:val="20"/>
                <w:szCs w:val="20"/>
              </w:rPr>
              <w:t>-0.197***</w:t>
            </w:r>
          </w:p>
        </w:tc>
        <w:tc>
          <w:tcPr>
            <w:tcW w:w="1440" w:type="dxa"/>
            <w:tcBorders/>
          </w:tcPr>
          <w:p>
            <w:pPr>
              <w:pStyle w:val="Normal"/>
              <w:widowControl w:val="false"/>
              <w:spacing w:lineRule="auto" w:line="240" w:before="0" w:after="0"/>
              <w:jc w:val="center"/>
              <w:rPr>
                <w:rFonts w:cs="Times New Roman"/>
                <w:sz w:val="20"/>
                <w:szCs w:val="20"/>
              </w:rPr>
            </w:pPr>
            <w:r>
              <w:rPr>
                <w:rFonts w:cs="Times New Roman"/>
                <w:sz w:val="20"/>
                <w:szCs w:val="20"/>
              </w:rPr>
              <w:t>-0.197***</w:t>
            </w:r>
          </w:p>
        </w:tc>
        <w:tc>
          <w:tcPr>
            <w:tcW w:w="1584" w:type="dxa"/>
            <w:tcBorders/>
          </w:tcPr>
          <w:p>
            <w:pPr>
              <w:pStyle w:val="Normal"/>
              <w:widowControl w:val="false"/>
              <w:spacing w:lineRule="auto" w:line="240" w:before="0" w:after="0"/>
              <w:jc w:val="center"/>
              <w:rPr>
                <w:rFonts w:cs="Times New Roman"/>
                <w:sz w:val="20"/>
                <w:szCs w:val="20"/>
              </w:rPr>
            </w:pPr>
            <w:r>
              <w:rPr>
                <w:rFonts w:cs="Times New Roman"/>
                <w:sz w:val="20"/>
                <w:szCs w:val="20"/>
              </w:rPr>
              <w:t>-0.198***</w:t>
            </w:r>
          </w:p>
        </w:tc>
        <w:tc>
          <w:tcPr>
            <w:tcW w:w="1585" w:type="dxa"/>
            <w:tcBorders/>
          </w:tcPr>
          <w:p>
            <w:pPr>
              <w:pStyle w:val="Normal"/>
              <w:widowControl w:val="false"/>
              <w:spacing w:lineRule="auto" w:line="240" w:before="0" w:after="0"/>
              <w:jc w:val="center"/>
              <w:rPr>
                <w:rFonts w:cs="Times New Roman"/>
                <w:sz w:val="20"/>
                <w:szCs w:val="20"/>
              </w:rPr>
            </w:pPr>
            <w:r>
              <w:rPr>
                <w:rFonts w:cs="Times New Roman"/>
                <w:sz w:val="20"/>
                <w:szCs w:val="20"/>
              </w:rPr>
              <w:t>-0.200***</w:t>
            </w:r>
          </w:p>
        </w:tc>
      </w:tr>
      <w:tr>
        <w:trPr/>
        <w:tc>
          <w:tcPr>
            <w:tcW w:w="2523" w:type="dxa"/>
            <w:tcBorders/>
          </w:tcPr>
          <w:p>
            <w:pPr>
              <w:pStyle w:val="Normal"/>
              <w:widowControl w:val="false"/>
              <w:spacing w:lineRule="auto" w:line="240" w:before="0" w:after="0"/>
              <w:rPr>
                <w:rFonts w:cs="Times New Roman"/>
                <w:sz w:val="20"/>
                <w:szCs w:val="20"/>
              </w:rPr>
            </w:pPr>
            <w:r>
              <w:rPr>
                <w:rFonts w:cs="Times New Roman"/>
                <w:sz w:val="20"/>
                <w:szCs w:val="20"/>
              </w:rPr>
            </w:r>
          </w:p>
        </w:tc>
        <w:tc>
          <w:tcPr>
            <w:tcW w:w="2159" w:type="dxa"/>
            <w:tcBorders/>
          </w:tcPr>
          <w:p>
            <w:pPr>
              <w:pStyle w:val="Normal"/>
              <w:widowControl w:val="false"/>
              <w:spacing w:lineRule="auto" w:line="240" w:before="0" w:after="0"/>
              <w:jc w:val="center"/>
              <w:rPr>
                <w:rFonts w:cs="Times New Roman"/>
                <w:sz w:val="20"/>
                <w:szCs w:val="20"/>
              </w:rPr>
            </w:pPr>
            <w:r>
              <w:rPr>
                <w:rFonts w:cs="Times New Roman"/>
                <w:sz w:val="20"/>
                <w:szCs w:val="20"/>
              </w:rPr>
              <w:t>(0.0174)</w:t>
            </w:r>
          </w:p>
        </w:tc>
        <w:tc>
          <w:tcPr>
            <w:tcW w:w="1440" w:type="dxa"/>
            <w:tcBorders/>
          </w:tcPr>
          <w:p>
            <w:pPr>
              <w:pStyle w:val="Normal"/>
              <w:widowControl w:val="false"/>
              <w:spacing w:lineRule="auto" w:line="240" w:before="0" w:after="0"/>
              <w:jc w:val="center"/>
              <w:rPr>
                <w:rFonts w:cs="Times New Roman"/>
                <w:sz w:val="20"/>
                <w:szCs w:val="20"/>
              </w:rPr>
            </w:pPr>
            <w:r>
              <w:rPr>
                <w:rFonts w:cs="Times New Roman"/>
                <w:sz w:val="20"/>
                <w:szCs w:val="20"/>
              </w:rPr>
              <w:t>(0.0174)</w:t>
            </w:r>
          </w:p>
        </w:tc>
        <w:tc>
          <w:tcPr>
            <w:tcW w:w="1584" w:type="dxa"/>
            <w:tcBorders/>
          </w:tcPr>
          <w:p>
            <w:pPr>
              <w:pStyle w:val="Normal"/>
              <w:widowControl w:val="false"/>
              <w:spacing w:lineRule="auto" w:line="240" w:before="0" w:after="0"/>
              <w:jc w:val="center"/>
              <w:rPr>
                <w:rFonts w:cs="Times New Roman"/>
                <w:sz w:val="20"/>
                <w:szCs w:val="20"/>
              </w:rPr>
            </w:pPr>
            <w:r>
              <w:rPr>
                <w:rFonts w:cs="Times New Roman"/>
                <w:sz w:val="20"/>
                <w:szCs w:val="20"/>
              </w:rPr>
              <w:t>(0.0174)</w:t>
            </w:r>
          </w:p>
        </w:tc>
        <w:tc>
          <w:tcPr>
            <w:tcW w:w="1585" w:type="dxa"/>
            <w:tcBorders/>
          </w:tcPr>
          <w:p>
            <w:pPr>
              <w:pStyle w:val="Normal"/>
              <w:widowControl w:val="false"/>
              <w:spacing w:lineRule="auto" w:line="240" w:before="0" w:after="0"/>
              <w:jc w:val="center"/>
              <w:rPr>
                <w:rFonts w:cs="Times New Roman"/>
                <w:sz w:val="20"/>
                <w:szCs w:val="20"/>
              </w:rPr>
            </w:pPr>
            <w:r>
              <w:rPr>
                <w:rFonts w:cs="Times New Roman"/>
                <w:sz w:val="20"/>
                <w:szCs w:val="20"/>
              </w:rPr>
              <w:t>(0.0174)</w:t>
            </w:r>
          </w:p>
        </w:tc>
      </w:tr>
      <w:tr>
        <w:trPr/>
        <w:tc>
          <w:tcPr>
            <w:tcW w:w="2523" w:type="dxa"/>
            <w:tcBorders/>
          </w:tcPr>
          <w:p>
            <w:pPr>
              <w:pStyle w:val="Normal"/>
              <w:widowControl w:val="false"/>
              <w:spacing w:lineRule="auto" w:line="240" w:before="0" w:after="0"/>
              <w:rPr>
                <w:rFonts w:cs="Times New Roman"/>
                <w:sz w:val="20"/>
                <w:szCs w:val="20"/>
              </w:rPr>
            </w:pPr>
            <w:r>
              <w:rPr>
                <w:rFonts w:cs="Times New Roman"/>
                <w:sz w:val="20"/>
                <w:szCs w:val="20"/>
              </w:rPr>
              <w:t>Post-sekundær</w:t>
            </w:r>
          </w:p>
        </w:tc>
        <w:tc>
          <w:tcPr>
            <w:tcW w:w="2159" w:type="dxa"/>
            <w:tcBorders/>
          </w:tcPr>
          <w:p>
            <w:pPr>
              <w:pStyle w:val="Normal"/>
              <w:widowControl w:val="false"/>
              <w:spacing w:lineRule="auto" w:line="240" w:before="0" w:after="0"/>
              <w:jc w:val="center"/>
              <w:rPr>
                <w:rFonts w:cs="Times New Roman"/>
                <w:sz w:val="20"/>
                <w:szCs w:val="20"/>
              </w:rPr>
            </w:pPr>
            <w:r>
              <w:rPr>
                <w:rFonts w:cs="Times New Roman"/>
                <w:sz w:val="20"/>
                <w:szCs w:val="20"/>
              </w:rPr>
              <w:t>-0.283***</w:t>
            </w:r>
          </w:p>
        </w:tc>
        <w:tc>
          <w:tcPr>
            <w:tcW w:w="1440" w:type="dxa"/>
            <w:tcBorders/>
          </w:tcPr>
          <w:p>
            <w:pPr>
              <w:pStyle w:val="Normal"/>
              <w:widowControl w:val="false"/>
              <w:spacing w:lineRule="auto" w:line="240" w:before="0" w:after="0"/>
              <w:jc w:val="center"/>
              <w:rPr>
                <w:rFonts w:cs="Times New Roman"/>
                <w:sz w:val="20"/>
                <w:szCs w:val="20"/>
              </w:rPr>
            </w:pPr>
            <w:r>
              <w:rPr>
                <w:rFonts w:cs="Times New Roman"/>
                <w:sz w:val="20"/>
                <w:szCs w:val="20"/>
              </w:rPr>
              <w:t>-0.284***</w:t>
            </w:r>
          </w:p>
        </w:tc>
        <w:tc>
          <w:tcPr>
            <w:tcW w:w="1584" w:type="dxa"/>
            <w:tcBorders/>
          </w:tcPr>
          <w:p>
            <w:pPr>
              <w:pStyle w:val="Normal"/>
              <w:widowControl w:val="false"/>
              <w:spacing w:lineRule="auto" w:line="240" w:before="0" w:after="0"/>
              <w:jc w:val="center"/>
              <w:rPr>
                <w:rFonts w:cs="Times New Roman"/>
                <w:sz w:val="20"/>
                <w:szCs w:val="20"/>
              </w:rPr>
            </w:pPr>
            <w:r>
              <w:rPr>
                <w:rFonts w:cs="Times New Roman"/>
                <w:sz w:val="20"/>
                <w:szCs w:val="20"/>
              </w:rPr>
              <w:t>-0.284***</w:t>
            </w:r>
          </w:p>
        </w:tc>
        <w:tc>
          <w:tcPr>
            <w:tcW w:w="1585" w:type="dxa"/>
            <w:tcBorders/>
          </w:tcPr>
          <w:p>
            <w:pPr>
              <w:pStyle w:val="Normal"/>
              <w:widowControl w:val="false"/>
              <w:spacing w:lineRule="auto" w:line="240" w:before="0" w:after="0"/>
              <w:jc w:val="center"/>
              <w:rPr>
                <w:rFonts w:cs="Times New Roman"/>
                <w:sz w:val="20"/>
                <w:szCs w:val="20"/>
              </w:rPr>
            </w:pPr>
            <w:r>
              <w:rPr>
                <w:rFonts w:cs="Times New Roman"/>
                <w:sz w:val="20"/>
                <w:szCs w:val="20"/>
              </w:rPr>
              <w:t>-0.286***</w:t>
            </w:r>
          </w:p>
        </w:tc>
      </w:tr>
      <w:tr>
        <w:trPr/>
        <w:tc>
          <w:tcPr>
            <w:tcW w:w="2523" w:type="dxa"/>
            <w:tcBorders/>
          </w:tcPr>
          <w:p>
            <w:pPr>
              <w:pStyle w:val="Normal"/>
              <w:widowControl w:val="false"/>
              <w:spacing w:lineRule="auto" w:line="240" w:before="0" w:after="0"/>
              <w:rPr>
                <w:rFonts w:cs="Times New Roman"/>
                <w:sz w:val="20"/>
                <w:szCs w:val="20"/>
              </w:rPr>
            </w:pPr>
            <w:r>
              <w:rPr>
                <w:rFonts w:cs="Times New Roman"/>
                <w:sz w:val="20"/>
                <w:szCs w:val="20"/>
              </w:rPr>
            </w:r>
          </w:p>
        </w:tc>
        <w:tc>
          <w:tcPr>
            <w:tcW w:w="2159" w:type="dxa"/>
            <w:tcBorders/>
          </w:tcPr>
          <w:p>
            <w:pPr>
              <w:pStyle w:val="Normal"/>
              <w:widowControl w:val="false"/>
              <w:spacing w:lineRule="auto" w:line="240" w:before="0" w:after="0"/>
              <w:jc w:val="center"/>
              <w:rPr>
                <w:rFonts w:cs="Times New Roman"/>
                <w:sz w:val="20"/>
                <w:szCs w:val="20"/>
              </w:rPr>
            </w:pPr>
            <w:r>
              <w:rPr>
                <w:rFonts w:cs="Times New Roman"/>
                <w:sz w:val="20"/>
                <w:szCs w:val="20"/>
              </w:rPr>
              <w:t>(0.0202)</w:t>
            </w:r>
          </w:p>
        </w:tc>
        <w:tc>
          <w:tcPr>
            <w:tcW w:w="1440" w:type="dxa"/>
            <w:tcBorders/>
          </w:tcPr>
          <w:p>
            <w:pPr>
              <w:pStyle w:val="Normal"/>
              <w:widowControl w:val="false"/>
              <w:spacing w:lineRule="auto" w:line="240" w:before="0" w:after="0"/>
              <w:jc w:val="center"/>
              <w:rPr>
                <w:rFonts w:cs="Times New Roman"/>
                <w:sz w:val="20"/>
                <w:szCs w:val="20"/>
              </w:rPr>
            </w:pPr>
            <w:r>
              <w:rPr>
                <w:rFonts w:cs="Times New Roman"/>
                <w:sz w:val="20"/>
                <w:szCs w:val="20"/>
              </w:rPr>
              <w:t>(0.0202)</w:t>
            </w:r>
          </w:p>
        </w:tc>
        <w:tc>
          <w:tcPr>
            <w:tcW w:w="1584" w:type="dxa"/>
            <w:tcBorders/>
          </w:tcPr>
          <w:p>
            <w:pPr>
              <w:pStyle w:val="Normal"/>
              <w:widowControl w:val="false"/>
              <w:spacing w:lineRule="auto" w:line="240" w:before="0" w:after="0"/>
              <w:jc w:val="center"/>
              <w:rPr>
                <w:rFonts w:cs="Times New Roman"/>
                <w:sz w:val="20"/>
                <w:szCs w:val="20"/>
              </w:rPr>
            </w:pPr>
            <w:r>
              <w:rPr>
                <w:rFonts w:cs="Times New Roman"/>
                <w:sz w:val="20"/>
                <w:szCs w:val="20"/>
              </w:rPr>
              <w:t>(0.0202)</w:t>
            </w:r>
          </w:p>
        </w:tc>
        <w:tc>
          <w:tcPr>
            <w:tcW w:w="1585" w:type="dxa"/>
            <w:tcBorders/>
          </w:tcPr>
          <w:p>
            <w:pPr>
              <w:pStyle w:val="Normal"/>
              <w:widowControl w:val="false"/>
              <w:spacing w:lineRule="auto" w:line="240" w:before="0" w:after="0"/>
              <w:jc w:val="center"/>
              <w:rPr>
                <w:rFonts w:cs="Times New Roman"/>
                <w:sz w:val="20"/>
                <w:szCs w:val="20"/>
              </w:rPr>
            </w:pPr>
            <w:r>
              <w:rPr>
                <w:rFonts w:cs="Times New Roman"/>
                <w:sz w:val="20"/>
                <w:szCs w:val="20"/>
              </w:rPr>
              <w:t>(0.0202)</w:t>
            </w:r>
          </w:p>
        </w:tc>
      </w:tr>
      <w:tr>
        <w:trPr/>
        <w:tc>
          <w:tcPr>
            <w:tcW w:w="2523" w:type="dxa"/>
            <w:tcBorders/>
          </w:tcPr>
          <w:p>
            <w:pPr>
              <w:pStyle w:val="Normal"/>
              <w:widowControl w:val="false"/>
              <w:spacing w:lineRule="auto" w:line="240" w:before="0" w:after="0"/>
              <w:rPr>
                <w:rFonts w:cs="Times New Roman"/>
                <w:sz w:val="20"/>
                <w:szCs w:val="20"/>
              </w:rPr>
            </w:pPr>
            <w:r>
              <w:rPr>
                <w:rFonts w:cs="Times New Roman"/>
                <w:sz w:val="20"/>
                <w:szCs w:val="20"/>
              </w:rPr>
              <w:t>Constant</w:t>
            </w:r>
          </w:p>
        </w:tc>
        <w:tc>
          <w:tcPr>
            <w:tcW w:w="2159" w:type="dxa"/>
            <w:tcBorders/>
          </w:tcPr>
          <w:p>
            <w:pPr>
              <w:pStyle w:val="Normal"/>
              <w:widowControl w:val="false"/>
              <w:spacing w:lineRule="auto" w:line="240" w:before="0" w:after="0"/>
              <w:jc w:val="center"/>
              <w:rPr>
                <w:rFonts w:cs="Times New Roman"/>
                <w:sz w:val="20"/>
                <w:szCs w:val="20"/>
              </w:rPr>
            </w:pPr>
            <w:r>
              <w:rPr>
                <w:rFonts w:cs="Times New Roman"/>
                <w:sz w:val="20"/>
                <w:szCs w:val="20"/>
              </w:rPr>
              <w:t>2.735***</w:t>
            </w:r>
          </w:p>
        </w:tc>
        <w:tc>
          <w:tcPr>
            <w:tcW w:w="1440" w:type="dxa"/>
            <w:tcBorders/>
          </w:tcPr>
          <w:p>
            <w:pPr>
              <w:pStyle w:val="Normal"/>
              <w:widowControl w:val="false"/>
              <w:spacing w:lineRule="auto" w:line="240" w:before="0" w:after="0"/>
              <w:jc w:val="center"/>
              <w:rPr>
                <w:rFonts w:cs="Times New Roman"/>
                <w:sz w:val="20"/>
                <w:szCs w:val="20"/>
              </w:rPr>
            </w:pPr>
            <w:r>
              <w:rPr>
                <w:rFonts w:cs="Times New Roman"/>
                <w:sz w:val="20"/>
                <w:szCs w:val="20"/>
              </w:rPr>
              <w:t>2.725***</w:t>
            </w:r>
          </w:p>
        </w:tc>
        <w:tc>
          <w:tcPr>
            <w:tcW w:w="1584" w:type="dxa"/>
            <w:tcBorders/>
          </w:tcPr>
          <w:p>
            <w:pPr>
              <w:pStyle w:val="Normal"/>
              <w:widowControl w:val="false"/>
              <w:spacing w:lineRule="auto" w:line="240" w:before="0" w:after="0"/>
              <w:jc w:val="center"/>
              <w:rPr>
                <w:rFonts w:cs="Times New Roman"/>
                <w:sz w:val="20"/>
                <w:szCs w:val="20"/>
              </w:rPr>
            </w:pPr>
            <w:r>
              <w:rPr>
                <w:rFonts w:cs="Times New Roman"/>
                <w:sz w:val="20"/>
                <w:szCs w:val="20"/>
              </w:rPr>
              <w:t>2.743***</w:t>
            </w:r>
          </w:p>
        </w:tc>
        <w:tc>
          <w:tcPr>
            <w:tcW w:w="1585" w:type="dxa"/>
            <w:tcBorders/>
          </w:tcPr>
          <w:p>
            <w:pPr>
              <w:pStyle w:val="Normal"/>
              <w:widowControl w:val="false"/>
              <w:spacing w:lineRule="auto" w:line="240" w:before="0" w:after="0"/>
              <w:jc w:val="center"/>
              <w:rPr>
                <w:rFonts w:cs="Times New Roman"/>
                <w:sz w:val="20"/>
                <w:szCs w:val="20"/>
              </w:rPr>
            </w:pPr>
            <w:r>
              <w:rPr>
                <w:rFonts w:cs="Times New Roman"/>
                <w:sz w:val="20"/>
                <w:szCs w:val="20"/>
              </w:rPr>
              <w:t>2.742***</w:t>
            </w:r>
          </w:p>
        </w:tc>
      </w:tr>
      <w:tr>
        <w:trPr/>
        <w:tc>
          <w:tcPr>
            <w:tcW w:w="2523" w:type="dxa"/>
            <w:tcBorders/>
          </w:tcPr>
          <w:p>
            <w:pPr>
              <w:pStyle w:val="Normal"/>
              <w:widowControl w:val="false"/>
              <w:spacing w:lineRule="auto" w:line="240" w:before="0" w:after="0"/>
              <w:rPr>
                <w:rFonts w:cs="Times New Roman"/>
                <w:sz w:val="20"/>
                <w:szCs w:val="20"/>
              </w:rPr>
            </w:pPr>
            <w:r>
              <w:rPr>
                <w:rFonts w:cs="Times New Roman"/>
                <w:sz w:val="20"/>
                <w:szCs w:val="20"/>
              </w:rPr>
            </w:r>
          </w:p>
        </w:tc>
        <w:tc>
          <w:tcPr>
            <w:tcW w:w="2159" w:type="dxa"/>
            <w:tcBorders/>
          </w:tcPr>
          <w:p>
            <w:pPr>
              <w:pStyle w:val="Normal"/>
              <w:widowControl w:val="false"/>
              <w:spacing w:lineRule="auto" w:line="240" w:before="0" w:after="0"/>
              <w:jc w:val="center"/>
              <w:rPr>
                <w:rFonts w:cs="Times New Roman"/>
                <w:sz w:val="20"/>
                <w:szCs w:val="20"/>
              </w:rPr>
            </w:pPr>
            <w:r>
              <w:rPr>
                <w:rFonts w:cs="Times New Roman"/>
                <w:sz w:val="20"/>
                <w:szCs w:val="20"/>
              </w:rPr>
              <w:t>(0.0986)</w:t>
            </w:r>
          </w:p>
        </w:tc>
        <w:tc>
          <w:tcPr>
            <w:tcW w:w="1440" w:type="dxa"/>
            <w:tcBorders/>
          </w:tcPr>
          <w:p>
            <w:pPr>
              <w:pStyle w:val="Normal"/>
              <w:widowControl w:val="false"/>
              <w:spacing w:lineRule="auto" w:line="240" w:before="0" w:after="0"/>
              <w:jc w:val="center"/>
              <w:rPr>
                <w:rFonts w:cs="Times New Roman"/>
                <w:sz w:val="20"/>
                <w:szCs w:val="20"/>
              </w:rPr>
            </w:pPr>
            <w:r>
              <w:rPr>
                <w:rFonts w:cs="Times New Roman"/>
                <w:sz w:val="20"/>
                <w:szCs w:val="20"/>
              </w:rPr>
              <w:t>(0.0882)</w:t>
            </w:r>
          </w:p>
        </w:tc>
        <w:tc>
          <w:tcPr>
            <w:tcW w:w="1584" w:type="dxa"/>
            <w:tcBorders/>
          </w:tcPr>
          <w:p>
            <w:pPr>
              <w:pStyle w:val="Normal"/>
              <w:widowControl w:val="false"/>
              <w:spacing w:lineRule="auto" w:line="240" w:before="0" w:after="0"/>
              <w:jc w:val="center"/>
              <w:rPr>
                <w:rFonts w:cs="Times New Roman"/>
                <w:sz w:val="20"/>
                <w:szCs w:val="20"/>
              </w:rPr>
            </w:pPr>
            <w:r>
              <w:rPr>
                <w:rFonts w:cs="Times New Roman"/>
                <w:sz w:val="20"/>
                <w:szCs w:val="20"/>
              </w:rPr>
              <w:t>(0.0987)</w:t>
            </w:r>
          </w:p>
        </w:tc>
        <w:tc>
          <w:tcPr>
            <w:tcW w:w="1585" w:type="dxa"/>
            <w:tcBorders/>
          </w:tcPr>
          <w:p>
            <w:pPr>
              <w:pStyle w:val="Normal"/>
              <w:widowControl w:val="false"/>
              <w:spacing w:lineRule="auto" w:line="240" w:before="0" w:after="0"/>
              <w:jc w:val="center"/>
              <w:rPr>
                <w:rFonts w:cs="Times New Roman"/>
                <w:sz w:val="20"/>
                <w:szCs w:val="20"/>
              </w:rPr>
            </w:pPr>
            <w:r>
              <w:rPr>
                <w:rFonts w:cs="Times New Roman"/>
                <w:sz w:val="20"/>
                <w:szCs w:val="20"/>
              </w:rPr>
              <w:t>(0.0883)</w:t>
            </w:r>
          </w:p>
        </w:tc>
      </w:tr>
      <w:tr>
        <w:trPr/>
        <w:tc>
          <w:tcPr>
            <w:tcW w:w="2523" w:type="dxa"/>
            <w:tcBorders/>
          </w:tcPr>
          <w:p>
            <w:pPr>
              <w:pStyle w:val="Normal"/>
              <w:widowControl w:val="false"/>
              <w:spacing w:lineRule="auto" w:line="240" w:before="0" w:after="0"/>
              <w:rPr>
                <w:rFonts w:cs="Times New Roman"/>
                <w:sz w:val="20"/>
                <w:szCs w:val="20"/>
              </w:rPr>
            </w:pPr>
            <w:r>
              <w:rPr>
                <w:rFonts w:cs="Times New Roman"/>
                <w:sz w:val="20"/>
                <w:szCs w:val="20"/>
              </w:rPr>
            </w:r>
          </w:p>
        </w:tc>
        <w:tc>
          <w:tcPr>
            <w:tcW w:w="2159" w:type="dxa"/>
            <w:tcBorders/>
          </w:tcPr>
          <w:p>
            <w:pPr>
              <w:pStyle w:val="Normal"/>
              <w:widowControl w:val="false"/>
              <w:spacing w:lineRule="auto" w:line="240" w:before="0" w:after="0"/>
              <w:jc w:val="center"/>
              <w:rPr>
                <w:rFonts w:cs="Times New Roman"/>
                <w:sz w:val="20"/>
                <w:szCs w:val="20"/>
              </w:rPr>
            </w:pPr>
            <w:r>
              <w:rPr>
                <w:rFonts w:cs="Times New Roman"/>
                <w:sz w:val="20"/>
                <w:szCs w:val="20"/>
              </w:rPr>
            </w:r>
          </w:p>
        </w:tc>
        <w:tc>
          <w:tcPr>
            <w:tcW w:w="1440" w:type="dxa"/>
            <w:tcBorders/>
          </w:tcPr>
          <w:p>
            <w:pPr>
              <w:pStyle w:val="Normal"/>
              <w:widowControl w:val="false"/>
              <w:spacing w:lineRule="auto" w:line="240" w:before="0" w:after="0"/>
              <w:jc w:val="center"/>
              <w:rPr>
                <w:rFonts w:cs="Times New Roman"/>
                <w:sz w:val="20"/>
                <w:szCs w:val="20"/>
              </w:rPr>
            </w:pPr>
            <w:r>
              <w:rPr>
                <w:rFonts w:cs="Times New Roman"/>
                <w:sz w:val="20"/>
                <w:szCs w:val="20"/>
              </w:rPr>
            </w:r>
          </w:p>
        </w:tc>
        <w:tc>
          <w:tcPr>
            <w:tcW w:w="1584" w:type="dxa"/>
            <w:tcBorders/>
          </w:tcPr>
          <w:p>
            <w:pPr>
              <w:pStyle w:val="Normal"/>
              <w:widowControl w:val="false"/>
              <w:spacing w:lineRule="auto" w:line="240" w:before="0" w:after="0"/>
              <w:jc w:val="center"/>
              <w:rPr>
                <w:rFonts w:cs="Times New Roman"/>
                <w:sz w:val="20"/>
                <w:szCs w:val="20"/>
              </w:rPr>
            </w:pPr>
            <w:r>
              <w:rPr>
                <w:rFonts w:cs="Times New Roman"/>
                <w:sz w:val="20"/>
                <w:szCs w:val="20"/>
              </w:rPr>
            </w:r>
          </w:p>
        </w:tc>
        <w:tc>
          <w:tcPr>
            <w:tcW w:w="1585" w:type="dxa"/>
            <w:tcBorders/>
          </w:tcPr>
          <w:p>
            <w:pPr>
              <w:pStyle w:val="Normal"/>
              <w:widowControl w:val="false"/>
              <w:spacing w:lineRule="auto" w:line="240" w:before="0" w:after="0"/>
              <w:jc w:val="center"/>
              <w:rPr>
                <w:rFonts w:cs="Times New Roman"/>
                <w:sz w:val="20"/>
                <w:szCs w:val="20"/>
              </w:rPr>
            </w:pPr>
            <w:r>
              <w:rPr>
                <w:rFonts w:cs="Times New Roman"/>
                <w:sz w:val="20"/>
                <w:szCs w:val="20"/>
              </w:rPr>
            </w:r>
          </w:p>
        </w:tc>
      </w:tr>
      <w:tr>
        <w:trPr/>
        <w:tc>
          <w:tcPr>
            <w:tcW w:w="2523" w:type="dxa"/>
            <w:tcBorders/>
          </w:tcPr>
          <w:p>
            <w:pPr>
              <w:pStyle w:val="Normal"/>
              <w:widowControl w:val="false"/>
              <w:spacing w:lineRule="auto" w:line="240" w:before="0" w:after="0"/>
              <w:rPr>
                <w:rFonts w:cs="Times New Roman"/>
                <w:sz w:val="20"/>
                <w:szCs w:val="20"/>
              </w:rPr>
            </w:pPr>
            <w:r>
              <w:rPr>
                <w:rFonts w:cs="Times New Roman"/>
                <w:sz w:val="20"/>
                <w:szCs w:val="20"/>
              </w:rPr>
              <w:t>Observations</w:t>
            </w:r>
          </w:p>
        </w:tc>
        <w:tc>
          <w:tcPr>
            <w:tcW w:w="2159" w:type="dxa"/>
            <w:tcBorders/>
          </w:tcPr>
          <w:p>
            <w:pPr>
              <w:pStyle w:val="Normal"/>
              <w:widowControl w:val="false"/>
              <w:spacing w:lineRule="auto" w:line="240" w:before="0" w:after="0"/>
              <w:jc w:val="center"/>
              <w:rPr>
                <w:rFonts w:cs="Times New Roman"/>
                <w:sz w:val="20"/>
                <w:szCs w:val="20"/>
              </w:rPr>
            </w:pPr>
            <w:r>
              <w:rPr>
                <w:rFonts w:cs="Times New Roman"/>
                <w:sz w:val="20"/>
                <w:szCs w:val="20"/>
              </w:rPr>
              <w:t>29,485</w:t>
            </w:r>
          </w:p>
        </w:tc>
        <w:tc>
          <w:tcPr>
            <w:tcW w:w="1440" w:type="dxa"/>
            <w:tcBorders/>
          </w:tcPr>
          <w:p>
            <w:pPr>
              <w:pStyle w:val="Normal"/>
              <w:widowControl w:val="false"/>
              <w:spacing w:lineRule="auto" w:line="240" w:before="0" w:after="0"/>
              <w:jc w:val="center"/>
              <w:rPr>
                <w:rFonts w:cs="Times New Roman"/>
                <w:sz w:val="20"/>
                <w:szCs w:val="20"/>
              </w:rPr>
            </w:pPr>
            <w:r>
              <w:rPr>
                <w:rFonts w:cs="Times New Roman"/>
                <w:sz w:val="20"/>
                <w:szCs w:val="20"/>
              </w:rPr>
              <w:t>29,485</w:t>
            </w:r>
          </w:p>
        </w:tc>
        <w:tc>
          <w:tcPr>
            <w:tcW w:w="1584" w:type="dxa"/>
            <w:tcBorders/>
          </w:tcPr>
          <w:p>
            <w:pPr>
              <w:pStyle w:val="Normal"/>
              <w:widowControl w:val="false"/>
              <w:spacing w:lineRule="auto" w:line="240" w:before="0" w:after="0"/>
              <w:jc w:val="center"/>
              <w:rPr>
                <w:rFonts w:cs="Times New Roman"/>
                <w:sz w:val="20"/>
                <w:szCs w:val="20"/>
              </w:rPr>
            </w:pPr>
            <w:r>
              <w:rPr>
                <w:rFonts w:cs="Times New Roman"/>
                <w:sz w:val="20"/>
                <w:szCs w:val="20"/>
              </w:rPr>
              <w:t>29,485</w:t>
            </w:r>
          </w:p>
        </w:tc>
        <w:tc>
          <w:tcPr>
            <w:tcW w:w="1585" w:type="dxa"/>
            <w:tcBorders/>
          </w:tcPr>
          <w:p>
            <w:pPr>
              <w:pStyle w:val="Normal"/>
              <w:widowControl w:val="false"/>
              <w:spacing w:lineRule="auto" w:line="240" w:before="0" w:after="0"/>
              <w:jc w:val="center"/>
              <w:rPr>
                <w:rFonts w:cs="Times New Roman"/>
                <w:sz w:val="20"/>
                <w:szCs w:val="20"/>
              </w:rPr>
            </w:pPr>
            <w:r>
              <w:rPr>
                <w:rFonts w:cs="Times New Roman"/>
                <w:sz w:val="20"/>
                <w:szCs w:val="20"/>
              </w:rPr>
              <w:t>29,485</w:t>
            </w:r>
          </w:p>
        </w:tc>
      </w:tr>
      <w:tr>
        <w:trPr/>
        <w:tc>
          <w:tcPr>
            <w:tcW w:w="2523" w:type="dxa"/>
            <w:tcBorders>
              <w:bottom w:val="single" w:sz="6" w:space="0" w:color="000000"/>
            </w:tcBorders>
          </w:tcPr>
          <w:p>
            <w:pPr>
              <w:pStyle w:val="Normal"/>
              <w:widowControl w:val="false"/>
              <w:spacing w:lineRule="auto" w:line="240" w:before="0" w:after="0"/>
              <w:rPr>
                <w:rFonts w:cs="Times New Roman"/>
                <w:sz w:val="20"/>
                <w:szCs w:val="20"/>
              </w:rPr>
            </w:pPr>
            <w:r>
              <w:rPr>
                <w:rFonts w:cs="Times New Roman"/>
                <w:sz w:val="20"/>
                <w:szCs w:val="20"/>
              </w:rPr>
              <w:t>Number of groups</w:t>
            </w:r>
          </w:p>
        </w:tc>
        <w:tc>
          <w:tcPr>
            <w:tcW w:w="2159" w:type="dxa"/>
            <w:tcBorders>
              <w:bottom w:val="single" w:sz="6" w:space="0" w:color="000000"/>
            </w:tcBorders>
          </w:tcPr>
          <w:p>
            <w:pPr>
              <w:pStyle w:val="Normal"/>
              <w:widowControl w:val="false"/>
              <w:spacing w:lineRule="auto" w:line="240" w:before="0" w:after="0"/>
              <w:jc w:val="center"/>
              <w:rPr>
                <w:rFonts w:cs="Times New Roman"/>
                <w:sz w:val="20"/>
                <w:szCs w:val="20"/>
              </w:rPr>
            </w:pPr>
            <w:r>
              <w:rPr>
                <w:rFonts w:cs="Times New Roman"/>
                <w:sz w:val="20"/>
                <w:szCs w:val="20"/>
              </w:rPr>
              <w:t>20</w:t>
            </w:r>
          </w:p>
        </w:tc>
        <w:tc>
          <w:tcPr>
            <w:tcW w:w="1440" w:type="dxa"/>
            <w:tcBorders>
              <w:bottom w:val="single" w:sz="6" w:space="0" w:color="000000"/>
            </w:tcBorders>
          </w:tcPr>
          <w:p>
            <w:pPr>
              <w:pStyle w:val="Normal"/>
              <w:widowControl w:val="false"/>
              <w:spacing w:lineRule="auto" w:line="240" w:before="0" w:after="0"/>
              <w:jc w:val="center"/>
              <w:rPr>
                <w:rFonts w:cs="Times New Roman"/>
                <w:sz w:val="20"/>
                <w:szCs w:val="20"/>
              </w:rPr>
            </w:pPr>
            <w:r>
              <w:rPr>
                <w:rFonts w:cs="Times New Roman"/>
                <w:sz w:val="20"/>
                <w:szCs w:val="20"/>
              </w:rPr>
              <w:t>20</w:t>
            </w:r>
          </w:p>
        </w:tc>
        <w:tc>
          <w:tcPr>
            <w:tcW w:w="1584" w:type="dxa"/>
            <w:tcBorders>
              <w:bottom w:val="single" w:sz="6" w:space="0" w:color="000000"/>
            </w:tcBorders>
          </w:tcPr>
          <w:p>
            <w:pPr>
              <w:pStyle w:val="Normal"/>
              <w:widowControl w:val="false"/>
              <w:spacing w:lineRule="auto" w:line="240" w:before="0" w:after="0"/>
              <w:jc w:val="center"/>
              <w:rPr>
                <w:rFonts w:cs="Times New Roman"/>
                <w:sz w:val="20"/>
                <w:szCs w:val="20"/>
              </w:rPr>
            </w:pPr>
            <w:r>
              <w:rPr>
                <w:rFonts w:cs="Times New Roman"/>
                <w:sz w:val="20"/>
                <w:szCs w:val="20"/>
              </w:rPr>
              <w:t>20</w:t>
            </w:r>
          </w:p>
        </w:tc>
        <w:tc>
          <w:tcPr>
            <w:tcW w:w="1585" w:type="dxa"/>
            <w:tcBorders>
              <w:bottom w:val="single" w:sz="6" w:space="0" w:color="000000"/>
            </w:tcBorders>
          </w:tcPr>
          <w:p>
            <w:pPr>
              <w:pStyle w:val="Normal"/>
              <w:widowControl w:val="false"/>
              <w:spacing w:lineRule="auto" w:line="240" w:before="0" w:after="0"/>
              <w:jc w:val="center"/>
              <w:rPr>
                <w:rFonts w:cs="Times New Roman"/>
                <w:sz w:val="20"/>
                <w:szCs w:val="20"/>
              </w:rPr>
            </w:pPr>
            <w:r>
              <w:rPr>
                <w:rFonts w:cs="Times New Roman"/>
                <w:sz w:val="20"/>
                <w:szCs w:val="20"/>
              </w:rPr>
              <w:t>20</w:t>
            </w:r>
          </w:p>
        </w:tc>
      </w:tr>
    </w:tbl>
    <w:p>
      <w:pPr>
        <w:pStyle w:val="Normal"/>
        <w:widowControl w:val="false"/>
        <w:spacing w:lineRule="auto" w:line="240" w:before="0" w:after="0"/>
        <w:jc w:val="center"/>
        <w:rPr/>
      </w:pPr>
      <w:r>
        <w:rPr>
          <w:rFonts w:cs="Times New Roman"/>
          <w:sz w:val="20"/>
          <w:szCs w:val="20"/>
        </w:rPr>
        <w:t>Standardfeil i parantes | *** p&lt;0.01, ** p&lt;0.05, * p&lt;0.1</w:t>
      </w:r>
      <w:r>
        <w:rPr>
          <w:sz w:val="20"/>
          <w:szCs w:val="20"/>
        </w:rPr>
        <w:t xml:space="preserve"> </w:t>
      </w:r>
      <w:r>
        <w:rPr>
          <w:rFonts w:cs="Times New Roman"/>
          <w:sz w:val="20"/>
          <w:szCs w:val="20"/>
        </w:rPr>
        <w:t>| 1: Flernivåregresjon av politisk maktdeling som frittstående variabel | 2: Flernivåregresjon med closed-list PR som frittstående variabel | 3: Flernivåregresjon med samspill mellom maktdeling og kvinne | 4: Flernivåregresjon med samspill mellom closed-list PR og kvinne | a: Nivå 2-variabel | b: Samspillsledd | c: Ingen formell utdanning er referansekategori</w:t>
      </w:r>
    </w:p>
    <w:p>
      <w:pPr>
        <w:pStyle w:val="Normal"/>
        <w:rPr/>
      </w:pPr>
      <w:r>
        <w:rPr/>
      </w:r>
    </w:p>
    <w:p>
      <w:pPr>
        <w:pStyle w:val="Normal"/>
        <w:rPr/>
      </w:pPr>
      <w:r>
        <w:rPr/>
      </w:r>
    </w:p>
    <w:p>
      <w:pPr>
        <w:pStyle w:val="Normal"/>
        <w:rPr>
          <w:rFonts w:cs="Times New Roman"/>
          <w:b/>
          <w:b/>
          <w:bCs/>
          <w:sz w:val="22"/>
          <w:szCs w:val="20"/>
        </w:rPr>
      </w:pPr>
      <w:r>
        <w:rPr>
          <w:rFonts w:cs="Times New Roman"/>
          <w:b/>
          <w:bCs/>
          <w:sz w:val="22"/>
          <w:szCs w:val="20"/>
        </w:rPr>
        <w:t>Appendiks å1: Variansekomponenter for modell 1 i tabell å</w:t>
      </w:r>
    </w:p>
    <w:tbl>
      <w:tblPr>
        <w:tblW w:w="8858" w:type="dxa"/>
        <w:jc w:val="left"/>
        <w:tblInd w:w="0" w:type="dxa"/>
        <w:tblLayout w:type="fixed"/>
        <w:tblCellMar>
          <w:top w:w="0" w:type="dxa"/>
          <w:left w:w="108" w:type="dxa"/>
          <w:bottom w:w="0" w:type="dxa"/>
          <w:right w:w="108" w:type="dxa"/>
        </w:tblCellMar>
      </w:tblPr>
      <w:tblGrid>
        <w:gridCol w:w="8858"/>
      </w:tblGrid>
      <w:tr>
        <w:trPr/>
        <w:tc>
          <w:tcPr>
            <w:tcW w:w="8858" w:type="dxa"/>
            <w:tcBorders>
              <w:top w:val="single" w:sz="6" w:space="0" w:color="000000"/>
            </w:tcBorders>
          </w:tcPr>
          <w:p>
            <w:pPr>
              <w:pStyle w:val="Normal"/>
              <w:widowControl w:val="false"/>
              <w:spacing w:before="0" w:after="160"/>
              <w:rPr>
                <w:sz w:val="22"/>
                <w:szCs w:val="20"/>
                <w:lang w:val="en-US"/>
              </w:rPr>
            </w:pPr>
            <w:r>
              <w:rPr>
                <w:sz w:val="22"/>
                <w:szCs w:val="20"/>
                <w:lang w:val="en-US"/>
              </w:rPr>
              <w:t xml:space="preserve">Random-effects Parameters                 Estimate         Robust Std. Err.         [95% Conf. Interval] ______________________________________________________________________________                                                                                                       </w:t>
            </w:r>
          </w:p>
        </w:tc>
      </w:tr>
      <w:tr>
        <w:trPr/>
        <w:tc>
          <w:tcPr>
            <w:tcW w:w="8858" w:type="dxa"/>
            <w:tcBorders/>
          </w:tcPr>
          <w:p>
            <w:pPr>
              <w:pStyle w:val="Normal"/>
              <w:widowControl w:val="false"/>
              <w:rPr>
                <w:sz w:val="22"/>
                <w:szCs w:val="20"/>
                <w:lang w:val="en-US"/>
              </w:rPr>
            </w:pPr>
            <w:r>
              <w:rPr>
                <w:sz w:val="22"/>
                <w:szCs w:val="20"/>
                <w:lang w:val="en-US"/>
              </w:rPr>
              <w:t xml:space="preserve">COUNTRY: Identity                                                              </w:t>
            </w:r>
          </w:p>
          <w:p>
            <w:pPr>
              <w:pStyle w:val="Normal"/>
              <w:widowControl w:val="false"/>
              <w:rPr>
                <w:lang w:val="en-US"/>
              </w:rPr>
            </w:pPr>
            <w:r>
              <w:rPr>
                <w:sz w:val="22"/>
                <w:szCs w:val="20"/>
                <w:lang w:val="en-US"/>
              </w:rPr>
              <w:t xml:space="preserve">                                </w:t>
            </w:r>
            <w:r>
              <w:rPr>
                <w:sz w:val="22"/>
                <w:szCs w:val="20"/>
                <w:lang w:val="en-US"/>
              </w:rPr>
              <w:t>var(_cons)            .</w:t>
            </w:r>
            <w:r>
              <w:rPr>
                <w:szCs w:val="20"/>
                <w:lang w:val="en-US"/>
              </w:rPr>
              <w:t>121093</w:t>
            </w:r>
            <w:r>
              <w:rPr>
                <w:sz w:val="22"/>
                <w:szCs w:val="20"/>
                <w:lang w:val="en-US"/>
              </w:rPr>
              <w:t xml:space="preserve">             .</w:t>
            </w:r>
            <w:r>
              <w:rPr>
                <w:lang w:val="en-US"/>
              </w:rPr>
              <w:t>0325042</w:t>
            </w:r>
            <w:r>
              <w:rPr>
                <w:sz w:val="22"/>
                <w:szCs w:val="20"/>
                <w:lang w:val="en-US"/>
              </w:rPr>
              <w:t xml:space="preserve">              .</w:t>
            </w:r>
            <w:r>
              <w:rPr>
                <w:lang w:val="en-US"/>
              </w:rPr>
              <w:t>0715545</w:t>
            </w:r>
            <w:r>
              <w:rPr>
                <w:sz w:val="22"/>
                <w:szCs w:val="20"/>
                <w:lang w:val="en-US"/>
              </w:rPr>
              <w:t xml:space="preserve">   .</w:t>
            </w:r>
            <w:r>
              <w:rPr>
                <w:szCs w:val="20"/>
                <w:lang w:val="en-US"/>
              </w:rPr>
              <w:t>204928</w:t>
            </w:r>
            <w:r>
              <w:rPr>
                <w:sz w:val="22"/>
                <w:szCs w:val="20"/>
                <w:lang w:val="en-US"/>
              </w:rPr>
              <w:t xml:space="preserve"> ______________________________________________________________________________</w:t>
            </w:r>
          </w:p>
          <w:p>
            <w:pPr>
              <w:pStyle w:val="Normal"/>
              <w:widowControl w:val="false"/>
              <w:rPr>
                <w:lang w:val="en-US"/>
              </w:rPr>
            </w:pPr>
            <w:r>
              <w:rPr>
                <w:sz w:val="22"/>
                <w:szCs w:val="20"/>
                <w:lang w:val="en-US"/>
              </w:rPr>
              <w:t xml:space="preserve">                                </w:t>
            </w:r>
            <w:r>
              <w:rPr>
                <w:sz w:val="22"/>
                <w:szCs w:val="20"/>
                <w:lang w:val="en-US"/>
              </w:rPr>
              <w:t>var(Residual)       .</w:t>
            </w:r>
            <w:r>
              <w:rPr>
                <w:lang w:val="en-US"/>
              </w:rPr>
              <w:t>8710822</w:t>
            </w:r>
            <w:r>
              <w:rPr>
                <w:sz w:val="22"/>
                <w:szCs w:val="20"/>
                <w:lang w:val="en-US"/>
              </w:rPr>
              <w:t xml:space="preserve">           .</w:t>
            </w:r>
            <w:r>
              <w:rPr>
                <w:lang w:val="en-US"/>
              </w:rPr>
              <w:t>052867</w:t>
            </w:r>
            <w:r>
              <w:rPr>
                <w:sz w:val="22"/>
                <w:szCs w:val="20"/>
                <w:lang w:val="en-US"/>
              </w:rPr>
              <w:t xml:space="preserve">                .</w:t>
            </w:r>
            <w:r>
              <w:rPr>
                <w:lang w:val="en-US"/>
              </w:rPr>
              <w:t>7733903</w:t>
            </w:r>
            <w:r>
              <w:rPr>
                <w:sz w:val="22"/>
                <w:szCs w:val="20"/>
                <w:lang w:val="en-US"/>
              </w:rPr>
              <w:t xml:space="preserve">   .</w:t>
            </w:r>
            <w:r>
              <w:rPr>
                <w:lang w:val="en-US"/>
              </w:rPr>
              <w:t>9811143</w:t>
            </w:r>
            <w:r>
              <w:rPr>
                <w:sz w:val="22"/>
                <w:szCs w:val="20"/>
                <w:lang w:val="en-US"/>
              </w:rPr>
              <w:t xml:space="preserve"> ______________________________________________________________________________                                                                                                                           </w:t>
            </w:r>
          </w:p>
          <w:p>
            <w:pPr>
              <w:pStyle w:val="Normal"/>
              <w:widowControl w:val="false"/>
              <w:spacing w:before="0" w:after="160"/>
              <w:rPr>
                <w:sz w:val="22"/>
                <w:szCs w:val="20"/>
                <w:lang w:val="en-US"/>
              </w:rPr>
            </w:pPr>
            <w:r>
              <w:rPr>
                <w:sz w:val="22"/>
                <w:szCs w:val="20"/>
                <w:lang w:val="en-US"/>
              </w:rPr>
              <w:t xml:space="preserve">               </w:t>
            </w:r>
          </w:p>
        </w:tc>
      </w:tr>
    </w:tbl>
    <w:p>
      <w:pPr>
        <w:pStyle w:val="Normal"/>
        <w:rPr>
          <w:lang w:val="en-US"/>
        </w:rPr>
      </w:pPr>
      <w:r>
        <w:rPr>
          <w:lang w:val="en-US"/>
        </w:rPr>
      </w:r>
    </w:p>
    <w:p>
      <w:pPr>
        <w:pStyle w:val="Normal"/>
        <w:rPr>
          <w:rFonts w:cs="Times New Roman"/>
          <w:b/>
          <w:b/>
          <w:bCs/>
          <w:sz w:val="22"/>
          <w:szCs w:val="20"/>
        </w:rPr>
      </w:pPr>
      <w:r>
        <w:rPr>
          <w:rFonts w:cs="Times New Roman"/>
          <w:b/>
          <w:bCs/>
          <w:sz w:val="22"/>
          <w:szCs w:val="20"/>
        </w:rPr>
        <w:t>Appendiks å2: Variansekomponenter for modell 2 i tabell å</w:t>
      </w:r>
    </w:p>
    <w:tbl>
      <w:tblPr>
        <w:tblW w:w="8858" w:type="dxa"/>
        <w:jc w:val="left"/>
        <w:tblInd w:w="0" w:type="dxa"/>
        <w:tblLayout w:type="fixed"/>
        <w:tblCellMar>
          <w:top w:w="0" w:type="dxa"/>
          <w:left w:w="108" w:type="dxa"/>
          <w:bottom w:w="0" w:type="dxa"/>
          <w:right w:w="108" w:type="dxa"/>
        </w:tblCellMar>
      </w:tblPr>
      <w:tblGrid>
        <w:gridCol w:w="8858"/>
      </w:tblGrid>
      <w:tr>
        <w:trPr/>
        <w:tc>
          <w:tcPr>
            <w:tcW w:w="8858" w:type="dxa"/>
            <w:tcBorders>
              <w:top w:val="single" w:sz="6" w:space="0" w:color="000000"/>
            </w:tcBorders>
          </w:tcPr>
          <w:p>
            <w:pPr>
              <w:pStyle w:val="Normal"/>
              <w:widowControl w:val="false"/>
              <w:spacing w:before="0" w:after="160"/>
              <w:rPr>
                <w:sz w:val="22"/>
                <w:szCs w:val="20"/>
                <w:lang w:val="en-US"/>
              </w:rPr>
            </w:pPr>
            <w:r>
              <w:rPr>
                <w:sz w:val="22"/>
                <w:szCs w:val="20"/>
                <w:lang w:val="en-US"/>
              </w:rPr>
              <w:t xml:space="preserve">Random-effects Parameters                 Estimate      Robust Std. Err.         [95% Conf. Interval] ______________________________________________________________________________                                                                                                       </w:t>
            </w:r>
          </w:p>
        </w:tc>
      </w:tr>
      <w:tr>
        <w:trPr/>
        <w:tc>
          <w:tcPr>
            <w:tcW w:w="8858" w:type="dxa"/>
            <w:tcBorders/>
          </w:tcPr>
          <w:p>
            <w:pPr>
              <w:pStyle w:val="Normal"/>
              <w:widowControl w:val="false"/>
              <w:rPr>
                <w:sz w:val="22"/>
                <w:szCs w:val="20"/>
                <w:lang w:val="en-US"/>
              </w:rPr>
            </w:pPr>
            <w:r>
              <w:rPr>
                <w:sz w:val="22"/>
                <w:szCs w:val="20"/>
                <w:lang w:val="en-US"/>
              </w:rPr>
              <w:t xml:space="preserve">COUNTRY: Identity                                                              </w:t>
            </w:r>
          </w:p>
          <w:p>
            <w:pPr>
              <w:pStyle w:val="Normal"/>
              <w:widowControl w:val="false"/>
              <w:rPr>
                <w:lang w:val="en-US"/>
              </w:rPr>
            </w:pPr>
            <w:r>
              <w:rPr>
                <w:sz w:val="22"/>
                <w:szCs w:val="20"/>
                <w:lang w:val="en-US"/>
              </w:rPr>
              <w:t xml:space="preserve">                                </w:t>
            </w:r>
            <w:r>
              <w:rPr>
                <w:sz w:val="22"/>
                <w:szCs w:val="20"/>
                <w:lang w:val="en-US"/>
              </w:rPr>
              <w:t>var(_cons)            .</w:t>
            </w:r>
            <w:r>
              <w:rPr>
                <w:szCs w:val="20"/>
                <w:lang w:val="en-US"/>
              </w:rPr>
              <w:t>1442555</w:t>
            </w:r>
            <w:r>
              <w:rPr>
                <w:sz w:val="22"/>
                <w:szCs w:val="20"/>
                <w:lang w:val="en-US"/>
              </w:rPr>
              <w:t xml:space="preserve">     .</w:t>
            </w:r>
            <w:r>
              <w:rPr>
                <w:lang w:val="en-US"/>
              </w:rPr>
              <w:t>0413589</w:t>
            </w:r>
            <w:r>
              <w:rPr>
                <w:sz w:val="22"/>
                <w:szCs w:val="20"/>
                <w:lang w:val="en-US"/>
              </w:rPr>
              <w:t xml:space="preserve">                  .</w:t>
            </w:r>
            <w:r>
              <w:rPr>
                <w:lang w:val="en-US"/>
              </w:rPr>
              <w:t>0822409</w:t>
            </w:r>
            <w:r>
              <w:rPr>
                <w:sz w:val="22"/>
                <w:szCs w:val="20"/>
                <w:lang w:val="en-US"/>
              </w:rPr>
              <w:t xml:space="preserve">   .</w:t>
            </w:r>
            <w:r>
              <w:rPr>
                <w:szCs w:val="20"/>
                <w:lang w:val="en-US"/>
              </w:rPr>
              <w:t>2530327</w:t>
            </w:r>
            <w:r>
              <w:rPr>
                <w:sz w:val="22"/>
                <w:szCs w:val="20"/>
                <w:lang w:val="en-US"/>
              </w:rPr>
              <w:t xml:space="preserve"> ______________________________________________________________________________</w:t>
            </w:r>
          </w:p>
          <w:p>
            <w:pPr>
              <w:pStyle w:val="Normal"/>
              <w:widowControl w:val="false"/>
              <w:rPr>
                <w:lang w:val="en-US"/>
              </w:rPr>
            </w:pPr>
            <w:r>
              <w:rPr>
                <w:sz w:val="22"/>
                <w:szCs w:val="20"/>
                <w:lang w:val="en-US"/>
              </w:rPr>
              <w:t xml:space="preserve">                                </w:t>
            </w:r>
            <w:r>
              <w:rPr>
                <w:sz w:val="22"/>
                <w:szCs w:val="20"/>
                <w:lang w:val="en-US"/>
              </w:rPr>
              <w:t>var(Residual)       .</w:t>
            </w:r>
            <w:r>
              <w:rPr>
                <w:lang w:val="en-US"/>
              </w:rPr>
              <w:t>8879069</w:t>
            </w:r>
            <w:r>
              <w:rPr>
                <w:sz w:val="22"/>
                <w:szCs w:val="20"/>
                <w:lang w:val="en-US"/>
              </w:rPr>
              <w:t xml:space="preserve">     .</w:t>
            </w:r>
            <w:r>
              <w:rPr>
                <w:lang w:val="en-US"/>
              </w:rPr>
              <w:t>0524966</w:t>
            </w:r>
            <w:r>
              <w:rPr>
                <w:sz w:val="22"/>
                <w:szCs w:val="20"/>
                <w:lang w:val="en-US"/>
              </w:rPr>
              <w:t xml:space="preserve">                   .</w:t>
            </w:r>
            <w:r>
              <w:rPr>
                <w:lang w:val="en-US"/>
              </w:rPr>
              <w:t>7907533</w:t>
            </w:r>
            <w:r>
              <w:rPr>
                <w:sz w:val="22"/>
                <w:szCs w:val="20"/>
                <w:lang w:val="en-US"/>
              </w:rPr>
              <w:t xml:space="preserve">   .</w:t>
            </w:r>
            <w:r>
              <w:rPr>
                <w:lang w:val="en-US"/>
              </w:rPr>
              <w:t>9969969</w:t>
            </w:r>
            <w:r>
              <w:rPr>
                <w:sz w:val="22"/>
                <w:szCs w:val="20"/>
                <w:lang w:val="en-US"/>
              </w:rPr>
              <w:t xml:space="preserve"> ______________________________________________________________________________                                                                                                                           </w:t>
            </w:r>
          </w:p>
          <w:p>
            <w:pPr>
              <w:pStyle w:val="Normal"/>
              <w:widowControl w:val="false"/>
              <w:spacing w:before="0" w:after="160"/>
              <w:rPr>
                <w:sz w:val="22"/>
                <w:szCs w:val="20"/>
                <w:lang w:val="en-US"/>
              </w:rPr>
            </w:pPr>
            <w:r>
              <w:rPr>
                <w:sz w:val="22"/>
                <w:szCs w:val="20"/>
                <w:lang w:val="en-US"/>
              </w:rPr>
            </w:r>
          </w:p>
        </w:tc>
      </w:tr>
    </w:tbl>
    <w:p>
      <w:pPr>
        <w:pStyle w:val="Normal"/>
        <w:rPr>
          <w:lang w:val="en-US"/>
        </w:rPr>
      </w:pPr>
      <w:r>
        <w:rPr>
          <w:lang w:val="en-US"/>
        </w:rPr>
      </w:r>
    </w:p>
    <w:p>
      <w:pPr>
        <w:pStyle w:val="Normal"/>
        <w:rPr>
          <w:lang w:val="en-US"/>
        </w:rPr>
      </w:pPr>
      <w:r>
        <w:rPr>
          <w:lang w:val="en-US"/>
        </w:rPr>
      </w:r>
    </w:p>
    <w:p>
      <w:pPr>
        <w:pStyle w:val="Normal"/>
        <w:spacing w:lineRule="auto" w:line="360"/>
        <w:rPr>
          <w:lang w:val="en-US"/>
        </w:rPr>
      </w:pPr>
      <w:r>
        <w:rPr>
          <w:lang w:val="en-US"/>
        </w:rPr>
      </w:r>
    </w:p>
    <w:p>
      <w:pPr>
        <w:pStyle w:val="Normal"/>
        <w:spacing w:lineRule="auto" w:line="360"/>
        <w:rPr>
          <w:lang w:val="en-US"/>
        </w:rPr>
      </w:pPr>
      <w:r>
        <w:rPr>
          <w:lang w:val="en-US"/>
        </w:rPr>
      </w:r>
    </w:p>
    <w:p>
      <w:pPr>
        <w:pStyle w:val="Normal"/>
        <w:spacing w:lineRule="auto" w:line="360"/>
        <w:rPr>
          <w:lang w:val="en-US"/>
        </w:rPr>
      </w:pPr>
      <w:r>
        <w:rPr>
          <w:lang w:val="en-US"/>
        </w:rPr>
      </w:r>
    </w:p>
    <w:p>
      <w:pPr>
        <w:pStyle w:val="Normal"/>
        <w:spacing w:lineRule="auto" w:line="360"/>
        <w:rPr>
          <w:lang w:val="en-US"/>
        </w:rPr>
      </w:pPr>
      <w:r>
        <w:rPr>
          <w:lang w:val="en-US"/>
        </w:rPr>
      </w:r>
    </w:p>
    <w:p>
      <w:pPr>
        <w:pStyle w:val="Normal"/>
        <w:widowControl/>
        <w:bidi w:val="0"/>
        <w:spacing w:lineRule="auto" w:line="259" w:before="0" w:after="160"/>
        <w:jc w:val="both"/>
        <w:rPr/>
      </w:pPr>
      <w:r>
        <w:rPr/>
      </w:r>
    </w:p>
    <w:sectPr>
      <w:headerReference w:type="default" r:id="rId18"/>
      <w:footnotePr>
        <w:numFmt w:val="decimal"/>
      </w:footnotePr>
      <w:type w:val="nextPage"/>
      <w:pgSz w:w="11906" w:h="16838"/>
      <w:pgMar w:left="1417" w:right="1417" w:header="708" w:top="1417" w:footer="0" w:bottom="1417"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5-26T10:48:37Z" w:initials="">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nb-NO" w:eastAsia="en-US" w:bidi="ar-SA"/>
        </w:rPr>
        <w:t>Hvor er maktdelingen?</w:t>
      </w:r>
    </w:p>
  </w:comment>
  <w:comment w:id="1" w:author="Unknown Author" w:date="2021-05-26T10:50:50Z" w:initials="">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nb-NO" w:eastAsia="en-US" w:bidi="ar-SA"/>
        </w:rPr>
        <w:t>HVORFOR?</w:t>
      </w:r>
    </w:p>
  </w:comment>
  <w:comment w:id="2" w:author="Unknown Author" w:date="2021-05-26T11:41:46Z" w:initials="">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nb-NO" w:eastAsia="en-US" w:bidi="ar-SA"/>
        </w:rPr>
        <w:t xml:space="preserve">Du er enig. Problemet er at open-list gjør at folk finner nettopp en god representant for sine sær-interesser, som for eksempel interessen for den selektive goden representanten har låvet deg ( motsettning til  felles goder). Det er nettopp dette som åpner for patronasje. Typisk amerikansk å glemme at dette også var et utbredt problem i USA. </w:t>
      </w:r>
    </w:p>
  </w:comment>
  <w:comment w:id="3" w:author="Unknown Author" w:date="2021-05-26T11:39:54Z" w:initials="">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nb-NO" w:eastAsia="en-US" w:bidi="ar-SA"/>
        </w:rPr>
        <w:t>nei</w:t>
      </w:r>
    </w:p>
  </w:comment>
  <w:comment w:id="4" w:author="Unknown Author" w:date="2021-05-26T12:04:10Z" w:initials="">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nb-NO" w:eastAsia="en-US" w:bidi="ar-SA"/>
        </w:rPr>
        <w:t>pk</w:t>
      </w:r>
    </w:p>
  </w:comment>
  <w:comment w:id="5" w:author="Unknown Author" w:date="2021-05-26T12:06:21Z" w:initials="">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nb-NO" w:eastAsia="en-US" w:bidi="ar-SA"/>
        </w:rPr>
        <w:t>Ikke en kausal forklaring! Men mer slik</w:t>
      </w:r>
    </w:p>
  </w:comment>
  <w:comment w:id="6" w:author="Unknown Author" w:date="2021-05-26T12:24:23Z" w:initials="">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nb-NO" w:eastAsia="en-US" w:bidi="ar-SA"/>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Garamond">
    <w:charset w:val="01"/>
    <w:family w:val="roman"/>
    <w:pitch w:val="variable"/>
  </w:font>
  <w:font w:name="TimesNewRoman">
    <w:charset w:val="01"/>
    <w:family w:val="roman"/>
    <w:pitch w:val="variable"/>
  </w:font>
  <w:font w:name="Wingdings">
    <w:charset w:val="0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en-US"/>
        </w:rPr>
      </w:pPr>
      <w:r>
        <w:rPr>
          <w:rStyle w:val="FootnoteCharacters"/>
        </w:rPr>
        <w:footnoteRef/>
      </w:r>
      <w:r>
        <w:rPr>
          <w:lang w:val="en-US"/>
        </w:rPr>
        <w:t xml:space="preserve"> </w:t>
      </w:r>
      <w:r>
        <w:rPr>
          <w:lang w:val="en-US"/>
        </w:rPr>
        <w:t>Denne definisjonen er i tråd med Easton (1965), hvor det skilles mellom tillit til aktører og regime. Imidlertid vil samfunnsperspektivet ses bort i fra i denne oppgaven for å rendyrke den politiske dimensjonen av Eastons tillitsbegrep.</w:t>
      </w:r>
    </w:p>
  </w:footnote>
  <w:footnote w:id="3">
    <w:p>
      <w:pPr>
        <w:pStyle w:val="Footnote"/>
        <w:rPr>
          <w:lang w:val="en-US"/>
        </w:rPr>
      </w:pPr>
      <w:r>
        <w:rPr>
          <w:rStyle w:val="FootnoteCharacters"/>
        </w:rPr>
        <w:footnoteRef/>
      </w:r>
      <w:r>
        <w:rPr>
          <w:lang w:val="en-US"/>
        </w:rPr>
        <w:t xml:space="preserve"> </w:t>
      </w:r>
      <w:r>
        <w:rPr>
          <w:lang w:val="en-US"/>
        </w:rPr>
        <w:t>Linas-Marcoussis Peace Accords</w:t>
      </w:r>
    </w:p>
  </w:footnote>
  <w:footnote w:id="4">
    <w:p>
      <w:pPr>
        <w:pStyle w:val="Footnote"/>
        <w:rPr>
          <w:lang w:val="en-US"/>
        </w:rPr>
      </w:pPr>
      <w:r>
        <w:rPr>
          <w:rStyle w:val="FootnoteCharacters"/>
        </w:rPr>
        <w:footnoteRef/>
      </w:r>
      <w:r>
        <w:rPr>
          <w:lang w:val="en-US"/>
        </w:rPr>
        <w:t xml:space="preserve"> </w:t>
      </w:r>
      <w:r>
        <w:rPr>
          <w:lang w:val="en-US"/>
        </w:rPr>
        <w:t>Bougainville Peace Agreement</w:t>
      </w:r>
    </w:p>
  </w:footnote>
  <w:footnote w:id="5">
    <w:p>
      <w:pPr>
        <w:pStyle w:val="Footnote"/>
        <w:rPr/>
      </w:pPr>
      <w:r>
        <w:rPr>
          <w:rStyle w:val="FootnoteCharacters"/>
        </w:rPr>
        <w:footnoteRef/>
      </w:r>
      <w:r>
        <w:rPr/>
        <w:t xml:space="preserve"> </w:t>
      </w:r>
      <w:r>
        <w:rPr/>
        <w:t>Washington Agreement</w:t>
      </w:r>
    </w:p>
  </w:footnote>
  <w:footnote w:id="6">
    <w:p>
      <w:pPr>
        <w:pStyle w:val="Footnote"/>
        <w:rPr/>
      </w:pPr>
      <w:r>
        <w:rPr>
          <w:rStyle w:val="FootnoteCharacters"/>
        </w:rPr>
        <w:footnoteRef/>
      </w:r>
      <w:r>
        <w:rPr/>
        <w:t xml:space="preserve"> </w:t>
      </w:r>
      <w:r>
        <w:rPr/>
        <w:t>Disse er ikke begrenset til Afrika, men referer til globale tall.</w:t>
      </w:r>
    </w:p>
  </w:footnote>
  <w:footnote w:id="7">
    <w:p>
      <w:pPr>
        <w:pStyle w:val="Footnote"/>
        <w:rPr>
          <w:lang w:val="en-US"/>
        </w:rPr>
      </w:pPr>
      <w:r>
        <w:rPr>
          <w:rStyle w:val="FootnoteCharacters"/>
        </w:rPr>
        <w:footnoteRef/>
      </w:r>
      <w:r>
        <w:rPr>
          <w:lang w:val="en-US"/>
        </w:rPr>
        <w:t xml:space="preserve"> </w:t>
      </w:r>
      <w:r>
        <w:rPr>
          <w:lang w:val="en-US"/>
        </w:rPr>
        <w:t>Implementert fra 27. April 1994</w:t>
      </w:r>
    </w:p>
  </w:footnote>
  <w:footnote w:id="8">
    <w:p>
      <w:pPr>
        <w:pStyle w:val="Normal"/>
        <w:spacing w:lineRule="auto" w:line="240" w:before="0" w:after="160"/>
        <w:rPr/>
      </w:pPr>
      <w:r>
        <w:rPr>
          <w:rStyle w:val="FootnoteCharacters"/>
        </w:rPr>
        <w:footnoteRef/>
      </w:r>
      <w:r>
        <w:rPr>
          <w:lang w:val="en-US"/>
        </w:rPr>
        <w:t xml:space="preserve"> </w:t>
      </w:r>
      <w:r>
        <w:rPr>
          <w:sz w:val="20"/>
          <w:szCs w:val="18"/>
          <w:lang w:val="en-US"/>
        </w:rPr>
        <w:t>“</w:t>
      </w:r>
      <w:r>
        <w:rPr>
          <w:sz w:val="20"/>
          <w:szCs w:val="18"/>
          <w:lang w:val="en-US"/>
        </w:rPr>
        <w:t xml:space="preserve">You can see that we are not in full control. We are not exactly in charge. There are other forces in control” (Arthur Mutambara sitert i Mehler, 2009). </w:t>
      </w:r>
    </w:p>
  </w:footnote>
  <w:footnote w:id="9">
    <w:p>
      <w:pPr>
        <w:pStyle w:val="Footnote"/>
        <w:jc w:val="both"/>
        <w:rPr>
          <w:lang w:val="en-US"/>
        </w:rPr>
      </w:pPr>
      <w:r>
        <w:rPr>
          <w:rStyle w:val="FootnoteCharacters"/>
        </w:rPr>
        <w:footnoteRef/>
      </w:r>
      <w:r>
        <w:rPr>
          <w:lang w:val="en-US"/>
        </w:rPr>
        <w:t xml:space="preserve"> </w:t>
      </w:r>
      <w:r>
        <w:rPr>
          <w:lang w:val="en-US"/>
        </w:rPr>
        <w:t xml:space="preserve">FN var involvert i både Bicesse- (1991) og Lusaka-avtalen (1994) som ikke var suksessfulle. FN-representanter gikk i ettertid ut og innrømte ansvar, og hevdet at mangel på ressurser var grunnen til at avtalene ikke var grundige nok til å sikre varig fred i Angola (Anstee, 1993; Knudsen, Mundt &amp; Zartmann, 2000). </w:t>
      </w:r>
    </w:p>
  </w:footnote>
  <w:footnote w:id="10">
    <w:p>
      <w:pPr>
        <w:pStyle w:val="Footnote"/>
        <w:rPr/>
      </w:pPr>
      <w:r>
        <w:rPr>
          <w:rStyle w:val="FootnoteCharacters"/>
        </w:rPr>
        <w:footnoteRef/>
      </w:r>
      <w:r>
        <w:rPr/>
        <w:t xml:space="preserve"> </w:t>
      </w:r>
      <w:r>
        <w:rPr>
          <w:color w:val="000000"/>
        </w:rPr>
        <w:t>Spoiler-problematikk er av flere sett på som den største risikoen tilknyttet fredsforhandlinger i kjølvannet av borgerkrig: Ledere eller parti-medlemmer som føler at fredsavtalen vil true deres makt, verdensbilde eller interesser er beviselig tilbøyelig til å anvende vold som et middel for å stoppe forhandlingene. To eksempler er Angola (1992) og Rwanda (1994) som til slutt endte fatalt for millioner av mennesker (Stedman, 1991; 1997; 2003; Glaser, 1992; Prunier 1995; Nilsson &amp; Söderberg, 2011).</w:t>
      </w:r>
    </w:p>
  </w:footnote>
  <w:footnote w:id="11">
    <w:p>
      <w:pPr>
        <w:pStyle w:val="Footnote"/>
        <w:rPr>
          <w:lang w:val="nn-NO"/>
        </w:rPr>
      </w:pPr>
      <w:r>
        <w:rPr>
          <w:rStyle w:val="FootnoteCharacters"/>
        </w:rPr>
        <w:footnoteRef/>
      </w:r>
      <w:r>
        <w:rPr>
          <w:lang w:val="nn-NO"/>
        </w:rPr>
        <w:t xml:space="preserve"> </w:t>
      </w:r>
      <w:r>
        <w:rPr>
          <w:lang w:val="nn-NO"/>
        </w:rPr>
        <w:t>Jung (2012) ser på Guatemala, Mosambik, Namibia, Nicaragua og Sør-Afrika som suksessfulle caser.</w:t>
      </w:r>
    </w:p>
  </w:footnote>
  <w:footnote w:id="12">
    <w:p>
      <w:pPr>
        <w:pStyle w:val="Footnote"/>
        <w:rPr/>
      </w:pPr>
      <w:r>
        <w:rPr>
          <w:rStyle w:val="FootnoteCharacters"/>
        </w:rPr>
        <w:footnoteRef/>
      </w:r>
      <w:r>
        <w:rPr/>
        <w:t xml:space="preserve"> </w:t>
      </w:r>
      <w:r>
        <w:rPr>
          <w:color w:val="FF0000"/>
        </w:rPr>
        <w:t xml:space="preserve">(Også i Nord-Irland bryter maktdelingen stadig vekk sammen.) </w:t>
      </w:r>
      <w:r>
        <w:rPr>
          <w:rFonts w:eastAsia="Wingdings" w:cs="Wingdings" w:ascii="Wingdings" w:hAnsi="Wingdings"/>
          <w:color w:val="FF0000"/>
          <w:lang w:val="nn-NO"/>
        </w:rPr>
        <w:t></w:t>
      </w:r>
      <w:r>
        <w:rPr>
          <w:color w:val="FF0000"/>
        </w:rPr>
        <w:t xml:space="preserve"> mer</w:t>
      </w:r>
    </w:p>
  </w:footnote>
  <w:footnote w:id="13">
    <w:p>
      <w:pPr>
        <w:pStyle w:val="Footnote"/>
        <w:rPr/>
      </w:pPr>
      <w:r>
        <w:rPr>
          <w:rStyle w:val="FootnoteCharacters"/>
        </w:rPr>
        <w:footnoteRef/>
      </w:r>
      <w:r>
        <w:rPr/>
        <w:t xml:space="preserve"> </w:t>
      </w:r>
      <w:r>
        <w:rPr/>
        <w:t>Dyrstad et al. (2011) og Svensson (2007) anvender begrepene etnisk minoritet og majoritet. Jeg definerer imidlertid de to etniske gruppene ut ifra et politisk perspektiv. Argumentene til de to nevnte vil likevel bestå som relevant for mitt teoretiske rammeverk</w:t>
      </w:r>
    </w:p>
  </w:footnote>
  <w:footnote w:id="14">
    <w:p>
      <w:pPr>
        <w:pStyle w:val="Normal"/>
        <w:spacing w:lineRule="auto" w:line="240"/>
        <w:rPr/>
      </w:pPr>
      <w:r>
        <w:rPr>
          <w:rStyle w:val="FootnoteCharacters"/>
        </w:rPr>
        <w:footnoteRef/>
      </w:r>
      <w:r>
        <w:rPr/>
        <w:t xml:space="preserve"> </w:t>
      </w:r>
      <w:r>
        <w:rPr>
          <w:rFonts w:cs="Times New Roman"/>
          <w:sz w:val="20"/>
          <w:szCs w:val="20"/>
        </w:rPr>
        <w:t>“</w:t>
      </w:r>
      <w:r>
        <w:rPr>
          <w:rFonts w:cs="Times New Roman"/>
          <w:sz w:val="20"/>
          <w:szCs w:val="20"/>
        </w:rPr>
        <w:t xml:space="preserve">We no longer lack basic data on ethnicity. </w:t>
      </w:r>
      <w:r>
        <w:rPr>
          <w:rFonts w:cs="Times New Roman"/>
          <w:sz w:val="20"/>
          <w:szCs w:val="20"/>
          <w:lang w:val="en-US"/>
        </w:rPr>
        <w:t xml:space="preserve">We lack explanation – principles which to classify cases, depictions of the structure and texture of group relations, an understanding of patterns of conflict-explanation that would hold cross-culturally. There is, in the main, too much knowledge and not enough understanding, too much evidence chasing after too few categories” (Horowitz, 1985, s. xv). </w:t>
      </w:r>
    </w:p>
    <w:p>
      <w:pPr>
        <w:pStyle w:val="Footnote"/>
        <w:rPr/>
      </w:pPr>
      <w:r>
        <w:rPr/>
      </w:r>
    </w:p>
  </w:footnote>
  <w:footnote w:id="15">
    <w:p>
      <w:pPr>
        <w:pStyle w:val="Footnote"/>
        <w:jc w:val="both"/>
        <w:rPr/>
      </w:pPr>
      <w:r>
        <w:rPr>
          <w:rStyle w:val="FootnoteCharacters"/>
        </w:rPr>
        <w:footnoteRef/>
      </w:r>
      <w:r>
        <w:rPr>
          <w:lang w:val="en-US"/>
        </w:rPr>
        <w:t xml:space="preserve"> </w:t>
      </w:r>
      <w:r>
        <w:rPr>
          <w:lang w:val="en-US"/>
        </w:rPr>
        <w:t xml:space="preserve">Basedau, M. (Working paper). </w:t>
      </w:r>
      <w:r>
        <w:rPr>
          <w:szCs w:val="18"/>
          <w:shd w:fill="FFFFFF" w:val="clear"/>
          <w:lang w:val="en-US"/>
        </w:rPr>
        <w:t xml:space="preserve">Managing ethnic conflict: The menu of institutional engineering. </w:t>
      </w:r>
      <w:r>
        <w:rPr>
          <w:i/>
          <w:iCs/>
          <w:szCs w:val="18"/>
          <w:shd w:fill="FFFFFF" w:val="clear"/>
          <w:lang w:val="en-US"/>
        </w:rPr>
        <w:t>GIGA Research Programme: Violence and Security</w:t>
      </w:r>
    </w:p>
  </w:footnote>
  <w:footnote w:id="16">
    <w:p>
      <w:pPr>
        <w:pStyle w:val="Footnote"/>
        <w:jc w:val="both"/>
        <w:rPr/>
      </w:pPr>
      <w:r>
        <w:rPr>
          <w:rStyle w:val="FootnoteCharacters"/>
        </w:rPr>
        <w:footnoteRef/>
      </w:r>
      <w:r>
        <w:rPr>
          <w:lang w:val="en-US"/>
        </w:rPr>
        <w:t xml:space="preserve"> </w:t>
      </w:r>
      <w:r>
        <w:rPr>
          <w:lang w:val="en-US"/>
        </w:rPr>
        <w:t xml:space="preserve">I april 2015 brøt det ut demonstrasjoner i Burundi i lys av at president Pierre Nkurunziza annonserte sitt kandidatur for en tredje valgperiode. </w:t>
      </w:r>
      <w:r>
        <w:rPr/>
        <w:t>Politiet tydde til vold, og avfyrte dødelige skudd mot demonstrantene. Burundis regjering tok til motmæle mot sivile aktivister og journalister, og stengte ned de fire mest populære radiostasjonene i landet. Rundt 200.000 burundiere rømte landet, bl.a. til Rwanda. Nkurunziza vant valget, som de fleste opposisjonspartiene boikottet, og drepte mer enn 100 mennesker i andre halvdel av året (Human Rights Watch, 2016).</w:t>
      </w:r>
    </w:p>
  </w:footnote>
  <w:footnote w:id="17">
    <w:p>
      <w:pPr>
        <w:pStyle w:val="Footnote"/>
        <w:rPr/>
      </w:pPr>
      <w:r>
        <w:rPr>
          <w:rStyle w:val="FootnoteCharacters"/>
        </w:rPr>
        <w:footnoteRef/>
      </w:r>
      <w:r>
        <w:rPr/>
        <w:t xml:space="preserve"> </w:t>
      </w:r>
      <w:r>
        <w:rPr>
          <w:rFonts w:cs="Times New Roman"/>
          <w:color w:val="000000"/>
          <w:szCs w:val="24"/>
          <w:shd w:fill="FFFFFF" w:val="clear"/>
        </w:rPr>
        <w:t>Et eksempel på dette kan vi finne i Nepal. Til tross for det tradisjonelle samfunnet (hvor kvinner knapt har eiendomsrett), rekrutterte maoistene blant kvinner under borgerkrigen (1996-2006). En fredsavtale ble også innført med mål om å rette opp kjønnsbalansen i maktposisjoner. Imidlertid ble makten reetablert av menn kort tid etter fredsavtalen (Hauge, 2020). Se også: Gul, 2007; Hauge, 2015; Uprati, Shivakoti &amp; Bharrati, 2018.</w:t>
      </w:r>
    </w:p>
  </w:footnote>
  <w:footnote w:id="18">
    <w:p>
      <w:pPr>
        <w:pStyle w:val="Footnote"/>
        <w:rPr/>
      </w:pPr>
      <w:r>
        <w:rPr>
          <w:rStyle w:val="FootnoteCharacters"/>
        </w:rPr>
        <w:footnoteRef/>
      </w:r>
      <w:r>
        <w:rPr/>
        <w:t xml:space="preserve"> </w:t>
      </w:r>
      <w:r>
        <w:rPr/>
        <w:t>Da oppgavens analyser ikke kan si noe om kausale sammenhenger, er figur 1 kun ment som et forslag til inspirasjon for videre arbeid på feltet.</w:t>
      </w:r>
    </w:p>
  </w:footnote>
  <w:footnote w:id="19">
    <w:p>
      <w:pPr>
        <w:pStyle w:val="Footnote"/>
        <w:rPr/>
      </w:pPr>
      <w:r>
        <w:rPr>
          <w:rStyle w:val="FootnoteCharacters"/>
        </w:rPr>
        <w:footnoteRef/>
      </w:r>
      <w:r>
        <w:rPr/>
        <w:t xml:space="preserve"> </w:t>
      </w:r>
      <w:r>
        <w:rPr/>
        <w:t>Dette innebærer at geografiske områder med større populasjon har en proporsjonal større sannsynlighet for å bli inkludert i utvalget.</w:t>
      </w:r>
    </w:p>
  </w:footnote>
  <w:footnote w:id="20">
    <w:p>
      <w:pPr>
        <w:pStyle w:val="Footnote"/>
        <w:rPr/>
      </w:pPr>
      <w:r>
        <w:rPr>
          <w:rStyle w:val="FootnoteCharacters"/>
        </w:rPr>
        <w:footnoteRef/>
      </w:r>
      <w:r>
        <w:rPr/>
        <w:t xml:space="preserve"> </w:t>
      </w:r>
      <w:r>
        <w:rPr/>
        <w:t>Selv om noen afrikanske presidenter har sittet lengre enn andre, ser jeg på posisjonen som dynamisk da den teoretisk sett vil være åpen for valg ved jevne mellomrom. Uavhengig om presidenten ikke kjenner sin besøkelsestid, vil denne posisjonen være mer dynamisk enn en etablert institusjon som valgkommisjonen.</w:t>
      </w:r>
    </w:p>
  </w:footnote>
  <w:footnote w:id="21">
    <w:p>
      <w:pPr>
        <w:pStyle w:val="Footnote"/>
        <w:rPr/>
      </w:pPr>
      <w:r>
        <w:rPr>
          <w:rStyle w:val="FootnoteCharacters"/>
        </w:rPr>
        <w:footnoteRef/>
      </w:r>
      <w:r>
        <w:rPr/>
        <w:t xml:space="preserve"> </w:t>
      </w:r>
      <w:r>
        <w:rPr/>
        <w:t>Informasjon om siste år med borgerkrig er hentet fra Ethnic Power Relations datasett (se Vogt et al., 2015).</w:t>
      </w:r>
    </w:p>
  </w:footnote>
  <w:footnote w:id="22">
    <w:p>
      <w:pPr>
        <w:pStyle w:val="Footnote"/>
        <w:rPr/>
      </w:pPr>
      <w:r>
        <w:rPr>
          <w:rStyle w:val="FootnoteCharacters"/>
        </w:rPr>
        <w:footnoteRef/>
      </w:r>
      <w:r>
        <w:rPr/>
        <w:t xml:space="preserve"> </w:t>
      </w:r>
      <w:r>
        <w:rPr>
          <w:color w:val="FF0000"/>
        </w:rPr>
        <w:t>Skriv om hvorfor dette vil være en svakhet ved designet.</w:t>
      </w:r>
    </w:p>
  </w:footnote>
  <w:footnote w:id="23">
    <w:p>
      <w:pPr>
        <w:pStyle w:val="Footnote"/>
        <w:rPr>
          <w:lang w:val="en-US"/>
        </w:rPr>
      </w:pPr>
      <w:r>
        <w:rPr>
          <w:rStyle w:val="FootnoteCharacters"/>
        </w:rPr>
        <w:footnoteRef/>
      </w:r>
      <w:r>
        <w:rPr>
          <w:lang w:val="en-US"/>
        </w:rPr>
        <w:t xml:space="preserve"> </w:t>
      </w:r>
      <w:r>
        <w:rPr>
          <w:lang w:val="en-US"/>
        </w:rPr>
        <w:t>Se Catterberg &amp; Moreno (2005); Schoon &amp; Cheng (2011); Zmerli &amp; Castillo (2016); Van der Meer &amp; Hakhverdian (2016).</w:t>
      </w:r>
    </w:p>
  </w:footnote>
  <w:footnote w:id="24">
    <w:p>
      <w:pPr>
        <w:pStyle w:val="Footnote"/>
        <w:rPr/>
      </w:pPr>
      <w:r>
        <w:rPr>
          <w:rStyle w:val="FootnoteCharacters"/>
        </w:rPr>
        <w:footnoteRef/>
      </w:r>
      <w:r>
        <w:rPr>
          <w:lang w:val="nn-NO"/>
        </w:rPr>
        <w:t xml:space="preserve"> </w:t>
      </w:r>
      <w:r>
        <w:rPr>
          <w:lang w:val="nn-NO"/>
        </w:rPr>
        <w:t xml:space="preserve">For etnisitet og utdanning i Afrika, se </w:t>
      </w:r>
      <w:r>
        <w:rPr>
          <w:color w:val="000000"/>
          <w:lang w:val="nn-NO"/>
        </w:rPr>
        <w:t xml:space="preserve">Schech &amp; Alwy (2004); Stasavage (2005); Aud, Fox &amp; KewalRamani (2010); Franck &amp; Rainer (2012). </w:t>
      </w:r>
    </w:p>
  </w:footnote>
  <w:footnote w:id="25">
    <w:p>
      <w:pPr>
        <w:pStyle w:val="Footnote"/>
        <w:rPr/>
      </w:pPr>
      <w:r>
        <w:rPr>
          <w:rStyle w:val="FootnoteCharacters"/>
        </w:rPr>
        <w:footnoteRef/>
      </w:r>
      <w:r>
        <w:rPr>
          <w:lang w:val="nn-NO"/>
        </w:rPr>
        <w:t xml:space="preserve"> </w:t>
      </w:r>
      <w:r>
        <w:rPr>
          <w:color w:val="000000"/>
          <w:lang w:val="nn-NO"/>
        </w:rPr>
        <w:t>For kvinner og utdanning i Afrika, se</w:t>
      </w:r>
      <w:r>
        <w:rPr>
          <w:color w:val="FF0000"/>
          <w:lang w:val="nn-NO"/>
        </w:rPr>
        <w:t xml:space="preserve"> </w:t>
      </w:r>
      <w:r>
        <w:rPr>
          <w:color w:val="000000"/>
          <w:lang w:val="nn-NO"/>
        </w:rPr>
        <w:t>Thomas (1996); Glick &amp; Sahn (1997); Shabaya &amp; Konadu-Agyemang (2004); Klaseng &amp; Lamanna (2009).</w:t>
      </w:r>
    </w:p>
  </w:footnote>
  <w:footnote w:id="26">
    <w:p>
      <w:pPr>
        <w:pStyle w:val="Footnote"/>
        <w:rPr/>
      </w:pPr>
      <w:r>
        <w:rPr>
          <w:rStyle w:val="FootnoteCharacters"/>
        </w:rPr>
        <w:footnoteRef/>
      </w:r>
      <w:r>
        <w:rPr/>
        <w:t xml:space="preserve"> </w:t>
      </w:r>
      <w:r>
        <w:rPr/>
        <w:t xml:space="preserve">Se bl.a. </w:t>
      </w:r>
      <w:r>
        <w:rPr>
          <w:color w:val="000000"/>
        </w:rPr>
        <w:t>Hutchinson (2011); Hutchinson &amp; Johnson (2011); Godefroidt, Langer &amp; Meuleman (2017); Zmerli &amp; Van der Meer (2017).</w:t>
      </w:r>
    </w:p>
  </w:footnote>
  <w:footnote w:id="27">
    <w:p>
      <w:pPr>
        <w:pStyle w:val="Footnote"/>
        <w:rPr/>
      </w:pPr>
      <w:r>
        <w:rPr>
          <w:rStyle w:val="FootnoteCharacters"/>
        </w:rPr>
        <w:footnoteRef/>
      </w:r>
      <w:r>
        <w:rPr/>
        <w:t xml:space="preserve"> </w:t>
      </w:r>
      <w:r>
        <w:rPr/>
        <w:t xml:space="preserve">Se bl.a. </w:t>
      </w:r>
      <w:r>
        <w:rPr>
          <w:color w:val="000000"/>
        </w:rPr>
        <w:t>Milanovic (2003); Robinson (2003); Nafziger (2006); Ajide, Alimi &amp; Asongu (2019).</w:t>
      </w:r>
    </w:p>
  </w:footnote>
  <w:footnote w:id="28">
    <w:p>
      <w:pPr>
        <w:pStyle w:val="Footnote"/>
        <w:rPr>
          <w:color w:val="000000"/>
        </w:rPr>
      </w:pPr>
      <w:r>
        <w:rPr>
          <w:rStyle w:val="FootnoteCharacters"/>
        </w:rPr>
        <w:footnoteRef/>
      </w:r>
      <w:r>
        <w:rPr>
          <w:color w:val="000000"/>
        </w:rPr>
        <w:t xml:space="preserve"> </w:t>
      </w:r>
      <w:r>
        <w:rPr>
          <w:color w:val="000000"/>
        </w:rPr>
        <w:t>Se bl.a. Bhorat, Van der Westhuizen &amp; Jacobs (2009); Hakura, Hussain, Newiak, Thakoor &amp; Yang (2016); Aslan, Deléchat, Newiak &amp; Yang (2017); Asongu, Nnanna &amp; Acha-Anyi (2020).</w:t>
      </w:r>
    </w:p>
  </w:footnote>
  <w:footnote w:id="29">
    <w:p>
      <w:pPr>
        <w:pStyle w:val="Footnote"/>
        <w:rPr/>
      </w:pPr>
      <w:r>
        <w:rPr>
          <w:rStyle w:val="FootnoteCharacters"/>
        </w:rPr>
        <w:footnoteRef/>
      </w:r>
      <w:r>
        <w:rPr/>
        <w:t xml:space="preserve"> </w:t>
      </w:r>
      <w:r>
        <w:rPr/>
        <w:t xml:space="preserve">For sammenhengen mellom inntekt/fattigdom og politisk tillit, se bl.a. </w:t>
      </w:r>
      <w:r>
        <w:rPr>
          <w:color w:val="000000"/>
        </w:rPr>
        <w:t>Haddad &amp; Maluccio (2003); Mattes (2008); Uslaner (2017); Van der Meer (2018).</w:t>
      </w:r>
    </w:p>
  </w:footnote>
  <w:footnote w:id="30">
    <w:p>
      <w:pPr>
        <w:pStyle w:val="Footnote"/>
        <w:rPr/>
      </w:pPr>
      <w:r>
        <w:rPr>
          <w:rStyle w:val="FootnoteCharacters"/>
        </w:rPr>
        <w:footnoteRef/>
      </w:r>
      <w:r>
        <w:rPr/>
        <w:t xml:space="preserve"> </w:t>
      </w:r>
      <w:r>
        <w:rPr/>
        <w:t>Variansekomponentene for modell 1 og 2 er presentert i henholdsvis appendiks 9 og 10.</w:t>
      </w:r>
    </w:p>
  </w:footnote>
  <w:footnote w:id="31">
    <w:p>
      <w:pPr>
        <w:pStyle w:val="Footnote"/>
        <w:rPr/>
      </w:pPr>
      <w:r>
        <w:rPr>
          <w:rStyle w:val="FootnoteCharacters"/>
        </w:rPr>
        <w:footnoteRef/>
      </w:r>
      <w:r>
        <w:rPr/>
        <w:t xml:space="preserve"> </w:t>
      </w:r>
      <w:r>
        <w:rPr/>
        <w:t>Variansekomponentene for modell 1 og 2 er presentert i henholdsvis appendiks 11 og 12</w:t>
      </w:r>
    </w:p>
  </w:footnote>
  <w:footnote w:id="32">
    <w:p>
      <w:pPr>
        <w:pStyle w:val="Footnote"/>
        <w:rPr/>
      </w:pPr>
      <w:r>
        <w:rPr>
          <w:rStyle w:val="FootnoteCharacters"/>
        </w:rPr>
        <w:footnoteRef/>
      </w:r>
      <w:r>
        <w:rPr/>
        <w:t xml:space="preserve"> </w:t>
      </w:r>
      <w:r>
        <w:rPr/>
        <w:t>Vist ved likelihood-ratio test (Se appendiks 7 og 8). Random slope-modellene er presentert i appendiks rs1 og rs2. Graf over estimert koeffisient er presentert i appendiks ek1 og ek2.</w:t>
      </w:r>
    </w:p>
  </w:footnote>
  <w:footnote w:id="33">
    <w:p>
      <w:pPr>
        <w:pStyle w:val="Footnote"/>
        <w:rPr/>
      </w:pPr>
      <w:r>
        <w:rPr>
          <w:rStyle w:val="FootnoteCharacters"/>
        </w:rPr>
        <w:footnoteRef/>
      </w:r>
      <w:r>
        <w:rPr/>
        <w:t xml:space="preserve"> </w:t>
      </w:r>
      <w:r>
        <w:rPr/>
        <w:t>Logistisk regresjon er presentert i appendiks log1 og log2, hvor politisk tillit er delt mellom lav (1-2,67) og høy (3-4).</w:t>
      </w:r>
    </w:p>
  </w:footnote>
  <w:footnote w:id="34">
    <w:p>
      <w:pPr>
        <w:pStyle w:val="Footnote"/>
        <w:rPr/>
      </w:pPr>
      <w:r>
        <w:rPr>
          <w:rStyle w:val="FootnoteCharacters"/>
        </w:rPr>
        <w:footnoteRef/>
      </w:r>
      <w:r>
        <w:rPr/>
        <w:t xml:space="preserve"> </w:t>
      </w:r>
      <w:r>
        <w:rPr/>
        <w:t xml:space="preserve">Uvektet versjon av tabell z er presentert i appendiks z. </w:t>
      </w:r>
    </w:p>
  </w:footnote>
  <w:footnote w:id="35">
    <w:p>
      <w:pPr>
        <w:pStyle w:val="Footnote"/>
        <w:rPr/>
      </w:pPr>
      <w:r>
        <w:rPr>
          <w:rStyle w:val="FootnoteCharacters"/>
        </w:rPr>
        <w:footnoteRef/>
      </w:r>
      <w:r>
        <w:rPr/>
        <w:t xml:space="preserve"> </w:t>
      </w:r>
      <w:r>
        <w:rPr/>
        <w:t>Variansekomponentene for modell 9 og 10 er presentert i henholdsvis appendiks å1 og å2.</w:t>
      </w:r>
    </w:p>
  </w:footnote>
  <w:footnote w:id="36">
    <w:p>
      <w:pPr>
        <w:pStyle w:val="Footnote"/>
        <w:rPr/>
      </w:pPr>
      <w:r>
        <w:rPr>
          <w:rStyle w:val="FootnoteCharacters"/>
        </w:rPr>
        <w:footnoteRef/>
      </w:r>
      <w:r>
        <w:rPr/>
        <w:t xml:space="preserve"> </w:t>
      </w:r>
      <w:r>
        <w:rPr/>
        <w:t>Kilder</w:t>
      </w:r>
    </w:p>
  </w:footnote>
  <w:footnote w:id="37">
    <w:p>
      <w:pPr>
        <w:pStyle w:val="Footnote"/>
        <w:rPr/>
      </w:pPr>
      <w:r>
        <w:rPr>
          <w:rStyle w:val="FootnoteCharacters"/>
        </w:rPr>
        <w:footnoteRef/>
      </w:r>
      <w:r>
        <w:rPr/>
        <w:t xml:space="preserve"> </w:t>
      </w:r>
      <w:r>
        <w:rPr/>
        <w:t>Kilder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33</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3">
    <w:lvl w:ilvl="0">
      <w:start w:val="3"/>
      <w:numFmt w:val="decimal"/>
      <w:lvlText w:val="%1"/>
      <w:lvlJc w:val="left"/>
      <w:pPr>
        <w:tabs>
          <w:tab w:val="num" w:pos="0"/>
        </w:tabs>
        <w:ind w:left="390" w:hanging="39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5"/>
      <w:numFmt w:val="decimal"/>
      <w:lvlText w:val="%1"/>
      <w:lvlJc w:val="left"/>
      <w:pPr>
        <w:tabs>
          <w:tab w:val="num" w:pos="0"/>
        </w:tabs>
        <w:ind w:left="585" w:hanging="585"/>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5">
    <w:lvl w:ilvl="0">
      <w:start w:val="1"/>
      <w:numFmt w:val="decimal"/>
      <w:lvlText w:val="%1"/>
      <w:lvlJc w:val="left"/>
      <w:pPr>
        <w:tabs>
          <w:tab w:val="num" w:pos="0"/>
        </w:tabs>
        <w:ind w:left="390" w:hanging="390"/>
      </w:pPr>
    </w:lvl>
    <w:lvl w:ilvl="1">
      <w:start w:val="2"/>
      <w:numFmt w:val="decimal"/>
      <w:lvlText w:val="%1.%2"/>
      <w:lvlJc w:val="left"/>
      <w:pPr>
        <w:tabs>
          <w:tab w:val="num" w:pos="0"/>
        </w:tabs>
        <w:ind w:left="1080" w:hanging="72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2160" w:hanging="108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3240" w:hanging="144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4320" w:hanging="1800"/>
      </w:pPr>
    </w:lvl>
    <w:lvl w:ilvl="8">
      <w:start w:val="1"/>
      <w:numFmt w:val="decimal"/>
      <w:lvlText w:val="%1.%2.%3.%4.%5.%6.%7.%8.%9"/>
      <w:lvlJc w:val="left"/>
      <w:pPr>
        <w:tabs>
          <w:tab w:val="num" w:pos="0"/>
        </w:tabs>
        <w:ind w:left="4680" w:hanging="180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roid Sans Arabic"/>
        <w:sz w:val="22"/>
        <w:szCs w:val="22"/>
        <w:lang w:val="nb-NO"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both"/>
    </w:pPr>
    <w:rPr>
      <w:rFonts w:ascii="Times New Roman" w:hAnsi="Times New Roman" w:eastAsia="Calibri"/>
      <w:color w:val="auto"/>
      <w:kern w:val="0"/>
      <w:sz w:val="24"/>
      <w:szCs w:val="22"/>
      <w:lang w:val="nb-NO" w:eastAsia="en-US" w:bidi="ar-SA"/>
    </w:rPr>
  </w:style>
  <w:style w:type="paragraph" w:styleId="Heading1">
    <w:name w:val="Heading 1"/>
    <w:basedOn w:val="Normal"/>
    <w:next w:val="Normal"/>
    <w:qFormat/>
    <w:pPr>
      <w:keepNext w:val="true"/>
      <w:keepLines/>
      <w:numPr>
        <w:ilvl w:val="0"/>
        <w:numId w:val="0"/>
      </w:numPr>
      <w:spacing w:before="240" w:after="0"/>
      <w:outlineLvl w:val="0"/>
    </w:pPr>
    <w:rPr>
      <w:rFonts w:eastAsia="Calibri" w:cs="Droid Sans Arabic"/>
      <w:color w:val="2F5496"/>
      <w:sz w:val="32"/>
      <w:szCs w:val="32"/>
    </w:rPr>
  </w:style>
  <w:style w:type="paragraph" w:styleId="Heading2">
    <w:name w:val="Heading 2"/>
    <w:basedOn w:val="Normal"/>
    <w:next w:val="Normal"/>
    <w:qFormat/>
    <w:pPr>
      <w:keepNext w:val="true"/>
      <w:keepLines/>
      <w:numPr>
        <w:ilvl w:val="0"/>
        <w:numId w:val="0"/>
      </w:numPr>
      <w:spacing w:before="40" w:after="0"/>
      <w:jc w:val="left"/>
      <w:outlineLvl w:val="1"/>
    </w:pPr>
    <w:rPr>
      <w:rFonts w:eastAsia="Calibri" w:cs="Droid Sans Arabic"/>
      <w:color w:val="2F5496"/>
      <w:sz w:val="26"/>
      <w:szCs w:val="26"/>
    </w:rPr>
  </w:style>
  <w:style w:type="paragraph" w:styleId="Heading3">
    <w:name w:val="Heading 3"/>
    <w:basedOn w:val="Normal"/>
    <w:next w:val="Normal"/>
    <w:qFormat/>
    <w:pPr>
      <w:keepNext w:val="true"/>
      <w:keepLines/>
      <w:numPr>
        <w:ilvl w:val="0"/>
        <w:numId w:val="0"/>
      </w:numPr>
      <w:spacing w:before="40" w:after="0"/>
      <w:jc w:val="left"/>
      <w:outlineLvl w:val="2"/>
    </w:pPr>
    <w:rPr>
      <w:rFonts w:eastAsia="Calibri" w:cs="Droid Sans Arabic"/>
      <w:color w:val="1F3763"/>
      <w:szCs w:val="24"/>
    </w:rPr>
  </w:style>
  <w:style w:type="paragraph" w:styleId="Heading4">
    <w:name w:val="Heading 4"/>
    <w:basedOn w:val="Normal"/>
    <w:next w:val="Normal"/>
    <w:qFormat/>
    <w:pPr>
      <w:keepNext w:val="true"/>
      <w:keepLines/>
      <w:numPr>
        <w:ilvl w:val="0"/>
        <w:numId w:val="0"/>
      </w:numPr>
      <w:spacing w:before="40" w:after="0"/>
      <w:jc w:val="left"/>
      <w:outlineLvl w:val="3"/>
    </w:pPr>
    <w:rPr>
      <w:rFonts w:eastAsia="Calibri" w:cs="Droid Sans Arabic"/>
      <w:i/>
      <w:iCs/>
      <w:color w:val="2F5496"/>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Calibri" w:cs="Droid Sans Arabic"/>
      <w:color w:val="2F5496"/>
      <w:sz w:val="32"/>
      <w:szCs w:val="32"/>
    </w:rPr>
  </w:style>
  <w:style w:type="character" w:styleId="Heading2Char">
    <w:name w:val="Heading 2 Char"/>
    <w:basedOn w:val="DefaultParagraphFont"/>
    <w:qFormat/>
    <w:rPr>
      <w:rFonts w:ascii="Times New Roman" w:hAnsi="Times New Roman" w:eastAsia="Calibri" w:cs="Droid Sans Arabic"/>
      <w:color w:val="2F5496"/>
      <w:sz w:val="26"/>
      <w:szCs w:val="26"/>
    </w:rPr>
  </w:style>
  <w:style w:type="character" w:styleId="Heading3Char">
    <w:name w:val="Heading 3 Char"/>
    <w:basedOn w:val="DefaultParagraphFont"/>
    <w:qFormat/>
    <w:rPr>
      <w:rFonts w:ascii="Times New Roman" w:hAnsi="Times New Roman" w:eastAsia="Calibri" w:cs="Droid Sans Arabic"/>
      <w:color w:val="1F3763"/>
      <w:sz w:val="24"/>
      <w:szCs w:val="24"/>
    </w:rPr>
  </w:style>
  <w:style w:type="character" w:styleId="Heading4Char">
    <w:name w:val="Heading 4 Char"/>
    <w:basedOn w:val="DefaultParagraphFont"/>
    <w:qFormat/>
    <w:rPr>
      <w:rFonts w:ascii="Times New Roman" w:hAnsi="Times New Roman" w:eastAsia="Calibri" w:cs="Droid Sans Arabic"/>
      <w:i/>
      <w:iCs/>
      <w:color w:val="2F5496"/>
      <w:sz w:val="24"/>
    </w:rPr>
  </w:style>
  <w:style w:type="character" w:styleId="TitleChar">
    <w:name w:val="Title Char"/>
    <w:basedOn w:val="DefaultParagraphFont"/>
    <w:qFormat/>
    <w:rPr>
      <w:rFonts w:ascii="Times New Roman" w:hAnsi="Times New Roman" w:eastAsia="Calibri" w:cs="Droid Sans Arabic"/>
      <w:spacing w:val="-10"/>
      <w:kern w:val="2"/>
      <w:sz w:val="56"/>
      <w:szCs w:val="56"/>
    </w:rPr>
  </w:style>
  <w:style w:type="character" w:styleId="HeaderChar">
    <w:name w:val="Header Char"/>
    <w:basedOn w:val="DefaultParagraphFont"/>
    <w:qFormat/>
    <w:rPr>
      <w:rFonts w:ascii="Times New Roman" w:hAnsi="Times New Roman"/>
      <w:sz w:val="24"/>
    </w:rPr>
  </w:style>
  <w:style w:type="character" w:styleId="FooterChar">
    <w:name w:val="Footer Char"/>
    <w:basedOn w:val="DefaultParagraphFont"/>
    <w:qFormat/>
    <w:rPr>
      <w:rFonts w:ascii="Times New Roman" w:hAnsi="Times New Roman"/>
      <w:sz w:val="24"/>
    </w:rPr>
  </w:style>
  <w:style w:type="character" w:styleId="FootnoteTextChar">
    <w:name w:val="Footnote Text Char"/>
    <w:basedOn w:val="DefaultParagraphFont"/>
    <w:qFormat/>
    <w:rPr>
      <w:rFonts w:ascii="Times New Roman" w:hAnsi="Times New Roman"/>
      <w:sz w:val="20"/>
      <w:szCs w:val="20"/>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InternetLink">
    <w:name w:val="Hyperlink"/>
    <w:basedOn w:val="DefaultParagraphFont"/>
    <w:rPr>
      <w:color w:val="0563C1"/>
      <w:u w:val="single"/>
    </w:rPr>
  </w:style>
  <w:style w:type="character" w:styleId="Hlfldcontribauthor">
    <w:name w:val="hlfld-contribauthor"/>
    <w:basedOn w:val="DefaultParagraphFont"/>
    <w:qFormat/>
    <w:rPr/>
  </w:style>
  <w:style w:type="character" w:styleId="Nlmgivennames">
    <w:name w:val="nlm_given-names"/>
    <w:basedOn w:val="DefaultParagraphFont"/>
    <w:qFormat/>
    <w:rPr/>
  </w:style>
  <w:style w:type="character" w:styleId="Nlmyear">
    <w:name w:val="nlm_year"/>
    <w:basedOn w:val="DefaultParagraphFont"/>
    <w:qFormat/>
    <w:rPr/>
  </w:style>
  <w:style w:type="character" w:styleId="Nlmpublisherloc">
    <w:name w:val="nlm_publisher-loc"/>
    <w:basedOn w:val="DefaultParagraphFont"/>
    <w:qFormat/>
    <w:rPr/>
  </w:style>
  <w:style w:type="character" w:styleId="Nlmpublishername">
    <w:name w:val="nlm_publisher-name"/>
    <w:basedOn w:val="DefaultParagraphFont"/>
    <w:qFormat/>
    <w:rPr/>
  </w:style>
  <w:style w:type="character" w:styleId="Reflnk">
    <w:name w:val="ref-lnk"/>
    <w:basedOn w:val="DefaultParagraphFont"/>
    <w:qFormat/>
    <w:rPr/>
  </w:style>
  <w:style w:type="character" w:styleId="HTMLPreformattedChar">
    <w:name w:val="HTML Preformatted Char"/>
    <w:basedOn w:val="DefaultParagraphFont"/>
    <w:qFormat/>
    <w:rPr>
      <w:rFonts w:ascii="Courier New" w:hAnsi="Courier New" w:eastAsia="Times New Roman" w:cs="Courier New"/>
      <w:sz w:val="20"/>
      <w:szCs w:val="20"/>
      <w:lang w:eastAsia="nb-NO"/>
    </w:rPr>
  </w:style>
  <w:style w:type="character" w:styleId="Nlmarticletitle">
    <w:name w:val="nlm_article-title"/>
    <w:basedOn w:val="DefaultParagraphFont"/>
    <w:qFormat/>
    <w:rPr/>
  </w:style>
  <w:style w:type="character" w:styleId="Nlmfpage">
    <w:name w:val="nlm_fpage"/>
    <w:basedOn w:val="DefaultParagraphFont"/>
    <w:qFormat/>
    <w:rPr/>
  </w:style>
  <w:style w:type="character" w:styleId="Nlmlpage">
    <w:name w:val="nlm_lpage"/>
    <w:basedOn w:val="DefaultParagraphFont"/>
    <w:qFormat/>
    <w:rPr/>
  </w:style>
  <w:style w:type="character" w:styleId="Eop">
    <w:name w:val="eop"/>
    <w:basedOn w:val="DefaultParagraphFont"/>
    <w:qFormat/>
    <w:rPr/>
  </w:style>
  <w:style w:type="character" w:styleId="Strong">
    <w:name w:val="Strong"/>
    <w:basedOn w:val="DefaultParagraphFont"/>
    <w:qFormat/>
    <w:rPr>
      <w:b/>
      <w:bCs/>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qFormat/>
    <w:pPr>
      <w:spacing w:lineRule="auto" w:line="240" w:before="0" w:after="0"/>
      <w:contextualSpacing/>
      <w:jc w:val="left"/>
    </w:pPr>
    <w:rPr>
      <w:rFonts w:eastAsia="Calibri" w:cs="Droid Sans Arabic"/>
      <w:spacing w:val="-10"/>
      <w:kern w:val="2"/>
      <w:sz w:val="56"/>
      <w:szCs w:val="56"/>
    </w:rPr>
  </w:style>
  <w:style w:type="paragraph" w:styleId="HeaderandFooter">
    <w:name w:val="Header and Footer"/>
    <w:basedOn w:val="Normal"/>
    <w:qFormat/>
    <w:pPr/>
    <w:rPr/>
  </w:style>
  <w:style w:type="paragraph" w:styleId="Header">
    <w:name w:val="Header"/>
    <w:basedOn w:val="Normal"/>
    <w:pPr>
      <w:tabs>
        <w:tab w:val="clear" w:pos="708"/>
        <w:tab w:val="center" w:pos="4536" w:leader="none"/>
        <w:tab w:val="right" w:pos="9072" w:leader="none"/>
      </w:tabs>
      <w:spacing w:lineRule="auto" w:line="240" w:before="0" w:after="0"/>
    </w:pPr>
    <w:rPr/>
  </w:style>
  <w:style w:type="paragraph" w:styleId="Footer">
    <w:name w:val="Footer"/>
    <w:basedOn w:val="Normal"/>
    <w:pPr>
      <w:tabs>
        <w:tab w:val="clear" w:pos="708"/>
        <w:tab w:val="center" w:pos="4536" w:leader="none"/>
        <w:tab w:val="right" w:pos="9072" w:leader="none"/>
      </w:tabs>
      <w:spacing w:lineRule="auto" w:line="240" w:before="0" w:after="0"/>
    </w:pPr>
    <w:rPr/>
  </w:style>
  <w:style w:type="paragraph" w:styleId="TOCHeading">
    <w:name w:val="TOC Heading"/>
    <w:basedOn w:val="Heading1"/>
    <w:next w:val="Normal"/>
    <w:qFormat/>
    <w:pPr>
      <w:jc w:val="left"/>
    </w:pPr>
    <w:rPr>
      <w:lang w:eastAsia="nb-NO"/>
    </w:rPr>
  </w:style>
  <w:style w:type="paragraph" w:styleId="Footnote">
    <w:name w:val="Footnote Text"/>
    <w:basedOn w:val="Normal"/>
    <w:pPr>
      <w:spacing w:lineRule="auto" w:line="240" w:before="0" w:after="0"/>
      <w:jc w:val="left"/>
    </w:pPr>
    <w:rPr>
      <w:sz w:val="20"/>
      <w:szCs w:val="20"/>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40" w:right="0" w:hanging="0"/>
    </w:pPr>
    <w:rPr/>
  </w:style>
  <w:style w:type="paragraph" w:styleId="Contents3">
    <w:name w:val="TOC 3"/>
    <w:basedOn w:val="Normal"/>
    <w:next w:val="Normal"/>
    <w:autoRedefine/>
    <w:pPr>
      <w:spacing w:before="0" w:after="100"/>
      <w:ind w:left="480" w:right="0" w:hanging="0"/>
    </w:pPr>
    <w:rPr/>
  </w:style>
  <w:style w:type="paragraph" w:styleId="ListParagraph">
    <w:name w:val="List Paragraph"/>
    <w:basedOn w:val="Normal"/>
    <w:qFormat/>
    <w:pPr>
      <w:spacing w:before="0" w:after="160"/>
      <w:ind w:left="720" w:right="0" w:hanging="0"/>
      <w:contextualSpacing/>
      <w:jc w:val="left"/>
    </w:pPr>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lang w:eastAsia="nb-NO"/>
    </w:rPr>
  </w:style>
  <w:style w:type="paragraph" w:styleId="Default">
    <w:name w:val="Default"/>
    <w:qFormat/>
    <w:pPr>
      <w:widowControl/>
      <w:kinsoku w:val="true"/>
      <w:overflowPunct w:val="true"/>
      <w:autoSpaceDE w:val="true"/>
      <w:bidi w:val="0"/>
      <w:spacing w:lineRule="auto" w:line="240" w:before="0" w:after="0"/>
      <w:jc w:val="left"/>
    </w:pPr>
    <w:rPr>
      <w:rFonts w:ascii="Garamond" w:hAnsi="Garamond" w:cs="Garamond" w:eastAsia="Calibri"/>
      <w:color w:val="000000"/>
      <w:kern w:val="0"/>
      <w:sz w:val="24"/>
      <w:szCs w:val="24"/>
      <w:lang w:val="nb-NO" w:eastAsia="en-US" w:bidi="ar-SA"/>
    </w:rPr>
  </w:style>
  <w:style w:type="paragraph" w:styleId="Selectionshareable">
    <w:name w:val="selectionshareable"/>
    <w:basedOn w:val="Normal"/>
    <w:qFormat/>
    <w:pPr>
      <w:spacing w:lineRule="auto" w:line="240" w:before="280" w:after="280"/>
      <w:jc w:val="left"/>
    </w:pPr>
    <w:rPr>
      <w:rFonts w:eastAsia="Times New Roman" w:cs="Times New Roman"/>
      <w:szCs w:val="24"/>
      <w:lang w:eastAsia="nb-NO"/>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afrobarometer.org/surveys-and-methods/sampling-principles" TargetMode="External"/><Relationship Id="rId6" Type="http://schemas.openxmlformats.org/officeDocument/2006/relationships/hyperlink" Target="https://afrobarometer.org/surveys-and-methods" TargetMode="External"/><Relationship Id="rId7" Type="http://schemas.openxmlformats.org/officeDocument/2006/relationships/hyperlink" Target="https://doi.org/10.1093/ijpor/edh081" TargetMode="External"/><Relationship Id="rId8" Type="http://schemas.openxmlformats.org/officeDocument/2006/relationships/hyperlink" Target="https://www.cia.gov/the-world-factbook/field/ethnic-groups/" TargetMode="External"/><Relationship Id="rId9" Type="http://schemas.openxmlformats.org/officeDocument/2006/relationships/hyperlink" Target="http://doi.org/10.1046/j.1525-1497.1998.00228.x" TargetMode="External"/><Relationship Id="rId10" Type="http://schemas.openxmlformats.org/officeDocument/2006/relationships/hyperlink" Target="https://www.hrw.org/world-report/2016/country-chapters/burundi" TargetMode="External"/><Relationship Id="rId11" Type="http://schemas.openxmlformats.org/officeDocument/2006/relationships/hyperlink" Target="https://www.nelsonmandela.org/omalley/index.php/site/q/03lv01538/04lv01600/05lv0164 0/06lv01642.htm" TargetMode="External"/><Relationship Id="rId12" Type="http://schemas.openxmlformats.org/officeDocument/2006/relationships/hyperlink" Target="https://doi.org/10.7910/DVN/29657" TargetMode="External"/><Relationship Id="rId13" Type="http://schemas.openxmlformats.org/officeDocument/2006/relationships/hyperlink" Target="https://www.peaceagreements.org/" TargetMode="External"/><Relationship Id="rId14" Type="http://schemas.openxmlformats.org/officeDocument/2006/relationships/hyperlink" Target="https://doi.org/10.1037/a0021817" TargetMode="External"/><Relationship Id="rId15" Type="http://schemas.openxmlformats.org/officeDocument/2006/relationships/hyperlink" Target="https://doi.org/10.1016/j.ssresearch.2015.02.003"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eader" Target="header1.xml"/><Relationship Id="rId19" Type="http://schemas.openxmlformats.org/officeDocument/2006/relationships/footnotes" Target="footnotes.xml"/><Relationship Id="rId20" Type="http://schemas.openxmlformats.org/officeDocument/2006/relationships/comments" Target="comment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127</TotalTime>
  <Application>LibreOffice/7.1.3.2$Linux_X86_64 LibreOffice_project/10$Build-2</Application>
  <AppVersion>15.0000</AppVersion>
  <Pages>96</Pages>
  <Words>24441</Words>
  <Characters>143223</Characters>
  <CharactersWithSpaces>171127</CharactersWithSpaces>
  <Paragraphs>1945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2021-05-21T14:06:00Z</dcterms:created>
  <dc:creator>Kristoffer Eikemo</dc:creator>
  <dc:description/>
  <dc:language>en-US</dc:language>
  <cp:lastModifiedBy/>
  <dcterms:modified xsi:type="dcterms:W3CDTF">2021-05-26T15:08:51Z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