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701"/>
          </w:tcPr>
          <w:p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sz w:val="20"/>
              </w:rPr>
              <w:t>RW2000102956</w:t>
            </w:r>
          </w:p>
        </w:tc>
      </w:tr>
      <w:tr>
        <w:tc>
          <w:tcPr>
            <w:tcW w:type="dxa" w:w="1701"/>
          </w:tcPr>
          <w:p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sz w:val="20"/>
              </w:rPr>
              <w:t>Kanał Trynka</w:t>
            </w:r>
          </w:p>
        </w:tc>
      </w:tr>
      <w:tr>
        <w:tc>
          <w:tcPr>
            <w:tcW w:type="dxa" w:w="1701"/>
          </w:tcPr>
          <w:p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sz w:val="20"/>
              </w:rPr>
              <w:t>Potok lub strumień nizinny piaszczysty</w:t>
            </w:r>
          </w:p>
        </w:tc>
      </w:tr>
      <w:tr>
        <w:tc>
          <w:tcPr>
            <w:tcW w:type="dxa" w:w="1701"/>
          </w:tcPr>
          <w:p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sz w:val="20"/>
              </w:rPr>
              <w:t>10.59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118"/>
            <w:gridSpan w:val="2"/>
          </w:tcPr>
          <w:p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type="dxa" w:w="5385"/>
            <w:gridSpan w:val="2"/>
          </w:tcPr>
          <w:p>
            <w:r>
              <w:rPr>
                <w:rFonts w:ascii="Arial" w:hAnsi="Arial"/>
                <w:sz w:val="20"/>
              </w:rPr>
              <w:t>1:1</w:t>
            </w:r>
          </w:p>
        </w:tc>
      </w:tr>
      <w:tr>
        <w:tc>
          <w:tcPr>
            <w:tcW w:type="dxa" w:w="3118"/>
            <w:gridSpan w:val="2"/>
          </w:tcPr>
          <w:p/>
        </w:tc>
        <w:tc>
          <w:tcPr>
            <w:tcW w:type="dxa" w:w="5385"/>
            <w:gridSpan w:val="2"/>
          </w:tcPr>
          <w:p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>
        <w:tc>
          <w:tcPr>
            <w:tcW w:type="dxa" w:w="2268"/>
          </w:tcPr>
          <w:p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type="dxa" w:w="850"/>
          </w:tcPr>
          <w:p>
            <w:r>
              <w:rPr>
                <w:rFonts w:ascii="Arial" w:hAnsi="Arial"/>
                <w:b/>
                <w:sz w:val="20"/>
              </w:rPr>
              <w:t>Udział % w aJCWP</w:t>
            </w:r>
          </w:p>
        </w:tc>
        <w:tc>
          <w:tcPr>
            <w:tcW w:type="dxa" w:w="850"/>
          </w:tcPr>
          <w:p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type="dxa" w:w="4535"/>
          </w:tcPr>
          <w:p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>
        <w:tc>
          <w:tcPr>
            <w:tcW w:type="dxa" w:w="2268"/>
          </w:tcPr>
          <w:p>
            <w:r>
              <w:rPr>
                <w:rFonts w:ascii="Arial" w:hAnsi="Arial"/>
                <w:sz w:val="20"/>
              </w:rPr>
              <w:t>RW2000172956</w:t>
            </w:r>
          </w:p>
        </w:tc>
        <w:tc>
          <w:tcPr>
            <w:tcW w:type="dxa" w:w="850"/>
          </w:tcPr>
          <w:p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type="dxa" w:w="850"/>
          </w:tcPr>
          <w:p>
            <w:r>
              <w:rPr>
                <w:rFonts w:ascii="Arial" w:hAnsi="Arial"/>
                <w:sz w:val="20"/>
              </w:rPr>
              <w:t>SCW</w:t>
            </w:r>
          </w:p>
        </w:tc>
        <w:tc>
          <w:tcPr>
            <w:tcW w:type="dxa" w:w="4535"/>
          </w:tcPr>
          <w:p>
            <w:r>
              <w:rPr>
                <w:rFonts w:ascii="Arial" w:hAnsi="Arial"/>
                <w:sz w:val="20"/>
              </w:rPr>
              <w:t>ocena ekspercka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6235"/>
            <w:gridSpan w:val="3"/>
          </w:tcPr>
          <w:p>
            <w:r>
              <w:rPr>
                <w:rFonts w:ascii="Arial" w:hAnsi="Arial"/>
                <w:b/>
                <w:sz w:val="20"/>
              </w:rPr>
              <w:t xml:space="preserve">Ocena stanu i perspektyw osiągniecia  celów dla stanu/potencjału ekologicznego w II cyklu planistycznym </w:t>
            </w:r>
          </w:p>
        </w:tc>
      </w:tr>
      <w:tr>
        <w:tc>
          <w:tcPr>
            <w:tcW w:type="dxa" w:w="2268"/>
          </w:tcPr>
          <w:p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type="dxa" w:w="850"/>
          </w:tcPr>
          <w:p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type="dxa" w:w="850"/>
          </w:tcPr>
          <w:p>
            <w:r>
              <w:rPr>
                <w:rFonts w:ascii="Arial" w:hAnsi="Arial"/>
                <w:b/>
                <w:sz w:val="20"/>
              </w:rPr>
              <w:t>Ocena ryzyka</w:t>
            </w:r>
          </w:p>
        </w:tc>
        <w:tc>
          <w:tcPr>
            <w:tcW w:type="dxa" w:w="4535"/>
          </w:tcPr>
          <w:p>
            <w:r>
              <w:rPr>
                <w:rFonts w:ascii="Arial" w:hAnsi="Arial"/>
                <w:b/>
                <w:sz w:val="20"/>
              </w:rPr>
              <w:t>Cel dla stanu/potencjału ekologicznego</w:t>
            </w:r>
          </w:p>
        </w:tc>
      </w:tr>
      <w:tr>
        <w:tc>
          <w:tcPr>
            <w:tcW w:type="dxa" w:w="2268"/>
          </w:tcPr>
          <w:p>
            <w:r>
              <w:rPr>
                <w:rFonts w:ascii="Arial" w:hAnsi="Arial"/>
                <w:sz w:val="20"/>
              </w:rPr>
              <w:t>RW2000172956</w:t>
            </w:r>
          </w:p>
        </w:tc>
        <w:tc>
          <w:tcPr>
            <w:tcW w:type="dxa" w:w="850"/>
          </w:tcPr>
          <w:p>
            <w:r>
              <w:rPr>
                <w:rFonts w:ascii="Arial" w:hAnsi="Arial"/>
                <w:sz w:val="20"/>
              </w:rPr>
              <w:t>słaby</w:t>
            </w:r>
          </w:p>
        </w:tc>
        <w:tc>
          <w:tcPr>
            <w:tcW w:type="dxa" w:w="850"/>
          </w:tcPr>
          <w:p>
            <w:r>
              <w:rPr>
                <w:rFonts w:ascii="Arial" w:hAnsi="Arial"/>
                <w:sz w:val="20"/>
              </w:rPr>
              <w:t>zagrożona</w:t>
            </w:r>
          </w:p>
        </w:tc>
        <w:tc>
          <w:tcPr>
            <w:tcW w:type="dxa" w:w="4535"/>
          </w:tcPr>
          <w:p>
            <w:r>
              <w:rPr>
                <w:rFonts w:ascii="Arial" w:hAnsi="Arial"/>
                <w:sz w:val="20"/>
              </w:rPr>
              <w:t>dobry potencjał ekologiczny</w:t>
            </w:r>
          </w:p>
        </w:tc>
      </w:tr>
    </w:tbl>
    <w:p/>
    <w:p>
      <w:pPr>
        <w:jc w:val="center"/>
      </w:pPr>
      <w:r>
        <w:rPr>
          <w:rFonts w:ascii="Arial" w:hAnsi="Arial"/>
          <w:b/>
          <w:sz w:val="20"/>
        </w:rPr>
        <w:t>Mapa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00000" cy="45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20001029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50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Arial" w:hAnsi="Arial"/>
          <w:b/>
          <w:sz w:val="20"/>
        </w:rPr>
        <w:t>Wyniki wstępnego wyznaczania w III cyklu planistycznym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Parametry przekształcenia hydromorfologicznego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PRH4 (1-10)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4.5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PPH6 (0-7)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</w:tr>
      <w:tr>
        <w:tc>
          <w:tcPr>
            <w:tcW w:type="dxa" w:w="8640"/>
            <w:gridSpan w:val="6"/>
          </w:tcPr>
          <w:p/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-2.08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2.08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5.5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6.2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0.0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type="dxa" w:w="2880"/>
            <w:gridSpan w:val="2"/>
          </w:tcPr>
          <w:p>
            <w:r>
              <w:rPr>
                <w:rFonts w:ascii="Arial" w:hAnsi="Arial"/>
                <w:sz w:val="20"/>
              </w:rPr>
              <w:t>0.33</w:t>
            </w:r>
          </w:p>
        </w:tc>
        <w:tc>
          <w:tcPr>
            <w:tcW w:type="dxa" w:w="4320"/>
            <w:gridSpan w:val="3"/>
          </w:tcPr>
          <w:p/>
        </w:tc>
      </w:tr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type="dxa" w:w="2880"/>
            <w:gridSpan w:val="2"/>
          </w:tcPr>
          <w:p>
            <w:r>
              <w:rPr>
                <w:rFonts w:ascii="Arial" w:hAnsi="Arial"/>
                <w:b/>
                <w:sz w:val="20"/>
              </w:rPr>
              <w:t>SCW</w:t>
            </w:r>
          </w:p>
        </w:tc>
        <w:tc>
          <w:tcPr>
            <w:tcW w:type="dxa" w:w="4320"/>
            <w:gridSpan w:val="3"/>
          </w:tcPr>
          <w:p/>
        </w:tc>
      </w:tr>
    </w:tbl>
    <w:p/>
    <w:p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Arial" w:hAnsi="Arial"/>
                <w:b/>
                <w:sz w:val="20"/>
              </w:rPr>
              <w:t>Czy dokonano korekty?</w:t>
            </w:r>
          </w:p>
        </w:tc>
        <w:tc>
          <w:tcPr>
            <w:tcW w:type="dxa" w:w="4320"/>
          </w:tcPr>
          <w:p>
            <w:r>
              <w:rPr>
                <w:rFonts w:ascii="Arial" w:hAnsi="Arial"/>
                <w:sz w:val="20"/>
              </w:rPr>
              <w:t>NIE</w:t>
            </w:r>
          </w:p>
        </w:tc>
      </w:tr>
      <w:tr>
        <w:tc>
          <w:tcPr>
            <w:tcW w:type="dxa" w:w="4320"/>
          </w:tcPr>
          <w:p>
            <w:r>
              <w:rPr>
                <w:rFonts w:ascii="Arial" w:hAnsi="Arial"/>
                <w:b/>
                <w:sz w:val="20"/>
              </w:rPr>
              <w:t>Opis procedury/uzasadnienie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type="dxa" w:w="4320"/>
          </w:tcPr>
          <w:p/>
        </w:tc>
      </w:tr>
    </w:tbl>
    <w:p/>
    <w:p>
      <w:pPr>
        <w:jc w:val="center"/>
      </w:pPr>
      <w:r>
        <w:rPr>
          <w:rFonts w:ascii="Arial" w:hAnsi="Arial"/>
          <w:b/>
          <w:sz w:val="20"/>
        </w:rPr>
        <w:t>Znaczące zmiany hydromorfologiczne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17"/>
          </w:tcPr>
          <w:p>
            <w:r>
              <w:rPr>
                <w:rFonts w:ascii="Arial" w:hAnsi="Arial"/>
                <w:b/>
                <w:sz w:val="20"/>
              </w:rPr>
              <w:t>PPH4</w:t>
            </w:r>
          </w:p>
        </w:tc>
        <w:tc>
          <w:tcPr>
            <w:tcW w:type="dxa" w:w="7087"/>
          </w:tcPr>
          <w:p>
            <w:r>
              <w:rPr>
                <w:rFonts w:ascii="Arial" w:hAnsi="Arial"/>
                <w:sz w:val="20"/>
              </w:rPr>
              <w:t>Udział ciężkich budowli regulacyjnych -50.0% i lekkich budowli regulacyjnych -0.0% w stosunku do długości cieku głównego JCWP.</w:t>
            </w:r>
          </w:p>
        </w:tc>
      </w:tr>
      <w:tr>
        <w:tc>
          <w:tcPr>
            <w:tcW w:type="dxa" w:w="1417"/>
          </w:tcPr>
          <w:p>
            <w:r>
              <w:rPr>
                <w:rFonts w:ascii="Arial" w:hAnsi="Arial"/>
                <w:b/>
                <w:sz w:val="20"/>
              </w:rPr>
              <w:t>PPH5</w:t>
            </w:r>
          </w:p>
        </w:tc>
        <w:tc>
          <w:tcPr>
            <w:tcW w:type="dxa" w:w="7087"/>
          </w:tcPr>
          <w:p>
            <w:r>
              <w:rPr>
                <w:rFonts w:ascii="Arial" w:hAnsi="Arial"/>
                <w:sz w:val="20"/>
              </w:rPr>
              <w:t>Obiekty mostowe i przeprawy w JCWP – 22 – 2.1 obiektów na km cieku głównego.</w:t>
            </w:r>
          </w:p>
        </w:tc>
      </w:tr>
      <w:tr>
        <w:tc>
          <w:tcPr>
            <w:tcW w:type="dxa" w:w="1417"/>
          </w:tcPr>
          <w:p>
            <w:r>
              <w:rPr>
                <w:rFonts w:ascii="Arial" w:hAnsi="Arial"/>
                <w:b/>
                <w:sz w:val="20"/>
              </w:rPr>
              <w:t>PPH6</w:t>
            </w:r>
          </w:p>
        </w:tc>
        <w:tc>
          <w:tcPr>
            <w:tcW w:type="dxa" w:w="7087"/>
          </w:tcPr>
          <w:p>
            <w:r>
              <w:rPr>
                <w:rFonts w:ascii="Arial" w:hAnsi="Arial"/>
                <w:sz w:val="20"/>
              </w:rPr>
              <w:t>Długość obwałowanych cieków w JCWP wynosi 1.171km. Ciek główny obwałowano w 0.1% dwustronnie i 10.9% jednostronnie. Międzywale na cieku głównym w przeważającej części – nie przekracza dwukrotności szerokości koryta.</w:t>
            </w:r>
          </w:p>
        </w:tc>
      </w:tr>
      <w:tr>
        <w:tc>
          <w:tcPr>
            <w:tcW w:type="dxa" w:w="1417"/>
          </w:tcPr>
          <w:p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type="dxa" w:w="7087"/>
          </w:tcPr>
          <w:p/>
        </w:tc>
      </w:tr>
    </w:tbl>
    <w:p/>
    <w:p>
      <w:pPr>
        <w:jc w:val="center"/>
      </w:pPr>
      <w:r>
        <w:rPr>
          <w:rFonts w:ascii="Arial" w:hAnsi="Arial"/>
          <w:b/>
          <w:sz w:val="20"/>
        </w:rPr>
        <w:t>Informacje o aJCWP z dostępnych baz danych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Aktualna klasa drogi wodnej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drogi wodnej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elektrowni wodnych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Wielkość poborów  z wód powierzchniowych, dopuszczona w PWP, wg celu poboru [m3/rok]:</w:t>
            </w:r>
          </w:p>
          <w:p/>
          <w:p>
            <w:r>
              <w:rPr>
                <w:rFonts w:ascii="Arial" w:hAnsi="Arial"/>
                <w:b/>
                <w:sz w:val="20"/>
              </w:rPr>
              <w:t>1) rolnictwo-nawodnienia</w:t>
            </w:r>
          </w:p>
          <w:p>
            <w:r>
              <w:rPr>
                <w:rFonts w:ascii="Arial" w:hAnsi="Arial"/>
                <w:b/>
                <w:sz w:val="20"/>
              </w:rPr>
              <w:t>2) zaopatrzenie ludności w wodę do spożycia</w:t>
            </w:r>
          </w:p>
          <w:p>
            <w:r>
              <w:rPr>
                <w:rFonts w:ascii="Arial" w:hAnsi="Arial"/>
                <w:b/>
                <w:sz w:val="20"/>
              </w:rPr>
              <w:t>3) przemysł</w:t>
            </w:r>
          </w:p>
          <w:p>
            <w:r>
              <w:rPr>
                <w:rFonts w:ascii="Arial" w:hAnsi="Arial"/>
                <w:b/>
                <w:sz w:val="20"/>
              </w:rPr>
              <w:t>4) elektrownie wodne</w:t>
            </w:r>
          </w:p>
          <w:p>
            <w:r>
              <w:rPr>
                <w:rFonts w:ascii="Arial" w:hAnsi="Arial"/>
                <w:b/>
                <w:sz w:val="20"/>
              </w:rPr>
              <w:t>5) wody chłodnicze</w:t>
            </w:r>
          </w:p>
          <w:p>
            <w:r>
              <w:rPr>
                <w:rFonts w:ascii="Arial" w:hAnsi="Arial"/>
                <w:b/>
                <w:sz w:val="20"/>
              </w:rPr>
              <w:t>6) akwakultura</w:t>
            </w:r>
          </w:p>
          <w:p>
            <w:r>
              <w:rPr>
                <w:rFonts w:ascii="Arial" w:hAnsi="Arial"/>
                <w:b/>
                <w:sz w:val="20"/>
              </w:rPr>
              <w:t>7) inne</w:t>
            </w:r>
          </w:p>
          <w:p/>
        </w:tc>
        <w:tc>
          <w:tcPr>
            <w:tcW w:type="dxa" w:w="2835"/>
          </w:tcPr>
          <w:p/>
          <w:p/>
          <w:p>
            <w:r>
              <w:rPr>
                <w:rFonts w:ascii="Arial" w:hAnsi="Arial"/>
                <w:sz w:val="20"/>
              </w:rPr>
              <w:t>1) 0.0</w:t>
            </w:r>
          </w:p>
          <w:p>
            <w:r>
              <w:rPr>
                <w:rFonts w:ascii="Arial" w:hAnsi="Arial"/>
                <w:sz w:val="20"/>
              </w:rPr>
              <w:t>2) 0.0</w:t>
            </w:r>
          </w:p>
          <w:p>
            <w:r>
              <w:rPr>
                <w:rFonts w:ascii="Arial" w:hAnsi="Arial"/>
                <w:sz w:val="20"/>
              </w:rPr>
              <w:t>3) 0.0</w:t>
            </w:r>
          </w:p>
          <w:p>
            <w:r>
              <w:rPr>
                <w:rFonts w:ascii="Arial" w:hAnsi="Arial"/>
                <w:sz w:val="20"/>
              </w:rPr>
              <w:t>4) 0.0</w:t>
            </w:r>
          </w:p>
          <w:p>
            <w:r>
              <w:rPr>
                <w:rFonts w:ascii="Arial" w:hAnsi="Arial"/>
                <w:sz w:val="20"/>
              </w:rPr>
              <w:t>5) 0.0</w:t>
            </w:r>
          </w:p>
          <w:p>
            <w:r>
              <w:rPr>
                <w:rFonts w:ascii="Arial" w:hAnsi="Arial"/>
                <w:sz w:val="20"/>
              </w:rPr>
              <w:t>6) 0.0</w:t>
            </w:r>
          </w:p>
          <w:p>
            <w:r>
              <w:rPr>
                <w:rFonts w:ascii="Arial" w:hAnsi="Arial"/>
                <w:sz w:val="20"/>
              </w:rPr>
              <w:t>7) 0.0</w:t>
            </w:r>
          </w:p>
          <w:p/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Obszar, na którym ryzyko powodziowe jest minimalizowane - ISOK [ha]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obszarów chronionych / brak zagrożenia powodzią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Liczba ludzi zamieszkałych w chronionym obszarze - ISOK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ludności chronionej / brak zagrożenia powodzią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Ważniejsze obiekty kulturowe, zagrażające środowisku w razie powodzi, które są chronione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obiektów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Ważniejsze obiekty infrastruktury społecznej, zagrażające środowisku w razie powodzi, które są chronione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obiektów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Ważniejsze obiekty gospodarcze, zagrażające środowisku w razie powodzi, które są chronione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obiektów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Obszary zmeliorowane [ha]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obszarów zmeliorowanych / brak obszarów zmeliorowanych oznaczonych w bazach referencyjnych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poborów kruszywa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przerzutów</w:t>
            </w:r>
          </w:p>
        </w:tc>
      </w:tr>
      <w:tr>
        <w:tc>
          <w:tcPr>
            <w:tcW w:type="dxa" w:w="5669"/>
          </w:tcPr>
          <w:p>
            <w:r>
              <w:rPr>
                <w:rFonts w:ascii="Arial" w:hAnsi="Arial"/>
                <w:b/>
                <w:sz w:val="20"/>
              </w:rPr>
              <w:t>Wpływ górnictwa:</w:t>
            </w:r>
          </w:p>
          <w:p>
            <w:r>
              <w:rPr>
                <w:rFonts w:ascii="Arial" w:hAnsi="Arial"/>
                <w:b/>
                <w:sz w:val="20"/>
              </w:rPr>
              <w:t>1) powierzchnia terenów górniczych w zlewni jcwp [ha]</w:t>
            </w:r>
          </w:p>
          <w:p>
            <w:r>
              <w:rPr>
                <w:rFonts w:ascii="Arial" w:hAnsi="Arial"/>
                <w:b/>
                <w:sz w:val="20"/>
              </w:rPr>
              <w:t>2) powierzchnia obszarów górniczych w zlewni jcwp [ha]</w:t>
            </w:r>
          </w:p>
          <w:p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type="dxa" w:w="2835"/>
          </w:tcPr>
          <w:p>
            <w:r>
              <w:rPr>
                <w:rFonts w:ascii="Arial" w:hAnsi="Arial"/>
                <w:sz w:val="20"/>
              </w:rPr>
              <w:t>brak wpływu górnictwa</w:t>
            </w:r>
          </w:p>
          <w:p/>
          <w:p/>
          <w:p/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