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spacing w:after="240" w:before="240" w:lineRule="auto"/>
        <w:ind w:left="1440" w:firstLine="720"/>
        <w:rPr/>
      </w:pPr>
      <w:bookmarkStart w:colFirst="0" w:colLast="0" w:name="_v3h101" w:id="101"/>
      <w:bookmarkEnd w:id="101"/>
      <w:r>
        <w:rPr>
          <w:rtl w:val="0"/>
        </w:rPr>
        <w:t xml:space="preserve">Scope of Work (SOW)</w:t>
      </w:r>
    </w:p>
    <w:p>
      <w:pPr>
        <w:pStyle w:val="Heading2"/>
        <w:keepNext/>
        <w:spacing w:after="240" w:before="240" w:lineRule="auto"/>
        <w:rPr/>
      </w:pPr>
      <w:bookmarkStart w:colFirst="0" w:colLast="0" w:name="_v3h102" w:id="102"/>
      <w:bookmarkEnd w:id="102"/>
      <w:r>
        <w:rPr>
          <w:rtl w:val="0"/>
        </w:rPr>
        <w:t xml:space="preserve">Project Overview</w:t>
      </w:r>
    </w:p>
    <w:p>
      <w:pPr>
        <w:spacing w:after="240" w:before="240" w:lineRule="auto"/>
        <w:rPr/>
      </w:pPr>
      <w:r>
        <w:t xml:space="preserve">The Local Redaction Service capstone project is an academic collaboration between Virtual Gold Inc. (the “Client”) and the Capstone Student Project Team, dated October 5, 2026. This reconciled version replaces Scope of Work v3. It incorporates the September 21 direction and the September 28 weekly-sync notes. Explicit meeting agreements, the SOW design baseline, and specification details that remain unresolved are distinguished below; proposed architecture is not presented as a confirmed client commitment.</w:t>
      </w:r>
    </w:p>
    <w:p>
      <w:pPr>
        <w:spacing w:after="240" w:before="240" w:lineRule="auto"/>
        <w:rPr/>
      </w:pPr>
      <w:r>
        <w:t xml:space="preserve">The project will design, build, and evaluate a local redaction service: a standalone HTTP service running an open-source language model on project hardware. It processes English-language text and documents, replaces private information with reversible placeholders before eligible text reaches a cloud AI assistant, and restores original values in the assistant’s reply. The Client’s VG08 assistant calls the service automatically on every request. Executive email is the initial benchmark format, not the limit of the input scope.</w:t>
      </w:r>
    </w:p>
    <w:p>
      <w:pPr>
        <w:spacing w:after="240" w:before="240" w:lineRule="auto"/>
        <w:rPr/>
      </w:pPr>
      <w:r>
        <w:rPr>
          <w:rtl w:val="0"/>
        </w:rPr>
        <w:t xml:space="preserve">The central challenge is determining what counts as private. The same string can be private in one context and public in another: a personal mobile number versus a published support line, or a name quoted inside a forwarded thread.</w:t>
      </w:r>
    </w:p>
    <w:p>
      <w:pPr>
        <w:pStyle w:val="Heading2"/>
        <w:keepNext/>
        <w:spacing w:after="240" w:before="240" w:lineRule="auto"/>
        <w:rPr/>
      </w:pPr>
      <w:bookmarkStart w:colFirst="0" w:colLast="0" w:name="_v3h103" w:id="103"/>
      <w:bookmarkEnd w:id="103"/>
      <w:r>
        <w:rPr>
          <w:rtl w:val="0"/>
        </w:rPr>
        <w:t xml:space="preserve">1. Project Objective</w:t>
      </w:r>
    </w:p>
    <w:p>
      <w:pPr>
        <w:spacing w:after="240" w:before="240" w:lineRule="auto"/>
        <w:rPr/>
      </w:pPr>
      <w:r>
        <w:rPr>
          <w:rtl w:val="0"/>
        </w:rPr>
        <w:t xml:space="preserve">The primary objective of this project is to let an executive’s cloud AI assistant see only what it needs for the task, by detecting and redacting private data locally, automatically, and on every request, without a person reviewing each item.</w:t>
      </w:r>
    </w:p>
    <w:p>
      <w:pPr>
        <w:spacing w:after="240" w:before="240" w:lineRule="auto"/>
        <w:rPr/>
      </w:pPr>
      <w:r>
        <w:rPr>
          <w:rtl w:val="0"/>
        </w:rPr>
        <w:t xml:space="preserve">The service will judge context rather than patterns alone, produce a calibrated confidence score for each item it finds, and make every redaction decision through rules in code, so that decisions are consistent and auditable. The guiding principle is that the model judges and the code decides.</w:t>
      </w:r>
    </w:p>
    <w:p>
      <w:pPr>
        <w:spacing w:after="240" w:before="240" w:lineRule="auto"/>
        <w:rPr/>
      </w:pPr>
      <w:r>
        <w:rPr>
          <w:rtl w:val="0"/>
        </w:rPr>
        <w:t xml:space="preserve">The final outcome will be a working service, integrated with the Client’s VG08 assistant, together with a labelled email benchmark that measures how much private data reaches the cloud and what each part of the design contributes.</w:t>
      </w:r>
    </w:p>
    <w:p>
      <w:pPr>
        <w:pStyle w:val="Heading2"/>
        <w:keepNext/>
        <w:spacing w:after="240" w:before="240" w:lineRule="auto"/>
        <w:rPr/>
      </w:pPr>
      <w:bookmarkStart w:colFirst="0" w:colLast="0" w:name="_v3h104" w:id="104"/>
      <w:bookmarkEnd w:id="104"/>
      <w:r>
        <w:rPr>
          <w:rtl w:val="0"/>
        </w:rPr>
        <w:t xml:space="preserve">2. Scope of Work (In-Scope)</w:t>
      </w:r>
    </w:p>
    <w:p>
      <w:pPr>
        <w:spacing w:after="240" w:before="240" w:lineRule="auto"/>
        <w:rPr/>
      </w:pPr>
      <w:r>
        <w:rPr>
          <w:rtl w:val="0"/>
        </w:rPr>
        <w:t xml:space="preserve">The student project team has completed an initial research phase covering sensitive-data classification, PII detection, local data minimization for cloud AI assistants, and confidence calibration of language models, including NIST SP 800-122, Microsoft Presidio, the Rescriber system (Zhou et al., CHI 2025), and studies of language-model overconfidence (Xiong et al., ICLR 2024).</w:t>
      </w:r>
    </w:p>
    <w:p>
      <w:pPr>
        <w:spacing w:after="240" w:before="240" w:lineRule="auto"/>
        <w:rPr/>
      </w:pPr>
      <w:r>
        <w:rPr>
          <w:rtl w:val="0"/>
        </w:rPr>
        <w:t xml:space="preserve">The student project team will build the local redaction service. All detection and judgment run on project hardware with no outbound network access. The service will include:</w:t>
      </w:r>
    </w:p>
    <w:p>
      <w:pPr>
        <w:numPr>
          <w:ilvl w:val="0"/>
          <w:numId w:val="3"/>
        </w:numPr>
        <w:spacing w:after="0" w:afterAutospacing="0" w:before="240" w:beforeAutospacing="0" w:lineRule="auto"/>
        <w:ind w:left="720" w:hanging="360"/>
      </w:pPr>
      <w:r>
        <w:t xml:space="preserve">An HTTP API with request validation, through which the calling application submits structured English-language text and source context for redaction and later requests restoration. The API contract defines supported inputs; universal file-format support, OCR, and attachment extraction are not implied.</w:t>
      </w:r>
    </w:p>
    <w:p>
      <w:pPr>
        <w:numPr>
          <w:ilvl w:val="0"/>
          <w:numId w:val="3"/>
        </w:numPr>
        <w:spacing w:after="0" w:afterAutospacing="0" w:before="0" w:beforeAutospacing="0" w:lineRule="auto"/>
        <w:ind w:left="720" w:hanging="360"/>
      </w:pPr>
      <w:r>
        <w:t xml:space="preserve">Segmentation of document text into source-tagged sections. For email, these include the body, quoted thread, and signature. Other document sections use the structure available in the submitted text and metadata.</w:t>
      </w:r>
    </w:p>
    <w:p>
      <w:pPr>
        <w:numPr>
          <w:ilvl w:val="0"/>
          <w:numId w:val="3"/>
        </w:numPr>
        <w:spacing w:after="0" w:afterAutospacing="0" w:before="0" w:beforeAutospacing="0" w:lineRule="auto"/>
        <w:ind w:left="720" w:hanging="360"/>
      </w:pPr>
      <w:r>
        <w:rPr>
          <w:rtl w:val="0"/>
        </w:rPr>
        <w:t xml:space="preserve">Candidate detection that combines three detectors (rules, Microsoft Presidio, and a local open-source model) and takes the union of their findings.</w:t>
      </w:r>
    </w:p>
    <w:p>
      <w:pPr>
        <w:numPr>
          <w:ilvl w:val="0"/>
          <w:numId w:val="3"/>
        </w:numPr>
        <w:spacing w:after="0" w:afterAutospacing="0" w:before="0" w:beforeAutospacing="0" w:lineRule="auto"/>
        <w:ind w:left="720" w:hanging="360"/>
      </w:pPr>
      <w:r>
        <w:rPr>
          <w:rtl w:val="0"/>
        </w:rPr>
        <w:t xml:space="preserve">Context assessment, in which the local model judges whether each candidate is private or public in its context and gives a score that is calibrated against labelled emails.</w:t>
      </w:r>
    </w:p>
    <w:p>
      <w:pPr>
        <w:numPr>
          <w:ilvl w:val="0"/>
          <w:numId w:val="3"/>
        </w:numPr>
        <w:spacing w:after="0" w:afterAutospacing="0" w:before="0" w:beforeAutospacing="0" w:lineRule="auto"/>
        <w:ind w:left="720" w:hanging="360"/>
      </w:pPr>
      <w:r>
        <w:t xml:space="preserve">A decision step in code that applies each item’s sensitivity tier and threshold, plus a separate request-routing policy that determines whether the complete request remains local or may proceed with redacted text. A High-tier item does not, by itself, define the routing outcome; the category-to-routing rules are specified separately.</w:t>
      </w:r>
    </w:p>
    <w:p>
      <w:pPr>
        <w:numPr>
          <w:ilvl w:val="0"/>
          <w:numId w:val="3"/>
        </w:numPr>
        <w:spacing w:after="0" w:afterAutospacing="0" w:before="0" w:beforeAutospacing="0" w:lineRule="auto"/>
        <w:ind w:left="720" w:hanging="360"/>
      </w:pPr>
      <w:r>
        <w:rPr>
          <w:rtl w:val="0"/>
        </w:rPr>
        <w:t xml:space="preserve">Replacement of redacted items with reversible placeholders (for example, [PHONE_1]). The mapping to the original values is stored locally and never leaves the service.</w:t>
      </w:r>
    </w:p>
    <w:p>
      <w:pPr>
        <w:numPr>
          <w:ilvl w:val="0"/>
          <w:numId w:val="3"/>
        </w:numPr>
        <w:spacing w:after="0" w:afterAutospacing="0" w:before="0" w:beforeAutospacing="0" w:lineRule="auto"/>
        <w:ind w:left="720" w:hanging="360"/>
      </w:pPr>
      <w:r>
        <w:t xml:space="preserve">A separate restore call that replaces service-issued placeholders with their original values and flags placeholders the service did not issue. The API contract defines the handling of flagged tokens and the record lifecycle; answer scanning and automatic record consumption are not established requirements in the September 28 notes.</w:t>
      </w:r>
    </w:p>
    <w:p>
      <w:pPr>
        <w:numPr>
          <w:ilvl w:val="0"/>
          <w:numId w:val="3"/>
        </w:numPr>
        <w:spacing w:after="0" w:afterAutospacing="0" w:before="0" w:beforeAutospacing="0" w:lineRule="auto"/>
        <w:ind w:left="720" w:hanging="360"/>
      </w:pPr>
      <w:r>
        <w:t xml:space="preserve">The SOW design baseline includes a degraded fallback: if the model is unavailable or its output cannot be parsed, every candidate identified by the available detectors is redacted and the response is flagged as degraded. This does not establish that every private item was detected. A degraded flag alone is not authorization for VG08 to send the output to the cloud; degraded-output eligibility remains a specification detail identified in Section 6.</w:t>
      </w:r>
    </w:p>
    <w:p>
      <w:pPr>
        <w:numPr>
          <w:ilvl w:val="0"/>
          <w:numId w:val="3"/>
        </w:numPr>
        <w:spacing w:after="0" w:afterAutospacing="0" w:before="0" w:beforeAutospacing="0" w:lineRule="auto"/>
        <w:ind w:left="720" w:hanging="360"/>
      </w:pPr>
      <w:r>
        <w:t xml:space="preserve">Local request records that the caller can restore from or delete, and an audit log that records category, score, and action but never original text. Retention, expiry, isolation, retries, and consume-after-restore semantics will be specified in the API contract.</w:t>
      </w:r>
    </w:p>
    <w:p>
      <w:pPr>
        <w:numPr>
          <w:ilvl w:val="0"/>
          <w:numId w:val="3"/>
        </w:numPr>
        <w:spacing w:after="240" w:afterAutospacing="0" w:before="0" w:beforeAutospacing="0" w:lineRule="auto"/>
        <w:ind w:left="720" w:hanging="360"/>
      </w:pPr>
      <w:r>
        <w:rPr>
          <w:rtl w:val="0"/>
        </w:rPr>
        <w:t xml:space="preserve">A monitoring dashboard (Prometheus and Grafana) showing requests, availability, latency per stage, the degraded rate, and model-call outcomes.</w:t>
      </w:r>
    </w:p>
    <w:p>
      <w:pPr>
        <w:spacing w:after="240" w:before="240" w:lineRule="auto"/>
        <w:rPr/>
      </w:pPr>
      <w:r>
        <w:t xml:space="preserve">The student project team will define sensitivity tiers and decision rules based on NIST SP 800-122. The High tier covers identifiers, passwords and keys, bank and card numbers, health information, and business-confidential information. The Medium tier covers private individuals’ names, personal phone numbers and email addresses, and home addresses. The Low tier covers cities, dates, organisation names, age, and gender: these are kept on their own and redacted in sensitive combinations. Each tier has its own threshold; higher potential harm requires less confidence to redact. Initial thresholds will be tuned on labelled data. The tier table includes the combination rules and rationale. Whole-request routing is specified separately from item-level tiers.</w:t>
      </w:r>
    </w:p>
    <w:p>
      <w:pPr>
        <w:spacing w:after="240" w:before="240" w:lineRule="auto"/>
        <w:rPr/>
      </w:pPr>
      <w:r>
        <w:rPr>
          <w:rtl w:val="0"/>
        </w:rPr>
        <w:t xml:space="preserve">The student project team will build an </w:t>
      </w:r>
      <w:r>
        <w:rPr>
          <w:b w:val="1"/>
          <w:bCs w:val="1"/>
          <w:rtl w:val="0"/>
        </w:rPr>
        <w:t xml:space="preserve">evaluation benchmark</w:t>
      </w:r>
      <w:r>
        <w:rPr>
          <w:rtl w:val="0"/>
        </w:rPr>
        <w:t xml:space="preserve"> of 100 fictional executive emails, with every sensitive item labelled by type, exact position, and whether it must be masked. The benchmark includes context-dependent cases, clean emails that measure over-redaction, forwarded threads, emails containing prompt-injection attempts, and business-confidential statements that contain no single name.</w:t>
      </w:r>
    </w:p>
    <w:p>
      <w:pPr>
        <w:spacing w:after="240" w:before="240" w:lineRule="auto"/>
        <w:rPr/>
      </w:pPr>
      <w:r>
        <w:rPr>
          <w:rtl w:val="0"/>
        </w:rPr>
        <w:t xml:space="preserve">The service will be evaluated on this benchmark. The primary metric is the </w:t>
      </w:r>
      <w:r>
        <w:rPr>
          <w:b w:val="1"/>
          <w:bCs w:val="1"/>
          <w:rtl w:val="0"/>
        </w:rPr>
        <w:t xml:space="preserve">leak rate</w:t>
      </w:r>
      <w:r>
        <w:rPr>
          <w:rtl w:val="0"/>
        </w:rPr>
        <w:t xml:space="preserve">: the share of private items that reach the cloud, reported per tier. Over-redaction, calibration, and processing time per email will also be measured. An ablation study, starting from a Rescriber-style baseline, will measure what each component adds (detector union, name propagation, repeated model runs, tier thresholds). Thresholds will be tuned on one subset of the benchmark and results reported on a held-out subset.</w:t>
      </w:r>
    </w:p>
    <w:p>
      <w:pPr>
        <w:spacing w:after="240" w:before="240" w:lineRule="auto"/>
        <w:rPr/>
      </w:pPr>
      <w:r>
        <w:t xml:space="preserve">Testing follows the two phases aligned on September 28. Phase 1 tests English-language text and document processing in the standalone service. Phase 2 integrates the HTTP service with the Client’s VG08 assistant and tests end-to-end workflows before text reaches the cloud. Preliminary architecture experiments may use cloud-hosted open-source models or local tools such as Ollama. The delivered redaction service runs locally with no outbound model calls. The benchmark and all testing use fictional data only; broader document examples do not establish measured accuracy beyond the email benchmark.</w:t>
      </w:r>
    </w:p>
    <w:p>
      <w:pPr>
        <w:spacing w:after="240" w:before="240" w:lineRule="auto"/>
        <w:rPr/>
      </w:pPr>
      <w:r>
        <w:rPr>
          <w:rtl w:val="0"/>
        </w:rPr>
        <w:t xml:space="preserve">The student project team will deliver a formal </w:t>
      </w:r>
      <w:r>
        <w:rPr>
          <w:b w:val="1"/>
          <w:bCs w:val="1"/>
          <w:rtl w:val="0"/>
        </w:rPr>
        <w:t xml:space="preserve">Midterm Presentation</w:t>
      </w:r>
      <w:r>
        <w:rPr>
          <w:rtl w:val="0"/>
        </w:rPr>
        <w:t xml:space="preserve"> to the Client on October 5, 2026, covering the sensitive-data classification approach, the service architecture, the service engineering plan, the evaluation dataset, and the schedule.</w:t>
      </w:r>
    </w:p>
    <w:p>
      <w:pPr>
        <w:spacing w:after="240" w:before="240" w:lineRule="auto"/>
        <w:rPr/>
      </w:pPr>
      <w:r>
        <w:rPr>
          <w:rtl w:val="0"/>
        </w:rPr>
        <w:t xml:space="preserve">The engagement will conclude with a formal </w:t>
      </w:r>
      <w:r>
        <w:rPr>
          <w:b w:val="1"/>
          <w:bCs w:val="1"/>
          <w:rtl w:val="0"/>
        </w:rPr>
        <w:t xml:space="preserve">Final Presentation</w:t>
      </w:r>
      <w:r>
        <w:rPr>
          <w:rtl w:val="0"/>
        </w:rPr>
        <w:t xml:space="preserve"> demonstrating the completed service and its integration with VG08, the benchmark and ablation results, and recommendations. The student project team will additionally deliver technical documentation and a final academic report describing the methodology, architecture, results, limitations, and recommendations.</w:t>
      </w:r>
    </w:p>
    <w:p>
      <w:pPr>
        <w:pStyle w:val="Heading2"/>
        <w:keepNext/>
        <w:spacing w:after="240" w:before="240" w:lineRule="auto"/>
        <w:rPr/>
      </w:pPr>
      <w:bookmarkStart w:colFirst="0" w:colLast="0" w:name="_v3h105" w:id="105"/>
      <w:bookmarkEnd w:id="105"/>
      <w:r>
        <w:rPr>
          <w:rtl w:val="0"/>
        </w:rPr>
        <w:t xml:space="preserve">3. Out of Scope (Exclusions)</w:t>
      </w:r>
    </w:p>
    <w:p>
      <w:pPr>
        <w:spacing w:after="240" w:before="240" w:lineRule="auto"/>
        <w:rPr/>
      </w:pPr>
      <w:r>
        <w:rPr>
          <w:rtl w:val="0"/>
        </w:rPr>
        <w:t xml:space="preserve">This project explicitly excludes deployment of the service into a live enterprise production environment or the commercial launch of a production product.</w:t>
      </w:r>
    </w:p>
    <w:p>
      <w:pPr>
        <w:spacing w:after="240" w:before="240" w:lineRule="auto"/>
        <w:rPr/>
      </w:pPr>
      <w:r>
        <w:rPr>
          <w:rtl w:val="0"/>
        </w:rPr>
        <w:t xml:space="preserve">The service does not call any cloud AI model itself. The cloud assistant remains part of the Client’s VG08 system and receives only the redacted text. Integration with VG08 is limited to the environment the Client makes available for Phase 2; the project will not integrate with Virtual Gold Inc.’s production systems, internal corporate databases, or other operational infrastructure unless separately approved and added to the project scope.</w:t>
      </w:r>
    </w:p>
    <w:p>
      <w:pPr>
        <w:spacing w:after="240" w:before="240" w:lineRule="auto"/>
        <w:rPr/>
      </w:pPr>
      <w:r>
        <w:rPr>
          <w:rtl w:val="0"/>
        </w:rPr>
        <w:t xml:space="preserve">The project does not require access to or processing of real Personally Identifiable Information (PII), confidential customer information, or proprietary enterprise data. The benchmark and all testing use fictional data.</w:t>
      </w:r>
    </w:p>
    <w:p>
      <w:pPr>
        <w:spacing w:after="240" w:before="240" w:lineRule="auto"/>
        <w:rPr/>
      </w:pPr>
      <w:r>
        <w:t xml:space="preserve">The automatic-processing baseline excludes per-item human review. The September 28 notes describe a human review queue in the proposed architecture, but do not establish it as an agreed deliverable. Adding such a queue would change this baseline and require scope review; uncertainty handling is part of the API specification.</w:t>
      </w:r>
    </w:p>
    <w:p>
      <w:pPr>
        <w:spacing w:after="240" w:before="240" w:lineRule="auto"/>
        <w:rPr/>
      </w:pPr>
      <w:r>
        <w:rPr>
          <w:rtl w:val="0"/>
        </w:rPr>
        <w:t xml:space="preserve">The vertical scenario discussed on September 21, 2026 (a trading assistant over public filings) is deferred and may be added only through a Change Request if time permits.</w:t>
      </w:r>
    </w:p>
    <w:p>
      <w:pPr>
        <w:spacing w:after="240" w:before="240" w:lineRule="auto"/>
        <w:rPr/>
      </w:pPr>
      <w:r>
        <w:rPr>
          <w:rtl w:val="0"/>
        </w:rPr>
        <w:t xml:space="preserve">As an academic student project, the engagement does not include:</w:t>
      </w:r>
    </w:p>
    <w:p>
      <w:pPr>
        <w:numPr>
          <w:ilvl w:val="0"/>
          <w:numId w:val="3"/>
        </w:numPr>
        <w:spacing w:after="0" w:afterAutospacing="0" w:before="240" w:beforeAutospacing="0" w:lineRule="auto"/>
        <w:ind w:left="720" w:hanging="360"/>
      </w:pPr>
      <w:r>
        <w:rPr>
          <w:rtl w:val="0"/>
        </w:rPr>
        <w:t xml:space="preserve">Commercial software warranties or guarantees.</w:t>
      </w:r>
    </w:p>
    <w:p>
      <w:pPr>
        <w:numPr>
          <w:ilvl w:val="0"/>
          <w:numId w:val="3"/>
        </w:numPr>
        <w:spacing w:after="0" w:afterAutospacing="0" w:before="0" w:beforeAutospacing="0" w:lineRule="auto"/>
        <w:ind w:left="720" w:hanging="360"/>
      </w:pPr>
      <w:r>
        <w:rPr>
          <w:rtl w:val="0"/>
        </w:rPr>
        <w:t xml:space="preserve">Production-grade service-level agreements (SLAs).</w:t>
      </w:r>
    </w:p>
    <w:p>
      <w:pPr>
        <w:numPr>
          <w:ilvl w:val="0"/>
          <w:numId w:val="3"/>
        </w:numPr>
        <w:spacing w:after="0" w:afterAutospacing="0" w:before="0" w:beforeAutospacing="0" w:lineRule="auto"/>
        <w:ind w:left="720" w:hanging="360"/>
      </w:pPr>
      <w:r>
        <w:rPr>
          <w:rtl w:val="0"/>
        </w:rPr>
        <w:t xml:space="preserve">24/7 system monitoring or technical support.</w:t>
      </w:r>
    </w:p>
    <w:p>
      <w:pPr>
        <w:numPr>
          <w:ilvl w:val="0"/>
          <w:numId w:val="3"/>
        </w:numPr>
        <w:spacing w:after="0" w:afterAutospacing="0" w:before="0" w:beforeAutospacing="0" w:lineRule="auto"/>
        <w:ind w:left="720" w:hanging="360"/>
      </w:pPr>
      <w:r>
        <w:rPr>
          <w:rtl w:val="0"/>
        </w:rPr>
        <w:t xml:space="preserve">Ongoing model retraining or continuous fine-tuning after project completion.</w:t>
      </w:r>
    </w:p>
    <w:p>
      <w:pPr>
        <w:numPr>
          <w:ilvl w:val="0"/>
          <w:numId w:val="3"/>
        </w:numPr>
        <w:spacing w:after="0" w:afterAutospacing="0" w:before="0" w:beforeAutospacing="0" w:lineRule="auto"/>
        <w:ind w:left="720" w:hanging="360"/>
      </w:pPr>
      <w:r>
        <w:rPr>
          <w:rtl w:val="0"/>
        </w:rPr>
        <w:t xml:space="preserve">Long-term maintenance of the service after the capstone concludes.</w:t>
      </w:r>
    </w:p>
    <w:p>
      <w:pPr>
        <w:numPr>
          <w:ilvl w:val="0"/>
          <w:numId w:val="3"/>
        </w:numPr>
        <w:spacing w:after="0" w:afterAutospacing="0" w:before="0" w:beforeAutospacing="0" w:lineRule="auto"/>
        <w:ind w:left="720" w:hanging="360"/>
      </w:pPr>
      <w:r>
        <w:rPr>
          <w:rtl w:val="0"/>
        </w:rPr>
        <w:t xml:space="preserve">Full production infrastructure deployment or enterprise-wide integration.</w:t>
      </w:r>
    </w:p>
    <w:p>
      <w:pPr>
        <w:numPr>
          <w:ilvl w:val="0"/>
          <w:numId w:val="3"/>
        </w:numPr>
        <w:spacing w:after="0" w:afterAutospacing="0" w:before="0" w:beforeAutospacing="0" w:lineRule="auto"/>
        <w:ind w:left="720" w:hanging="360"/>
      </w:pPr>
      <w:r>
        <w:rPr>
          <w:rtl w:val="0"/>
        </w:rPr>
        <w:t xml:space="preserve">Comprehensive certification against regulatory or cybersecurity standards.</w:t>
      </w:r>
    </w:p>
    <w:p>
      <w:pPr>
        <w:numPr>
          <w:ilvl w:val="0"/>
          <w:numId w:val="3"/>
        </w:numPr>
        <w:spacing w:after="0" w:afterAutospacing="0" w:before="0" w:beforeAutospacing="0" w:lineRule="auto"/>
        <w:ind w:left="720" w:hanging="360"/>
      </w:pPr>
      <w:r>
        <w:rPr>
          <w:rtl w:val="0"/>
        </w:rPr>
        <w:t xml:space="preserve">Commercial procurement or licensing negotiations with AI model providers.</w:t>
      </w:r>
    </w:p>
    <w:p>
      <w:pPr>
        <w:numPr>
          <w:ilvl w:val="0"/>
          <w:numId w:val="3"/>
        </w:numPr>
        <w:spacing w:after="240" w:afterAutospacing="0" w:before="0" w:beforeAutospacing="0" w:lineRule="auto"/>
        <w:ind w:left="720" w:hanging="360"/>
      </w:pPr>
      <w:r>
        <w:rPr>
          <w:rtl w:val="0"/>
        </w:rPr>
        <w:t xml:space="preserve">Large-scale production load testing requiring enterprise-scale infrastructure.</w:t>
      </w:r>
    </w:p>
    <w:p>
      <w:pPr>
        <w:spacing w:after="240" w:before="240" w:lineRule="auto"/>
        <w:rPr/>
      </w:pPr>
      <w:r>
        <w:rPr>
          <w:rtl w:val="0"/>
        </w:rPr>
        <w:t xml:space="preserve">Any functionality or requirement substantially outside the objectives described in this document will require separate review and approval through the project change-management process.</w:t>
      </w:r>
    </w:p>
    <w:p>
      <w:pPr>
        <w:pStyle w:val="Heading2"/>
        <w:keepNext/>
        <w:spacing w:after="240" w:before="240" w:lineRule="auto"/>
        <w:rPr/>
      </w:pPr>
      <w:bookmarkStart w:colFirst="0" w:colLast="0" w:name="_v3h106" w:id="106"/>
      <w:bookmarkEnd w:id="106"/>
      <w:r>
        <w:rPr>
          <w:rtl w:val="0"/>
        </w:rPr>
        <w:t xml:space="preserve">4. Deliverables</w:t>
      </w:r>
    </w:p>
    <w:p>
      <w:pPr>
        <w:spacing w:after="240" w:before="240" w:lineRule="auto"/>
        <w:rPr/>
      </w:pPr>
      <w:r>
        <w:rPr>
          <w:rtl w:val="0"/>
        </w:rPr>
        <w:t xml:space="preserve">The student project team will produce the following primary deliverables:</w:t>
      </w:r>
    </w:p>
    <w:p>
      <w:pPr>
        <w:pStyle w:val="Heading3"/>
        <w:keepNext/>
        <w:spacing w:after="240" w:before="240" w:lineRule="auto"/>
        <w:rPr/>
      </w:pPr>
      <w:bookmarkStart w:colFirst="0" w:colLast="0" w:name="_v3h107" w:id="107"/>
      <w:bookmarkEnd w:id="107"/>
      <w:r>
        <w:rPr>
          <w:rtl w:val="0"/>
        </w:rPr>
        <w:t xml:space="preserve">1. Local Redaction Service</w:t>
      </w:r>
    </w:p>
    <w:p>
      <w:pPr>
        <w:spacing w:after="240" w:before="240" w:lineRule="auto"/>
        <w:rPr/>
      </w:pPr>
      <w:r>
        <w:t xml:space="preserve">A working local service for English-language text and documents, with an HTTP API implementing source-tagged segmentation, detector union, contextual assessment, item-level redaction, separate request routing, reversible placeholders, restoration, degraded fallback, local records, and audit logging. It integrates with VG08 in Phase 2. Specification details in Section 6 govern the unresolved behavior.</w:t>
      </w:r>
    </w:p>
    <w:p>
      <w:pPr>
        <w:pStyle w:val="Heading3"/>
        <w:keepNext/>
        <w:spacing w:after="240" w:before="240" w:lineRule="auto"/>
        <w:rPr/>
      </w:pPr>
      <w:bookmarkStart w:colFirst="0" w:colLast="0" w:name="_v3h108" w:id="108"/>
      <w:bookmarkEnd w:id="108"/>
      <w:r>
        <w:rPr>
          <w:rtl w:val="0"/>
        </w:rPr>
        <w:t xml:space="preserve">2. API Contract</w:t>
      </w:r>
    </w:p>
    <w:p>
      <w:pPr>
        <w:spacing w:after="240" w:before="240" w:lineRule="auto"/>
        <w:rPr/>
      </w:pPr>
      <w:r>
        <w:t xml:space="preserve">A versioned specification of supported inputs and source labels, endpoints, request and response formats, release and degraded states, restoration and deletion, record lifecycle, and error handling. The contract is frozen at the VG08 integration milestone.</w:t>
      </w:r>
    </w:p>
    <w:p>
      <w:pPr>
        <w:pStyle w:val="Heading3"/>
        <w:keepNext/>
        <w:spacing w:after="240" w:before="240" w:lineRule="auto"/>
        <w:rPr/>
      </w:pPr>
      <w:bookmarkStart w:colFirst="0" w:colLast="0" w:name="_v3h109" w:id="109"/>
      <w:bookmarkEnd w:id="109"/>
      <w:r>
        <w:rPr>
          <w:rtl w:val="0"/>
        </w:rPr>
        <w:t xml:space="preserve">3. Sensitivity Tiers and Decision Rules</w:t>
      </w:r>
    </w:p>
    <w:p>
      <w:pPr>
        <w:spacing w:after="240" w:before="240" w:lineRule="auto"/>
        <w:rPr/>
      </w:pPr>
      <w:r>
        <w:t xml:space="preserve">The sensitivity tier table, categories, thresholds, combination rules, and rationale, adjusted from measured results, together with a separate whole-request routing table for the Client’s review.</w:t>
      </w:r>
    </w:p>
    <w:p>
      <w:pPr>
        <w:pStyle w:val="Heading3"/>
        <w:keepNext/>
        <w:spacing w:after="240" w:before="240" w:lineRule="auto"/>
        <w:rPr/>
      </w:pPr>
      <w:bookmarkStart w:colFirst="0" w:colLast="0" w:name="_v3h110" w:id="110"/>
      <w:bookmarkEnd w:id="110"/>
      <w:r>
        <w:rPr>
          <w:rtl w:val="0"/>
        </w:rPr>
        <w:t xml:space="preserve">4. Evaluation Benchmark</w:t>
      </w:r>
    </w:p>
    <w:p>
      <w:pPr>
        <w:spacing w:after="240" w:before="240" w:lineRule="auto"/>
        <w:rPr/>
      </w:pPr>
      <w:r>
        <w:rPr>
          <w:rtl w:val="0"/>
        </w:rPr>
        <w:t xml:space="preserve">100 fictional executive emails with every sensitive item labelled, in a shared format so that any model’s output can be scored the same way.</w:t>
      </w:r>
    </w:p>
    <w:p>
      <w:pPr>
        <w:pStyle w:val="Heading3"/>
        <w:keepNext/>
        <w:spacing w:after="240" w:before="240" w:lineRule="auto"/>
        <w:rPr/>
      </w:pPr>
      <w:bookmarkStart w:colFirst="0" w:colLast="0" w:name="_v3h111" w:id="111"/>
      <w:bookmarkEnd w:id="111"/>
      <w:r>
        <w:rPr>
          <w:rtl w:val="0"/>
        </w:rPr>
        <w:t xml:space="preserve">5. Evaluation Report</w:t>
      </w:r>
    </w:p>
    <w:p>
      <w:pPr>
        <w:spacing w:after="240" w:before="240" w:lineRule="auto"/>
        <w:rPr/>
      </w:pPr>
      <w:r>
        <w:rPr>
          <w:rtl w:val="0"/>
        </w:rPr>
        <w:t xml:space="preserve">Results on the benchmark, which may include:</w:t>
      </w:r>
    </w:p>
    <w:p>
      <w:pPr>
        <w:numPr>
          <w:ilvl w:val="0"/>
          <w:numId w:val="3"/>
        </w:numPr>
        <w:spacing w:after="0" w:afterAutospacing="0" w:before="240" w:beforeAutospacing="0" w:lineRule="auto"/>
        <w:ind w:left="720" w:hanging="360"/>
      </w:pPr>
      <w:r>
        <w:rPr>
          <w:rtl w:val="0"/>
        </w:rPr>
        <w:t xml:space="preserve">Leak rate per tier.</w:t>
      </w:r>
    </w:p>
    <w:p>
      <w:pPr>
        <w:numPr>
          <w:ilvl w:val="0"/>
          <w:numId w:val="3"/>
        </w:numPr>
        <w:spacing w:after="0" w:afterAutospacing="0" w:before="0" w:beforeAutospacing="0" w:lineRule="auto"/>
        <w:ind w:left="720" w:hanging="360"/>
      </w:pPr>
      <w:r>
        <w:rPr>
          <w:rtl w:val="0"/>
        </w:rPr>
        <w:t xml:space="preserve">Over-redaction rate.</w:t>
      </w:r>
    </w:p>
    <w:p>
      <w:pPr>
        <w:numPr>
          <w:ilvl w:val="0"/>
          <w:numId w:val="3"/>
        </w:numPr>
        <w:spacing w:after="0" w:afterAutospacing="0" w:before="0" w:beforeAutospacing="0" w:lineRule="auto"/>
        <w:ind w:left="720" w:hanging="360"/>
      </w:pPr>
      <w:r>
        <w:rPr>
          <w:rtl w:val="0"/>
        </w:rPr>
        <w:t xml:space="preserve">Calibration of confidence scores.</w:t>
      </w:r>
    </w:p>
    <w:p>
      <w:pPr>
        <w:numPr>
          <w:ilvl w:val="0"/>
          <w:numId w:val="3"/>
        </w:numPr>
        <w:spacing w:after="0" w:afterAutospacing="0" w:before="0" w:beforeAutospacing="0" w:lineRule="auto"/>
        <w:ind w:left="720" w:hanging="360"/>
      </w:pPr>
      <w:r>
        <w:rPr>
          <w:rtl w:val="0"/>
        </w:rPr>
        <w:t xml:space="preserve">Processing time per email and load-test results on the confirmed hardware.</w:t>
      </w:r>
    </w:p>
    <w:p>
      <w:pPr>
        <w:numPr>
          <w:ilvl w:val="0"/>
          <w:numId w:val="3"/>
        </w:numPr>
        <w:spacing w:after="240" w:afterAutospacing="0" w:before="0" w:beforeAutospacing="0" w:lineRule="auto"/>
        <w:ind w:left="720" w:hanging="360"/>
      </w:pPr>
      <w:r>
        <w:rPr>
          <w:rtl w:val="0"/>
        </w:rPr>
        <w:t xml:space="preserve">The ablation study showing what each component adds.</w:t>
      </w:r>
    </w:p>
    <w:p>
      <w:pPr>
        <w:pStyle w:val="Heading3"/>
        <w:keepNext/>
        <w:spacing w:after="240" w:before="240" w:lineRule="auto"/>
        <w:rPr/>
      </w:pPr>
      <w:bookmarkStart w:colFirst="0" w:colLast="0" w:name="_v3h112" w:id="112"/>
      <w:bookmarkEnd w:id="112"/>
      <w:r>
        <w:rPr>
          <w:rtl w:val="0"/>
        </w:rPr>
        <w:t xml:space="preserve">6. Monitoring Dashboard</w:t>
      </w:r>
    </w:p>
    <w:p>
      <w:pPr>
        <w:spacing w:after="240" w:before="240" w:lineRule="auto"/>
        <w:rPr/>
      </w:pPr>
      <w:r>
        <w:rPr>
          <w:rtl w:val="0"/>
        </w:rPr>
        <w:t xml:space="preserve">A live dashboard of the service’s health: requests and status codes, availability, end-to-end and per-stage latency, degraded rate and causes, model-call outcomes, record capacity, and the policy, model, and prompt versions in use.</w:t>
      </w:r>
    </w:p>
    <w:p>
      <w:pPr>
        <w:pStyle w:val="Heading3"/>
        <w:keepNext/>
        <w:spacing w:after="240" w:before="240" w:lineRule="auto"/>
        <w:rPr/>
      </w:pPr>
      <w:bookmarkStart w:colFirst="0" w:colLast="0" w:name="_v3h113" w:id="113"/>
      <w:bookmarkEnd w:id="113"/>
      <w:r>
        <w:rPr>
          <w:rtl w:val="0"/>
        </w:rPr>
        <w:t xml:space="preserve">7. Midterm Presentation</w:t>
      </w:r>
    </w:p>
    <w:p>
      <w:pPr>
        <w:spacing w:after="240" w:before="240" w:lineRule="auto"/>
        <w:rPr/>
      </w:pPr>
      <w:r>
        <w:rPr>
          <w:rtl w:val="0"/>
        </w:rPr>
        <w:t xml:space="preserve">A formal presentation to Virtual Gold Inc. on October 5, 2026, covering the sensitive-data classification approach, the service architecture, the service engineering plan, the evaluation dataset, and the schedule.</w:t>
      </w:r>
    </w:p>
    <w:p>
      <w:pPr>
        <w:pStyle w:val="Heading3"/>
        <w:keepNext/>
        <w:spacing w:after="240" w:before="240" w:lineRule="auto"/>
        <w:rPr/>
      </w:pPr>
      <w:bookmarkStart w:colFirst="0" w:colLast="0" w:name="_v3h114" w:id="114"/>
      <w:bookmarkEnd w:id="114"/>
      <w:r>
        <w:rPr>
          <w:rtl w:val="0"/>
        </w:rPr>
        <w:t xml:space="preserve">8. Final Presentation</w:t>
      </w:r>
    </w:p>
    <w:p>
      <w:pPr>
        <w:spacing w:after="240" w:before="240" w:lineRule="auto"/>
        <w:rPr/>
      </w:pPr>
      <w:r>
        <w:rPr>
          <w:rtl w:val="0"/>
        </w:rPr>
        <w:t xml:space="preserve">A formal presentation demonstrating the completed service, including:</w:t>
      </w:r>
    </w:p>
    <w:p>
      <w:pPr>
        <w:numPr>
          <w:ilvl w:val="0"/>
          <w:numId w:val="3"/>
        </w:numPr>
        <w:spacing w:after="0" w:afterAutospacing="0" w:before="240" w:beforeAutospacing="0" w:lineRule="auto"/>
        <w:ind w:left="720" w:hanging="360"/>
      </w:pPr>
      <w:r>
        <w:rPr>
          <w:rtl w:val="0"/>
        </w:rPr>
        <w:t xml:space="preserve">A demonstration of the service integrated with VG08.</w:t>
      </w:r>
    </w:p>
    <w:p>
      <w:pPr>
        <w:numPr>
          <w:ilvl w:val="0"/>
          <w:numId w:val="3"/>
        </w:numPr>
        <w:spacing w:after="0" w:afterAutospacing="0" w:before="0" w:beforeAutospacing="0" w:lineRule="auto"/>
        <w:ind w:left="720" w:hanging="360"/>
      </w:pPr>
      <w:r>
        <w:rPr>
          <w:rtl w:val="0"/>
        </w:rPr>
        <w:t xml:space="preserve">The architecture.</w:t>
      </w:r>
    </w:p>
    <w:p>
      <w:pPr>
        <w:numPr>
          <w:ilvl w:val="0"/>
          <w:numId w:val="3"/>
        </w:numPr>
        <w:spacing w:after="0" w:afterAutospacing="0" w:before="0" w:beforeAutospacing="0" w:lineRule="auto"/>
        <w:ind w:left="720" w:hanging="360"/>
      </w:pPr>
      <w:r>
        <w:rPr>
          <w:rtl w:val="0"/>
        </w:rPr>
        <w:t xml:space="preserve">Benchmark and ablation results.</w:t>
      </w:r>
    </w:p>
    <w:p>
      <w:pPr>
        <w:numPr>
          <w:ilvl w:val="0"/>
          <w:numId w:val="3"/>
        </w:numPr>
        <w:spacing w:after="240" w:afterAutospacing="0" w:before="0" w:beforeAutospacing="0" w:lineRule="auto"/>
        <w:ind w:left="720" w:hanging="360"/>
      </w:pPr>
      <w:r>
        <w:rPr>
          <w:rtl w:val="0"/>
        </w:rPr>
        <w:t xml:space="preserve">Key conclusions and recommendations.</w:t>
      </w:r>
    </w:p>
    <w:p>
      <w:pPr>
        <w:pStyle w:val="Heading3"/>
        <w:keepNext/>
        <w:spacing w:after="240" w:before="240" w:lineRule="auto"/>
        <w:rPr/>
      </w:pPr>
      <w:bookmarkStart w:colFirst="0" w:colLast="0" w:name="_v3h115" w:id="115"/>
      <w:bookmarkEnd w:id="115"/>
      <w:r>
        <w:rPr>
          <w:rtl w:val="0"/>
        </w:rPr>
        <w:t xml:space="preserve">9. Final Documentation</w:t>
      </w:r>
    </w:p>
    <w:p>
      <w:pPr>
        <w:spacing w:after="240" w:before="240" w:lineRule="auto"/>
        <w:rPr/>
      </w:pPr>
      <w:r>
        <w:rPr>
          <w:rtl w:val="0"/>
        </w:rPr>
        <w:t xml:space="preserve">Supporting documentation describing the architecture, the API contract, the evaluation methodology, results, limitations, and recommendations, together with the final academic report.</w:t>
      </w:r>
    </w:p>
    <w:p>
      <w:pPr>
        <w:pStyle w:val="Heading2"/>
        <w:keepNext/>
        <w:spacing w:after="240" w:before="240" w:lineRule="auto"/>
        <w:rPr/>
      </w:pPr>
      <w:bookmarkStart w:colFirst="0" w:colLast="0" w:name="_v3h116" w:id="116"/>
      <w:bookmarkEnd w:id="116"/>
      <w:r>
        <w:rPr>
          <w:rtl w:val="0"/>
        </w:rPr>
        <w:t xml:space="preserve">5. Project Timeline</w:t>
      </w:r>
    </w:p>
    <w:p>
      <w:pPr>
        <w:spacing w:after="240" w:before="240" w:lineRule="auto"/>
        <w:rPr/>
      </w:pPr>
      <w:r>
        <w:t xml:space="preserve">The following October 5 to November 30, 2026 schedule is retained from SOW v3. The September 28 notes confirm the October 5 midterm and the two-phase testing sequence, but do not independently confirm every later date.</w:t>
      </w:r>
    </w:p>
    <w:p>
      <w:pPr>
        <w:spacing w:after="240" w:before="240" w:lineRule="auto"/>
        <w:rPr/>
      </w:pPr>
      <w:r>
        <w:t xml:space="preserve">Research, Requirements, and Design – Weeks 1–6 (completed): research, requirements, the September 21 direction, service architecture, and initial benchmark assets. Preliminary test results will be reported only where actually measured.</w:t>
      </w:r>
    </w:p>
    <w:p>
      <w:pPr>
        <w:spacing w:after="240" w:before="240" w:lineRule="auto"/>
        <w:rPr/>
      </w:pPr>
      <w:r>
        <w:rPr>
          <w:rtl w:val="0"/>
        </w:rPr>
        <w:t xml:space="preserve">The </w:t>
      </w:r>
      <w:r>
        <w:rPr>
          <w:b w:val="1"/>
          <w:bCs w:val="1"/>
          <w:rtl w:val="0"/>
        </w:rPr>
        <w:t xml:space="preserve">Midterm Presentation</w:t>
      </w:r>
      <w:r>
        <w:rPr>
          <w:rtl w:val="0"/>
        </w:rPr>
        <w:t xml:space="preserve"> to the Client is scheduled for </w:t>
      </w:r>
      <w:r>
        <w:rPr>
          <w:b w:val="1"/>
          <w:bCs w:val="1"/>
          <w:rtl w:val="0"/>
        </w:rPr>
        <w:t xml:space="preserve">October 5, 2026</w:t>
      </w:r>
      <w:r>
        <w:rPr>
          <w:rtl w:val="0"/>
        </w:rPr>
        <w:t xml:space="preserve">. – </w:t>
      </w:r>
      <w:r>
        <w:rPr>
          <w:i w:val="1"/>
          <w:iCs w:val="1"/>
          <w:rtl w:val="0"/>
        </w:rPr>
        <w:t xml:space="preserve">Week 7</w:t>
      </w:r>
    </w:p>
    <w:p>
      <w:pPr>
        <w:spacing w:after="240" w:before="240" w:lineRule="auto"/>
        <w:rPr/>
      </w:pPr>
      <w:r>
        <w:rPr>
          <w:rtl w:val="0"/>
        </w:rPr>
        <w:t xml:space="preserve">• </w:t>
      </w:r>
      <w:r>
        <w:rPr>
          <w:b w:val="1"/>
          <w:bCs w:val="1"/>
          <w:rtl w:val="0"/>
        </w:rPr>
        <w:t xml:space="preserve">Contract and Service Skeleton</w:t>
      </w:r>
      <w:r>
        <w:rPr>
          <w:rtl w:val="0"/>
        </w:rPr>
        <w:t xml:space="preserve"> – </w:t>
      </w:r>
      <w:r>
        <w:rPr>
          <w:i w:val="1"/>
          <w:iCs w:val="1"/>
          <w:rtl w:val="0"/>
        </w:rPr>
        <w:t xml:space="preserve">Week 7, October 5–11</w:t>
      </w:r>
      <w:r>
        <w:br w:type="textWrapping"/>
      </w:r>
      <w:r>
        <w:rPr>
          <w:rtl w:val="0"/>
        </w:rPr>
        <w:t xml:space="preserve">API contract version 0.4.2 and the service skeleton. Dashboard and load-testing work begins.</w:t>
      </w:r>
    </w:p>
    <w:p>
      <w:pPr>
        <w:spacing w:after="240" w:before="240" w:lineRule="auto"/>
        <w:rPr/>
      </w:pPr>
      <w:r>
        <w:rPr>
          <w:rtl w:val="0"/>
        </w:rPr>
        <w:t xml:space="preserve">• </w:t>
      </w:r>
      <w:r>
        <w:rPr>
          <w:b w:val="1"/>
          <w:bCs w:val="1"/>
          <w:rtl w:val="0"/>
        </w:rPr>
        <w:t xml:space="preserve">Fall Break</w:t>
      </w:r>
      <w:r>
        <w:rPr>
          <w:rtl w:val="0"/>
        </w:rPr>
        <w:t xml:space="preserve"> – </w:t>
      </w:r>
      <w:r>
        <w:rPr>
          <w:i w:val="1"/>
          <w:iCs w:val="1"/>
          <w:rtl w:val="0"/>
        </w:rPr>
        <w:t xml:space="preserve">Week 8, October 12–18</w:t>
      </w:r>
      <w:r>
        <w:br w:type="textWrapping"/>
      </w:r>
      <w:r>
        <w:rPr>
          <w:rtl w:val="0"/>
        </w:rPr>
        <w:t xml:space="preserve">No project work.</w:t>
      </w:r>
    </w:p>
    <w:p>
      <w:pPr>
        <w:spacing w:after="240" w:before="240" w:lineRule="auto"/>
        <w:rPr/>
      </w:pPr>
      <w:r>
        <w:rPr>
          <w:rtl w:val="0"/>
        </w:rPr>
        <w:t xml:space="preserve">• </w:t>
      </w:r>
      <w:r>
        <w:rPr>
          <w:b w:val="1"/>
          <w:bCs w:val="1"/>
          <w:rtl w:val="0"/>
        </w:rPr>
        <w:t xml:space="preserve">Service Build</w:t>
      </w:r>
      <w:r>
        <w:rPr>
          <w:rtl w:val="0"/>
        </w:rPr>
        <w:t xml:space="preserve"> – </w:t>
      </w:r>
      <w:r>
        <w:rPr>
          <w:i w:val="1"/>
          <w:iCs w:val="1"/>
          <w:rtl w:val="0"/>
        </w:rPr>
        <w:t xml:space="preserve">Weeks 9–10, October 19 – November 1</w:t>
      </w:r>
      <w:r>
        <w:br w:type="textWrapping"/>
      </w:r>
      <w:r>
        <w:rPr>
          <w:rtl w:val="0"/>
        </w:rPr>
        <w:t xml:space="preserve">Gateway, request records, and model adapter (week of October 19); pipeline wiring and failure path (October 19 – November 1).</w:t>
      </w:r>
    </w:p>
    <w:p>
      <w:pPr>
        <w:spacing w:after="240" w:before="240" w:lineRule="auto"/>
        <w:rPr/>
      </w:pPr>
      <w:r>
        <w:rPr>
          <w:rtl w:val="0"/>
        </w:rPr>
        <w:t xml:space="preserve">• </w:t>
      </w:r>
      <w:r>
        <w:rPr>
          <w:b w:val="1"/>
          <w:bCs w:val="1"/>
          <w:rtl w:val="0"/>
        </w:rPr>
        <w:t xml:space="preserve">Phase 1: Standalone Testing</w:t>
      </w:r>
      <w:r>
        <w:rPr>
          <w:rtl w:val="0"/>
        </w:rPr>
        <w:t xml:space="preserve"> – </w:t>
      </w:r>
      <w:r>
        <w:rPr>
          <w:i w:val="1"/>
          <w:iCs w:val="1"/>
          <w:rtl w:val="0"/>
        </w:rPr>
        <w:t xml:space="preserve">Weeks 10–11, October 26 – November 8</w:t>
      </w:r>
      <w:r>
        <w:br w:type="textWrapping"/>
      </w:r>
      <w:r>
        <w:rPr>
          <w:rtl w:val="0"/>
        </w:rPr>
        <w:t xml:space="preserve">The redaction service is tested on its own. Dashboard and load testing in the week of November 2.</w:t>
      </w:r>
    </w:p>
    <w:p>
      <w:pPr>
        <w:spacing w:after="240" w:before="240" w:lineRule="auto"/>
        <w:rPr/>
      </w:pPr>
      <w:r>
        <w:rPr>
          <w:rtl w:val="0"/>
        </w:rPr>
        <w:t xml:space="preserve">• </w:t>
      </w:r>
      <w:r>
        <w:rPr>
          <w:b w:val="1"/>
          <w:bCs w:val="1"/>
          <w:rtl w:val="0"/>
        </w:rPr>
        <w:t xml:space="preserve">Phase 2: VG08 Integration</w:t>
      </w:r>
      <w:r>
        <w:rPr>
          <w:rtl w:val="0"/>
        </w:rPr>
        <w:t xml:space="preserve"> – </w:t>
      </w:r>
      <w:r>
        <w:rPr>
          <w:i w:val="1"/>
          <w:iCs w:val="1"/>
          <w:rtl w:val="0"/>
        </w:rPr>
        <w:t xml:space="preserve">Weeks 11–12, November 2–15</w:t>
      </w:r>
      <w:r>
        <w:br w:type="textWrapping"/>
      </w:r>
      <w:r>
        <w:rPr>
          <w:rtl w:val="0"/>
        </w:rPr>
        <w:t xml:space="preserve">Integration with the Client’s VG08 service, with hardening and the contract freeze in the week of November 9.</w:t>
      </w:r>
    </w:p>
    <w:p>
      <w:pPr>
        <w:spacing w:after="240" w:before="240" w:lineRule="auto"/>
        <w:rPr/>
      </w:pPr>
      <w:r>
        <w:rPr>
          <w:rtl w:val="0"/>
        </w:rPr>
        <w:t xml:space="preserve">• </w:t>
      </w:r>
      <w:r>
        <w:rPr>
          <w:b w:val="1"/>
          <w:bCs w:val="1"/>
          <w:rtl w:val="0"/>
        </w:rPr>
        <w:t xml:space="preserve">Documentation and Final Evaluation</w:t>
      </w:r>
      <w:r>
        <w:rPr>
          <w:rtl w:val="0"/>
        </w:rPr>
        <w:t xml:space="preserve"> – </w:t>
      </w:r>
      <w:r>
        <w:rPr>
          <w:i w:val="1"/>
          <w:iCs w:val="1"/>
          <w:rtl w:val="0"/>
        </w:rPr>
        <w:t xml:space="preserve">Week 13, November 16–22</w:t>
      </w:r>
      <w:r>
        <w:br w:type="textWrapping"/>
      </w:r>
      <w:r>
        <w:rPr>
          <w:rtl w:val="0"/>
        </w:rPr>
        <w:t xml:space="preserve">Documentation and the final evaluation on the benchmark.</w:t>
      </w:r>
    </w:p>
    <w:p>
      <w:pPr>
        <w:spacing w:after="240" w:before="240" w:lineRule="auto"/>
        <w:rPr/>
      </w:pPr>
      <w:r>
        <w:rPr>
          <w:rtl w:val="0"/>
        </w:rPr>
        <w:t xml:space="preserve">• </w:t>
      </w:r>
      <w:r>
        <w:rPr>
          <w:b w:val="1"/>
          <w:bCs w:val="1"/>
          <w:rtl w:val="0"/>
        </w:rPr>
        <w:t xml:space="preserve">Team Materials and Rehearsal</w:t>
      </w:r>
      <w:r>
        <w:rPr>
          <w:rtl w:val="0"/>
        </w:rPr>
        <w:t xml:space="preserve"> – </w:t>
      </w:r>
      <w:r>
        <w:rPr>
          <w:i w:val="1"/>
          <w:iCs w:val="1"/>
          <w:rtl w:val="0"/>
        </w:rPr>
        <w:t xml:space="preserve">Week 14, November 23–29</w:t>
      </w:r>
      <w:r>
        <w:br w:type="textWrapping"/>
      </w:r>
      <w:r>
        <w:rPr>
          <w:rtl w:val="0"/>
        </w:rPr>
        <w:t xml:space="preserve">Final presentation materials and rehearsal.</w:t>
      </w:r>
    </w:p>
    <w:p>
      <w:pPr>
        <w:spacing w:after="240" w:before="240" w:lineRule="auto"/>
        <w:rPr/>
      </w:pPr>
      <w:r>
        <w:rPr>
          <w:rtl w:val="0"/>
        </w:rPr>
        <w:t xml:space="preserve">The </w:t>
      </w:r>
      <w:r>
        <w:rPr>
          <w:b w:val="1"/>
          <w:bCs w:val="1"/>
          <w:rtl w:val="0"/>
        </w:rPr>
        <w:t xml:space="preserve">Final Presentation</w:t>
      </w:r>
      <w:r>
        <w:rPr>
          <w:rtl w:val="0"/>
        </w:rPr>
        <w:t xml:space="preserve"> to the Client is scheduled for </w:t>
      </w:r>
      <w:r>
        <w:rPr>
          <w:b w:val="1"/>
          <w:bCs w:val="1"/>
          <w:rtl w:val="0"/>
        </w:rPr>
        <w:t xml:space="preserve">November 30, 2026</w:t>
      </w:r>
      <w:r>
        <w:rPr>
          <w:rtl w:val="0"/>
        </w:rPr>
        <w:t xml:space="preserve">. – </w:t>
      </w:r>
      <w:r>
        <w:rPr>
          <w:i w:val="1"/>
          <w:iCs w:val="1"/>
          <w:rtl w:val="0"/>
        </w:rPr>
        <w:t xml:space="preserve">Week 15</w:t>
      </w:r>
    </w:p>
    <w:p>
      <w:pPr>
        <w:spacing w:after="240" w:before="240" w:lineRule="auto"/>
        <w:rPr/>
      </w:pPr>
      <w:r>
        <w:rPr>
          <w:b w:val="1"/>
          <w:bCs w:val="1"/>
          <w:rtl w:val="0"/>
        </w:rPr>
        <w:t xml:space="preserve">Milestones:</w:t>
      </w:r>
    </w:p>
    <w:p>
      <w:pPr>
        <w:numPr>
          <w:ilvl w:val="0"/>
          <w:numId w:val="3"/>
        </w:numPr>
        <w:spacing w:after="0" w:afterAutospacing="0" w:before="240" w:beforeAutospacing="0" w:lineRule="auto"/>
        <w:ind w:left="720" w:hanging="360"/>
      </w:pPr>
      <w:r>
        <w:rPr>
          <w:rtl w:val="0"/>
        </w:rPr>
        <w:t xml:space="preserve">October 11 – Contract 0.4.2 and service skeleton.</w:t>
      </w:r>
    </w:p>
    <w:p>
      <w:pPr>
        <w:numPr>
          <w:ilvl w:val="0"/>
          <w:numId w:val="3"/>
        </w:numPr>
        <w:spacing w:after="0" w:afterAutospacing="0" w:before="0" w:beforeAutospacing="0" w:lineRule="auto"/>
        <w:ind w:left="720" w:hanging="360"/>
      </w:pPr>
      <w:r>
        <w:rPr>
          <w:rtl w:val="0"/>
        </w:rPr>
        <w:t xml:space="preserve">November 1 – End-to-end pipeline with failure path.</w:t>
      </w:r>
    </w:p>
    <w:p>
      <w:pPr>
        <w:numPr>
          <w:ilvl w:val="0"/>
          <w:numId w:val="3"/>
        </w:numPr>
        <w:spacing w:after="0" w:afterAutospacing="0" w:before="0" w:beforeAutospacing="0" w:lineRule="auto"/>
        <w:ind w:left="720" w:hanging="360"/>
      </w:pPr>
      <w:r>
        <w:rPr>
          <w:rtl w:val="0"/>
        </w:rPr>
        <w:t xml:space="preserve">November 8 – Dashboard and load-test results.</w:t>
      </w:r>
    </w:p>
    <w:p>
      <w:pPr>
        <w:numPr>
          <w:ilvl w:val="0"/>
          <w:numId w:val="3"/>
        </w:numPr>
        <w:spacing w:after="0" w:afterAutospacing="0" w:before="0" w:beforeAutospacing="0" w:lineRule="auto"/>
        <w:ind w:left="720" w:hanging="360"/>
      </w:pPr>
      <w:r>
        <w:rPr>
          <w:rtl w:val="0"/>
        </w:rPr>
        <w:t xml:space="preserve">November 15 – VG08 integration; contract freeze.</w:t>
      </w:r>
    </w:p>
    <w:p>
      <w:pPr>
        <w:numPr>
          <w:ilvl w:val="0"/>
          <w:numId w:val="3"/>
        </w:numPr>
        <w:spacing w:after="0" w:afterAutospacing="0" w:before="0" w:beforeAutospacing="0" w:lineRule="auto"/>
        <w:ind w:left="720" w:hanging="360"/>
      </w:pPr>
      <w:r>
        <w:rPr>
          <w:rtl w:val="0"/>
        </w:rPr>
        <w:t xml:space="preserve">November 22 – Code freeze (soft freeze November 18).</w:t>
      </w:r>
    </w:p>
    <w:p>
      <w:pPr>
        <w:numPr>
          <w:ilvl w:val="0"/>
          <w:numId w:val="3"/>
        </w:numPr>
        <w:spacing w:after="240" w:afterAutospacing="0" w:before="0" w:beforeAutospacing="0" w:lineRule="auto"/>
        <w:ind w:left="720" w:hanging="360"/>
      </w:pPr>
      <w:r>
        <w:rPr>
          <w:rtl w:val="0"/>
        </w:rPr>
        <w:t xml:space="preserve">November 30 – Final presentation.</w:t>
      </w:r>
    </w:p>
    <w:p>
      <w:pPr>
        <w:pStyle w:val="Heading2"/>
        <w:keepNext/>
        <w:spacing w:after="240" w:before="240" w:lineRule="auto"/>
        <w:rPr/>
      </w:pPr>
      <w:bookmarkStart w:colFirst="0" w:colLast="0" w:name="_v3h117" w:id="117"/>
      <w:bookmarkEnd w:id="117"/>
      <w:r>
        <w:rPr>
          <w:rtl w:val="0"/>
        </w:rPr>
        <w:t xml:space="preserve">6. Assumptions and Dependencies</w:t>
      </w:r>
    </w:p>
    <w:p>
      <w:pPr>
        <w:spacing w:after="240" w:before="240" w:lineRule="auto"/>
        <w:rPr/>
      </w:pPr>
      <w:r>
        <w:t xml:space="preserve">The service build depends on GPU and sandbox access arranged with the Client. The September 28 notes establish a resource-request process rather than a specific hardware commitment.</w:t>
      </w:r>
    </w:p>
    <w:p>
      <w:pPr>
        <w:spacing w:after="240" w:before="240" w:lineRule="auto"/>
        <w:rPr/>
      </w:pPr>
      <w:r>
        <w:t xml:space="preserve">Before using paid GPU, sandbox compute, or model APIs, the team discusses and confirms the need with Alex and Aarvin and follows the resource-approval process described in the September 28 notes, including Inderpal’s approval. Funding and access are established through that process; blanket sponsorship is not assumed.</w:t>
      </w:r>
    </w:p>
    <w:p>
      <w:pPr>
        <w:spacing w:after="240" w:before="240" w:lineRule="auto"/>
        <w:rPr/>
      </w:pPr>
      <w:r>
        <w:t xml:space="preserve">The schedule assumes that the Client’s VG08 integration environment is available by November 2, 2026. This is a SOW v3 scheduling dependency rather than a date independently confirmed in the September 28 notes.</w:t>
      </w:r>
    </w:p>
    <w:p>
      <w:pPr>
        <w:spacing w:after="240" w:before="240" w:lineRule="auto"/>
        <w:rPr/>
      </w:pPr>
      <w:r>
        <w:rPr>
          <w:rtl w:val="0"/>
        </w:rPr>
        <w:t xml:space="preserve">The Client will review the </w:t>
      </w:r>
      <w:r>
        <w:rPr>
          <w:b w:val="1"/>
          <w:bCs w:val="1"/>
          <w:rtl w:val="0"/>
        </w:rPr>
        <w:t xml:space="preserve">tier table and term list</w:t>
      </w:r>
      <w:r>
        <w:rPr>
          <w:rtl w:val="0"/>
        </w:rPr>
        <w:t xml:space="preserve">.</w:t>
      </w:r>
    </w:p>
    <w:p>
      <w:pPr>
        <w:spacing w:after="240" w:before="240" w:lineRule="auto"/>
        <w:rPr/>
      </w:pPr>
      <w:r>
        <w:t xml:space="preserve">The versioned API contract specifies whether each submitted text or section carries a caller-supplied source label, how provenance is represented, and what happens when source context is missing.</w:t>
      </w:r>
    </w:p>
    <w:p>
      <w:pPr>
        <w:spacing w:after="240" w:before="240" w:lineRule="auto"/>
        <w:rPr/>
      </w:pPr>
      <w:r>
        <w:rPr>
          <w:rtl w:val="0"/>
        </w:rPr>
        <w:t xml:space="preserve">The project assumes that no Personally Identifiable Information (PII), confidential customer information, or proprietary enterprise information will be required to complete the agreed scope. All testing uses fictional data.</w:t>
      </w:r>
    </w:p>
    <w:p>
      <w:pPr>
        <w:spacing w:after="240" w:before="240" w:lineRule="auto"/>
        <w:rPr/>
      </w:pPr>
      <w:r>
        <w:rPr>
          <w:rtl w:val="0"/>
        </w:rPr>
        <w:t xml:space="preserve">The project depends on continued availability of the selected open-source models, software frameworks, and development tools. Significant changes to model availability, licensing terms, or technical restrictions may require modifications to the implementation or evaluation approach.</w:t>
      </w:r>
    </w:p>
    <w:p>
      <w:pPr>
        <w:spacing w:after="240" w:before="240" w:lineRule="auto"/>
        <w:rPr/>
      </w:pPr>
      <w:r>
        <w:rPr>
          <w:rtl w:val="0"/>
        </w:rPr>
        <w:t xml:space="preserve">The evaluation will be limited by the compute resources reasonably available to an academic student project. Consequently, testing may focus on representative workloads rather than production-scale enterprise traffic.</w:t>
      </w:r>
    </w:p>
    <w:p>
      <w:pPr>
        <w:spacing w:after="240" w:before="240" w:lineRule="auto"/>
        <w:rPr/>
      </w:pPr>
      <w:r>
        <w:rPr>
          <w:rtl w:val="0"/>
        </w:rPr>
        <w:t xml:space="preserve">The Client will provide reasonable and timely feedback on major project milestones, architectural decisions, prototype demonstrations, and presentation materials to maintain the academic project schedule.</w:t>
      </w:r>
    </w:p>
    <w:p>
      <w:pPr>
        <w:spacing w:after="240" w:before="240" w:lineRule="auto"/>
        <w:rPr/>
      </w:pPr>
      <w:r>
        <w:rPr>
          <w:rtl w:val="0"/>
        </w:rPr>
        <w:t xml:space="preserve">Any significant modification to the objectives, deliverables, technical scope, or agreed project responsibilities described in this document should be documented through a formal </w:t>
      </w:r>
      <w:r>
        <w:rPr>
          <w:b w:val="1"/>
          <w:bCs w:val="1"/>
          <w:rtl w:val="0"/>
        </w:rPr>
        <w:t xml:space="preserve">Change Request</w:t>
      </w:r>
      <w:r>
        <w:rPr>
          <w:rtl w:val="0"/>
        </w:rPr>
        <w:t xml:space="preserve"> agreed upon by the Client and Capstone Student Project Team and, where required, approved by the relevant Carnegie Mellon University faculty advisor or academic program representative.</w:t>
      </w:r>
    </w:p>
    <w:p>
      <w:pPr>
        <w:pStyle w:val="Heading2"/>
        <w:keepNext/>
        <w:pageBreakBefore/>
        <w:spacing w:after="120" w:before="120" w:lineRule="auto"/>
        <w:rPr/>
      </w:pPr>
      <w:r>
        <w:t xml:space="preserve">Specification details and source reconciliation</w:t>
      </w:r>
    </w:p>
    <w:p>
      <w:pPr>
        <w:spacing w:after="120" w:before="120" w:lineRule="auto"/>
        <w:rPr/>
      </w:pPr>
      <w:r>
        <w:t xml:space="preserve">The September 28 notes align English-only inputs, preliminary cloud-hosted or local model experiments, and standalone testing before VG08 integration. Other architecture descriptions are proposals. The following details remain for the API specification; the Gemini notes do not establish their final behavior.</w:t>
      </w:r>
    </w:p>
    <w:tbl>
      <w:tblPr>
        <w:tblW w:w="864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050"/>
        <w:gridCol w:w="6590"/>
      </w:tblGrid>
      <w:tr>
        <w:trPr>
          <w:cantSplit/>
          <w:tblHeader/>
        </w:trPr>
        <w:tc>
          <w:tcPr>
            <w:tcW w:w="2050" w:type="dxa"/>
            <w:shd w:val="clear" w:fill="EAEAEA"/>
          </w:tcPr>
          <w:p>
            <w:pPr>
              <w:spacing w:after="100" w:before="100"/>
            </w:pPr>
            <w:r>
              <w:rPr>
                <w:sz w:val="20"/>
                <w:b/>
              </w:rPr>
              <w:t>Topic</w:t>
            </w:r>
          </w:p>
        </w:tc>
        <w:tc>
          <w:tcPr>
            <w:tcW w:w="6590" w:type="dxa"/>
            <w:shd w:val="clear" w:fill="EAEAEA"/>
          </w:tcPr>
          <w:p>
            <w:pPr>
              <w:spacing w:after="100" w:before="100"/>
            </w:pPr>
            <w:r>
              <w:rPr>
                <w:sz w:val="20"/>
                <w:b/>
              </w:rPr>
              <w:t>Reconciled baseline / detail to specify</w:t>
            </w:r>
          </w:p>
        </w:tc>
      </w:tr>
      <w:tr>
        <w:trPr>
          <w:cantSplit/>
        </w:trPr>
        <w:tc>
          <w:tcPr>
            <w:tcW w:w="2050" w:type="dxa"/>
            <w:shd w:val="clear" w:fill="FFFFFF"/>
          </w:tcPr>
          <w:p>
            <w:pPr>
              <w:spacing w:after="100" w:before="100"/>
            </w:pPr>
            <w:r>
              <w:rPr>
                <w:sz w:val="20"/>
              </w:rPr>
              <w:t>Document ingestion</w:t>
            </w:r>
          </w:p>
        </w:tc>
        <w:tc>
          <w:tcPr>
            <w:tcW w:w="6590" w:type="dxa"/>
            <w:shd w:val="clear" w:fill="FFFFFF"/>
          </w:tcPr>
          <w:p>
            <w:pPr>
              <w:spacing w:after="100" w:before="100"/>
            </w:pPr>
            <w:r>
              <w:rPr>
                <w:sz w:val="20"/>
              </w:rPr>
              <w:t>English text and documents; define file formats, extraction, OCR, attachments, and source labels. The measured benchmark remains 100 fictional emails.</w:t>
            </w:r>
          </w:p>
        </w:tc>
      </w:tr>
      <w:tr>
        <w:trPr>
          <w:cantSplit/>
        </w:trPr>
        <w:tc>
          <w:tcPr>
            <w:tcW w:w="2050" w:type="dxa"/>
            <w:shd w:val="clear" w:fill="FFFFFF"/>
          </w:tcPr>
          <w:p>
            <w:pPr>
              <w:spacing w:after="100" w:before="100"/>
            </w:pPr>
            <w:r>
              <w:rPr>
                <w:sz w:val="20"/>
              </w:rPr>
              <w:t>Routing and tiers</w:t>
            </w:r>
          </w:p>
        </w:tc>
        <w:tc>
          <w:tcPr>
            <w:tcW w:w="6590" w:type="dxa"/>
            <w:shd w:val="clear" w:fill="FFFFFF"/>
          </w:tcPr>
          <w:p>
            <w:pPr>
              <w:spacing w:after="100" w:before="100"/>
            </w:pPr>
            <w:r>
              <w:rPr>
                <w:sz w:val="20"/>
              </w:rPr>
              <w:t>Separate whole-request routing from item thresholds. Specify local-only categories, Low-tier combinations, confidence thresholds, and uncertainty outcomes.</w:t>
            </w:r>
          </w:p>
        </w:tc>
      </w:tr>
      <w:tr>
        <w:trPr>
          <w:cantSplit/>
        </w:trPr>
        <w:tc>
          <w:tcPr>
            <w:tcW w:w="2050" w:type="dxa"/>
            <w:shd w:val="clear" w:fill="FFFFFF"/>
          </w:tcPr>
          <w:p>
            <w:pPr>
              <w:spacing w:after="100" w:before="100"/>
            </w:pPr>
            <w:r>
              <w:rPr>
                <w:sz w:val="20"/>
              </w:rPr>
              <w:t>Degraded fallback</w:t>
            </w:r>
          </w:p>
        </w:tc>
        <w:tc>
          <w:tcPr>
            <w:tcW w:w="6590" w:type="dxa"/>
            <w:shd w:val="clear" w:fill="FFFFFF"/>
          </w:tcPr>
          <w:p>
            <w:pPr>
              <w:spacing w:after="100" w:before="100"/>
            </w:pPr>
            <w:r>
              <w:rPr>
                <w:sz w:val="20"/>
              </w:rPr>
              <w:t>Mask all candidates found by available detectors and flag degradation. Specify whether, and under which release criteria, VG08 may use degraded output.</w:t>
            </w:r>
          </w:p>
        </w:tc>
      </w:tr>
      <w:tr>
        <w:trPr>
          <w:cantSplit/>
        </w:trPr>
        <w:tc>
          <w:tcPr>
            <w:tcW w:w="2050" w:type="dxa"/>
            <w:shd w:val="clear" w:fill="FFFFFF"/>
          </w:tcPr>
          <w:p>
            <w:pPr>
              <w:spacing w:after="100" w:before="100"/>
            </w:pPr>
            <w:r>
              <w:rPr>
                <w:sz w:val="20"/>
              </w:rPr>
              <w:t>Human review</w:t>
            </w:r>
          </w:p>
        </w:tc>
        <w:tc>
          <w:tcPr>
            <w:tcW w:w="6590" w:type="dxa"/>
            <w:shd w:val="clear" w:fill="FFFFFF"/>
          </w:tcPr>
          <w:p>
            <w:pPr>
              <w:spacing w:after="100" w:before="100"/>
            </w:pPr>
            <w:r>
              <w:rPr>
                <w:sz w:val="20"/>
              </w:rPr>
              <w:t>Automatic processing is the SOW baseline. The proposed human queue is excluded unless explicitly added through scope review.</w:t>
            </w:r>
          </w:p>
        </w:tc>
      </w:tr>
      <w:tr>
        <w:trPr>
          <w:cantSplit/>
        </w:trPr>
        <w:tc>
          <w:tcPr>
            <w:tcW w:w="2050" w:type="dxa"/>
            <w:shd w:val="clear" w:fill="FFFFFF"/>
          </w:tcPr>
          <w:p>
            <w:pPr>
              <w:spacing w:after="100" w:before="100"/>
            </w:pPr>
            <w:r>
              <w:rPr>
                <w:sz w:val="20"/>
              </w:rPr>
              <w:t>Context and records</w:t>
            </w:r>
          </w:p>
        </w:tc>
        <w:tc>
          <w:tcPr>
            <w:tcW w:w="6590" w:type="dxa"/>
            <w:shd w:val="clear" w:fill="FFFFFF"/>
          </w:tcPr>
          <w:p>
            <w:pPr>
              <w:spacing w:after="100" w:before="100"/>
            </w:pPr>
            <w:r>
              <w:rPr>
                <w:sz w:val="20"/>
              </w:rPr>
              <w:t>Request source context is included. A persistent cross-session entity store is not an established baseline deliverable; specify inclusion, isolation, retention, deletion, and restoration retries.</w:t>
            </w:r>
          </w:p>
        </w:tc>
      </w:tr>
      <w:tr>
        <w:trPr>
          <w:cantSplit/>
        </w:trPr>
        <w:tc>
          <w:tcPr>
            <w:tcW w:w="2050" w:type="dxa"/>
            <w:shd w:val="clear" w:fill="FFFFFF"/>
          </w:tcPr>
          <w:p>
            <w:pPr>
              <w:spacing w:after="100" w:before="100"/>
            </w:pPr>
            <w:r>
              <w:rPr>
                <w:sz w:val="20"/>
              </w:rPr>
              <w:t>Restoration</w:t>
            </w:r>
          </w:p>
        </w:tc>
        <w:tc>
          <w:tcPr>
            <w:tcW w:w="6590" w:type="dxa"/>
            <w:shd w:val="clear" w:fill="FFFFFF"/>
          </w:tcPr>
          <w:p>
            <w:pPr>
              <w:spacing w:after="100" w:before="100"/>
            </w:pPr>
            <w:r>
              <w:rPr>
                <w:sz w:val="20"/>
              </w:rPr>
              <w:t>Use a local reversible map and flag unissued tokens. Specify flagged-token responses, expiry, consumption, and any additional answer-scanning requirements.</w:t>
            </w:r>
          </w:p>
        </w:tc>
      </w:tr>
      <w:tr>
        <w:trPr>
          <w:cantSplit/>
        </w:trPr>
        <w:tc>
          <w:tcPr>
            <w:tcW w:w="2050" w:type="dxa"/>
            <w:shd w:val="clear" w:fill="FFFFFF"/>
          </w:tcPr>
          <w:p>
            <w:pPr>
              <w:spacing w:after="100" w:before="100"/>
            </w:pPr>
            <w:r>
              <w:rPr>
                <w:sz w:val="20"/>
              </w:rPr>
              <w:t>Dates and resources</w:t>
            </w:r>
          </w:p>
        </w:tc>
        <w:tc>
          <w:tcPr>
            <w:tcW w:w="6590" w:type="dxa"/>
            <w:shd w:val="clear" w:fill="FFFFFF"/>
          </w:tcPr>
          <w:p>
            <w:pPr>
              <w:spacing w:after="100" w:before="100"/>
            </w:pPr>
            <w:r>
              <w:rPr>
                <w:sz w:val="20"/>
              </w:rPr>
              <w:t>Retain SOW v3 milestones, including November 30 final presentation. VG08 availability, hardware, and spending remain dependencies handled through the resource process.</w:t>
            </w:r>
          </w:p>
        </w:tc>
      </w:tr>
    </w:tbl>
    <w:p>
      <w:pPr>
        <w:spacing w:after="120" w:before="120" w:lineRule="auto"/>
        <w:rPr/>
      </w:pPr>
      <w:r>
        <w:t xml:space="preserve">Sources: September 28, 2026 Weekly Sync, Gemini meeting notes, pp. 2, 4–6, 8–9; Scope of Work v3, October 5, 2026. The SOW v3 deliverable list and milestone dates are retained except where qualified above.</w:t>
      </w:r>
    </w:p>
    <w:p>
      <w:pPr>
        <w:pStyle w:val="Heading2"/>
        <w:keepNext/>
        <w:pageBreakBefore/>
        <w:spacing w:after="240" w:before="240" w:lineRule="auto"/>
        <w:rPr/>
      </w:pPr>
      <w:bookmarkStart w:colFirst="0" w:colLast="0" w:name="_v3h118" w:id="118"/>
      <w:bookmarkEnd w:id="118"/>
      <w:r>
        <w:rPr>
          <w:rtl w:val="0"/>
        </w:rPr>
        <w:t xml:space="preserve">7. Academic Disclaimer and Sign-Off</w:t>
      </w:r>
    </w:p>
    <w:p>
      <w:pPr>
        <w:spacing w:after="240" w:before="240" w:lineRule="auto"/>
        <w:rPr/>
      </w:pPr>
      <w:r>
        <w:rPr>
          <w:rtl w:val="0"/>
        </w:rPr>
        <w:t xml:space="preserve">As this is an academic capstone project, this document is intended solely for educational purposes and is not a legally binding commercial contract.</w:t>
      </w:r>
    </w:p>
    <w:p>
      <w:pPr>
        <w:spacing w:after="240" w:before="240" w:lineRule="auto"/>
        <w:rPr/>
      </w:pPr>
      <w:r>
        <w:rPr>
          <w:rtl w:val="0"/>
        </w:rPr>
        <w:t xml:space="preserve">The service, architecture, benchmark, results, analyses, and recommendations developed through this project are academic deliverables and should not be interpreted as commercially warranted production systems or professional security certifications.</w:t>
      </w:r>
    </w:p>
    <w:p>
      <w:pPr>
        <w:spacing w:after="240" w:before="240" w:lineRule="auto"/>
        <w:rPr/>
      </w:pPr>
      <w:r>
        <w:rPr>
          <w:rtl w:val="0"/>
        </w:rPr>
        <w:t xml:space="preserve">By signing below, both the Client and the Capstone Student Project Team acknowledge these terms and accept the scope, deliverables, timeline, assumptions, exclusions, and academic nature outlined in this Scope of Work document.</w:t>
      </w:r>
    </w:p>
    <w:p>
      <w:pPr>
        <w:spacing w:after="240" w:before="240" w:lineRule="auto"/>
        <w:rPr/>
      </w:pPr>
      <w:r>
        <w:rPr>
          <w:b w:val="1"/>
          <w:bCs w:val="1"/>
          <w:rtl w:val="0"/>
        </w:rPr>
        <w:t xml:space="preserve">For the Client:</w:t>
      </w:r>
    </w:p>
    <w:p>
      <w:pPr>
        <w:spacing w:after="240" w:before="240" w:lineRule="auto"/>
        <w:rPr/>
      </w:pPr>
      <w:r>
        <w:rPr>
          <w:rtl w:val="0"/>
        </w:rPr>
        <w:t xml:space="preserve">Approved by: ______________________________________</w:t>
      </w:r>
    </w:p>
    <w:p>
      <w:pPr>
        <w:spacing w:after="240" w:before="240" w:lineRule="auto"/>
        <w:rPr/>
      </w:pPr>
      <w:r>
        <w:rPr>
          <w:rtl w:val="0"/>
        </w:rPr>
        <w:t xml:space="preserve">Date: _____________________________________________</w:t>
      </w:r>
    </w:p>
    <w:p>
      <w:pPr>
        <w:spacing w:after="240" w:before="240" w:lineRule="auto"/>
        <w:rPr/>
      </w:pPr>
      <w:r>
        <w:rPr>
          <w:b w:val="1"/>
          <w:bCs w:val="1"/>
          <w:rtl w:val="0"/>
        </w:rPr>
        <w:t xml:space="preserve">For the Capstone Student Project Team:</w:t>
      </w:r>
    </w:p>
    <w:p>
      <w:pPr>
        <w:spacing w:after="240" w:before="240" w:lineRule="auto"/>
        <w:rPr/>
      </w:pPr>
      <w:r>
        <w:rPr>
          <w:rtl w:val="0"/>
        </w:rPr>
        <w:t xml:space="preserve">Approved by: Zhexuan Ye, Anmol Sahu, Yudi Guo, Karina Yang, Mark Chu</w:t>
      </w:r>
    </w:p>
    <w:p>
      <w:pPr>
        <w:spacing w:after="240" w:before="240" w:lineRule="auto"/>
        <w:rPr/>
      </w:pPr>
      <w:r>
        <w:rPr>
          <w:rtl w:val="0"/>
        </w:rPr>
        <w:t xml:space="preserve">Date: _____________________________________________</w:t>
      </w:r>
    </w:p>
    <w:sectPr>
      <w:pgSz w:h="15840" w:w="12240" w:orient="portrait"/>
      <w:pgMar w:bottom="1017.6000213623047" w:top="700.799560546875" w:left="1800.0576782226562" w:right="1756.5454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zotero.org/google-docs/?xFFcS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