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EFE9C" w14:textId="574FA7BE" w:rsidR="00283BBE" w:rsidRDefault="005D01F6">
      <w:r>
        <w:rPr>
          <w:noProof/>
        </w:rPr>
        <w:drawing>
          <wp:inline distT="0" distB="0" distL="0" distR="0" wp14:anchorId="25E31983" wp14:editId="52BFEA48">
            <wp:extent cx="6645910" cy="4469130"/>
            <wp:effectExtent l="0" t="0" r="2540" b="7620"/>
            <wp:docPr id="1" name="Chart 1">
              <a:extLst xmlns:a="http://schemas.openxmlformats.org/drawingml/2006/main">
                <a:ext uri="{FF2B5EF4-FFF2-40B4-BE49-F238E27FC236}">
                  <a16:creationId xmlns:a16="http://schemas.microsoft.com/office/drawing/2014/main" id="{F74B7226-E74B-41E2-8E22-F9138D28BD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D471FE" w14:textId="54175C99" w:rsidR="00DE2A17" w:rsidRDefault="00DE2A17"/>
    <w:p w14:paraId="15AEB38A" w14:textId="0106BF51" w:rsidR="00425B2F" w:rsidRDefault="00652C40" w:rsidP="00652C40">
      <w:pPr>
        <w:pStyle w:val="ListParagraph"/>
        <w:numPr>
          <w:ilvl w:val="0"/>
          <w:numId w:val="1"/>
        </w:numPr>
      </w:pPr>
      <w:r>
        <w:t>max_time = 120</w:t>
      </w:r>
    </w:p>
    <w:p w14:paraId="7AE64763" w14:textId="6F081A73" w:rsidR="00DE6FF3" w:rsidRDefault="00DE6FF3" w:rsidP="00DE6FF3"/>
    <w:p w14:paraId="3B84B7AF" w14:textId="1CA9EA12" w:rsidR="005D01F6" w:rsidRDefault="00357D9A" w:rsidP="005D01F6">
      <w:pPr>
        <w:pStyle w:val="ListParagraph"/>
        <w:numPr>
          <w:ilvl w:val="0"/>
          <w:numId w:val="1"/>
        </w:numPr>
      </w:pPr>
      <w:r>
        <w:t xml:space="preserve">As </w:t>
      </w:r>
      <w:r w:rsidR="005D01F6">
        <w:t>shown in the graph, a high collision count doesn’t necessarily mean the execution time will be poor. It simply indicates that there is a possibility of long probe chains forming (clustering occurring within the hash table). It is this clustering that causes performance degradation.</w:t>
      </w:r>
    </w:p>
    <w:p w14:paraId="4466D6EF" w14:textId="77777777" w:rsidR="005D01F6" w:rsidRDefault="005D01F6" w:rsidP="005D01F6">
      <w:pPr>
        <w:pStyle w:val="ListParagraph"/>
      </w:pPr>
    </w:p>
    <w:p w14:paraId="3D85785A" w14:textId="01EC8265" w:rsidR="005D01F6" w:rsidRDefault="005D01F6" w:rsidP="005D01F6">
      <w:pPr>
        <w:pStyle w:val="ListParagraph"/>
        <w:numPr>
          <w:ilvl w:val="0"/>
          <w:numId w:val="1"/>
        </w:numPr>
      </w:pPr>
      <w:r>
        <w:t>The better indicator of performance would be the Probe Max statistic, which indicates the length of the longest probe chain within the hash table. As the Hash Table uses linear probing, it can only probe in linear time and thus long probe chains degrade performance.</w:t>
      </w:r>
    </w:p>
    <w:p w14:paraId="33FEC385" w14:textId="77777777" w:rsidR="005D01F6" w:rsidRDefault="005D01F6" w:rsidP="005D01F6">
      <w:pPr>
        <w:pStyle w:val="ListParagraph"/>
      </w:pPr>
    </w:p>
    <w:p w14:paraId="6953194E" w14:textId="3DA76273" w:rsidR="005D01F6" w:rsidRDefault="005D01F6" w:rsidP="005D01F6">
      <w:pPr>
        <w:pStyle w:val="ListParagraph"/>
        <w:numPr>
          <w:ilvl w:val="0"/>
          <w:numId w:val="1"/>
        </w:numPr>
      </w:pPr>
      <w:r>
        <w:t xml:space="preserve">All combinations executed here did not require a rehash as even the smallest hash table (size </w:t>
      </w:r>
      <w:r w:rsidR="008C5AD1" w:rsidRPr="008C5AD1">
        <w:t>250727</w:t>
      </w:r>
      <w:r w:rsidR="008C5AD1">
        <w:t>) was larger than the maximum unique words observed (length 202358 – french.txt)</w:t>
      </w:r>
      <w:r w:rsidR="006D7958">
        <w:t>. The hash table will only rehash once it is completely full, and as such no rehashes occurred.</w:t>
      </w:r>
    </w:p>
    <w:p w14:paraId="0512FC4A" w14:textId="77777777" w:rsidR="00DB49D9" w:rsidRDefault="00DB49D9" w:rsidP="00DB49D9">
      <w:pPr>
        <w:pStyle w:val="ListParagraph"/>
      </w:pPr>
    </w:p>
    <w:p w14:paraId="5978A9B2" w14:textId="39F3CA49" w:rsidR="00DB49D9" w:rsidRDefault="00DB49D9" w:rsidP="00DB49D9">
      <w:r>
        <w:t>Overall, probe max is a good indicator of cluster and performance degradation and indicates that tables of larger sizes with appropriate bases are less susceptible to clustering and overall have better performance than their smaller counterparts.</w:t>
      </w:r>
      <w:bookmarkStart w:id="0" w:name="_GoBack"/>
      <w:bookmarkEnd w:id="0"/>
    </w:p>
    <w:p w14:paraId="5DBC7B18" w14:textId="5C5DA0C0" w:rsidR="00612C22" w:rsidRDefault="00612C22" w:rsidP="00612C22"/>
    <w:sectPr w:rsidR="00612C22" w:rsidSect="001D38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B063C"/>
    <w:multiLevelType w:val="hybridMultilevel"/>
    <w:tmpl w:val="7494EBB6"/>
    <w:lvl w:ilvl="0" w:tplc="BC0486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9F"/>
    <w:rsid w:val="001D386C"/>
    <w:rsid w:val="00283BBE"/>
    <w:rsid w:val="002E61D2"/>
    <w:rsid w:val="00357D9A"/>
    <w:rsid w:val="00377182"/>
    <w:rsid w:val="00425B2F"/>
    <w:rsid w:val="005D01F6"/>
    <w:rsid w:val="00612C22"/>
    <w:rsid w:val="00652C40"/>
    <w:rsid w:val="006732DE"/>
    <w:rsid w:val="006A319F"/>
    <w:rsid w:val="006D7958"/>
    <w:rsid w:val="008C5AD1"/>
    <w:rsid w:val="00B03009"/>
    <w:rsid w:val="00DB49D9"/>
    <w:rsid w:val="00DE2A17"/>
    <w:rsid w:val="00DE6FF3"/>
    <w:rsid w:val="00E76350"/>
    <w:rsid w:val="00F800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7687"/>
  <w15:chartTrackingRefBased/>
  <w15:docId w15:val="{34AB26AD-A009-4F8C-9DCA-43BC42B7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Mark%20Diedericks\Documents\Visual%20Studio%202019\Projects\Interview%20Prac%203\Results\output_task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Hash Table Stats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output_task3!$L$1</c:f>
              <c:strCache>
                <c:ptCount val="1"/>
                <c:pt idx="0">
                  <c:v>Collisions (x100)</c:v>
                </c:pt>
              </c:strCache>
            </c:strRef>
          </c:tx>
          <c:spPr>
            <a:solidFill>
              <a:schemeClr val="accent1"/>
            </a:solidFill>
            <a:ln>
              <a:noFill/>
            </a:ln>
            <a:effectLst/>
          </c:spPr>
          <c:invertIfNegative val="0"/>
          <c:dLbls>
            <c:delete val="1"/>
          </c:dLbls>
          <c:val>
            <c:numRef>
              <c:f>output_task3!$L$2:$L$28</c:f>
              <c:numCache>
                <c:formatCode>General</c:formatCode>
                <c:ptCount val="27"/>
                <c:pt idx="0">
                  <c:v>271.49</c:v>
                </c:pt>
                <c:pt idx="1">
                  <c:v>141.1</c:v>
                </c:pt>
                <c:pt idx="2">
                  <c:v>268.08999999999997</c:v>
                </c:pt>
                <c:pt idx="3">
                  <c:v>271.3</c:v>
                </c:pt>
                <c:pt idx="4">
                  <c:v>88.5</c:v>
                </c:pt>
                <c:pt idx="5">
                  <c:v>87.86</c:v>
                </c:pt>
                <c:pt idx="6">
                  <c:v>271.11</c:v>
                </c:pt>
                <c:pt idx="7">
                  <c:v>34.18</c:v>
                </c:pt>
                <c:pt idx="8">
                  <c:v>35.520000000000003</c:v>
                </c:pt>
                <c:pt idx="9">
                  <c:v>271.82</c:v>
                </c:pt>
                <c:pt idx="10">
                  <c:v>752.13</c:v>
                </c:pt>
                <c:pt idx="11">
                  <c:v>268.66000000000003</c:v>
                </c:pt>
                <c:pt idx="12">
                  <c:v>271.94</c:v>
                </c:pt>
                <c:pt idx="13">
                  <c:v>470.13</c:v>
                </c:pt>
                <c:pt idx="14">
                  <c:v>470.15</c:v>
                </c:pt>
                <c:pt idx="15">
                  <c:v>271.76</c:v>
                </c:pt>
                <c:pt idx="16">
                  <c:v>187.23</c:v>
                </c:pt>
                <c:pt idx="17">
                  <c:v>186.51</c:v>
                </c:pt>
                <c:pt idx="18">
                  <c:v>273.06</c:v>
                </c:pt>
                <c:pt idx="19">
                  <c:v>822.32</c:v>
                </c:pt>
                <c:pt idx="20">
                  <c:v>273.3</c:v>
                </c:pt>
                <c:pt idx="21">
                  <c:v>272.41000000000003</c:v>
                </c:pt>
                <c:pt idx="22">
                  <c:v>508.5</c:v>
                </c:pt>
                <c:pt idx="23">
                  <c:v>507.17</c:v>
                </c:pt>
                <c:pt idx="24">
                  <c:v>272.12</c:v>
                </c:pt>
                <c:pt idx="25">
                  <c:v>207</c:v>
                </c:pt>
                <c:pt idx="26">
                  <c:v>203.93</c:v>
                </c:pt>
              </c:numCache>
            </c:numRef>
          </c:val>
          <c:extLst>
            <c:ext xmlns:c16="http://schemas.microsoft.com/office/drawing/2014/chart" uri="{C3380CC4-5D6E-409C-BE32-E72D297353CC}">
              <c16:uniqueId val="{00000000-7BA1-4EED-8197-3532C67F5CE5}"/>
            </c:ext>
          </c:extLst>
        </c:ser>
        <c:ser>
          <c:idx val="1"/>
          <c:order val="1"/>
          <c:tx>
            <c:strRef>
              <c:f>output_task3!$M$1</c:f>
              <c:strCache>
                <c:ptCount val="1"/>
                <c:pt idx="0">
                  <c:v>Probe Max (x100)</c:v>
                </c:pt>
              </c:strCache>
            </c:strRef>
          </c:tx>
          <c:spPr>
            <a:solidFill>
              <a:schemeClr val="accent2"/>
            </a:solidFill>
            <a:ln>
              <a:noFill/>
            </a:ln>
            <a:effectLst/>
          </c:spPr>
          <c:invertIfNegative val="0"/>
          <c:dLbls>
            <c:delete val="1"/>
          </c:dLbls>
          <c:val>
            <c:numRef>
              <c:f>output_task3!$M$2:$M$28</c:f>
              <c:numCache>
                <c:formatCode>General</c:formatCode>
                <c:ptCount val="27"/>
                <c:pt idx="0">
                  <c:v>274.33999999999997</c:v>
                </c:pt>
                <c:pt idx="1">
                  <c:v>0.17</c:v>
                </c:pt>
                <c:pt idx="2">
                  <c:v>268.33999999999997</c:v>
                </c:pt>
                <c:pt idx="3">
                  <c:v>273.06</c:v>
                </c:pt>
                <c:pt idx="4">
                  <c:v>0.08</c:v>
                </c:pt>
                <c:pt idx="5">
                  <c:v>0.1</c:v>
                </c:pt>
                <c:pt idx="6">
                  <c:v>273.06</c:v>
                </c:pt>
                <c:pt idx="7">
                  <c:v>0.04</c:v>
                </c:pt>
                <c:pt idx="8">
                  <c:v>0.04</c:v>
                </c:pt>
                <c:pt idx="9">
                  <c:v>272.58</c:v>
                </c:pt>
                <c:pt idx="10">
                  <c:v>1.65</c:v>
                </c:pt>
                <c:pt idx="11">
                  <c:v>268.75</c:v>
                </c:pt>
                <c:pt idx="12">
                  <c:v>272.58</c:v>
                </c:pt>
                <c:pt idx="13">
                  <c:v>0.24</c:v>
                </c:pt>
                <c:pt idx="14">
                  <c:v>0.37</c:v>
                </c:pt>
                <c:pt idx="15">
                  <c:v>272.58</c:v>
                </c:pt>
                <c:pt idx="16">
                  <c:v>0.1</c:v>
                </c:pt>
                <c:pt idx="17">
                  <c:v>7.0000000000000007E-2</c:v>
                </c:pt>
                <c:pt idx="18">
                  <c:v>277.51</c:v>
                </c:pt>
                <c:pt idx="19">
                  <c:v>2.1800000000000002</c:v>
                </c:pt>
                <c:pt idx="20">
                  <c:v>273.20999999999998</c:v>
                </c:pt>
                <c:pt idx="21">
                  <c:v>276.20999999999998</c:v>
                </c:pt>
                <c:pt idx="22">
                  <c:v>0.31</c:v>
                </c:pt>
                <c:pt idx="23">
                  <c:v>0.33</c:v>
                </c:pt>
                <c:pt idx="24">
                  <c:v>275.58999999999997</c:v>
                </c:pt>
                <c:pt idx="25">
                  <c:v>0.1</c:v>
                </c:pt>
                <c:pt idx="26">
                  <c:v>0.1</c:v>
                </c:pt>
              </c:numCache>
            </c:numRef>
          </c:val>
          <c:extLst>
            <c:ext xmlns:c16="http://schemas.microsoft.com/office/drawing/2014/chart" uri="{C3380CC4-5D6E-409C-BE32-E72D297353CC}">
              <c16:uniqueId val="{00000001-7BA1-4EED-8197-3532C67F5CE5}"/>
            </c:ext>
          </c:extLst>
        </c:ser>
        <c:ser>
          <c:idx val="2"/>
          <c:order val="2"/>
          <c:tx>
            <c:strRef>
              <c:f>output_task3!$N$1</c:f>
              <c:strCache>
                <c:ptCount val="1"/>
                <c:pt idx="0">
                  <c:v> Rehashes (x100)</c:v>
                </c:pt>
              </c:strCache>
            </c:strRef>
          </c:tx>
          <c:spPr>
            <a:solidFill>
              <a:schemeClr val="accent3"/>
            </a:solidFill>
            <a:ln>
              <a:noFill/>
            </a:ln>
            <a:effectLst/>
          </c:spPr>
          <c:invertIfNegative val="0"/>
          <c:dLbls>
            <c:delete val="1"/>
          </c:dLbls>
          <c:val>
            <c:numRef>
              <c:f>output_task3!$N$2:$N$28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numCache>
            </c:numRef>
          </c:val>
          <c:extLst>
            <c:ext xmlns:c16="http://schemas.microsoft.com/office/drawing/2014/chart" uri="{C3380CC4-5D6E-409C-BE32-E72D297353CC}">
              <c16:uniqueId val="{00000002-7BA1-4EED-8197-3532C67F5CE5}"/>
            </c:ext>
          </c:extLst>
        </c:ser>
        <c:ser>
          <c:idx val="3"/>
          <c:order val="3"/>
          <c:tx>
            <c:strRef>
              <c:f>output_task3!$O$1</c:f>
              <c:strCache>
                <c:ptCount val="1"/>
                <c:pt idx="0">
                  <c:v>Time (s)</c:v>
                </c:pt>
              </c:strCache>
            </c:strRef>
          </c:tx>
          <c:spPr>
            <a:solidFill>
              <a:schemeClr val="accent4"/>
            </a:solidFill>
            <a:ln>
              <a:noFill/>
            </a:ln>
            <a:effectLst/>
          </c:spPr>
          <c:invertIfNegative val="0"/>
          <c:dLbls>
            <c:numFmt formatCode="#,##0.0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output_task3!$O$2:$O$28</c:f>
              <c:numCache>
                <c:formatCode>General</c:formatCode>
                <c:ptCount val="27"/>
                <c:pt idx="0">
                  <c:v>130</c:v>
                </c:pt>
                <c:pt idx="1">
                  <c:v>0.710818100000011</c:v>
                </c:pt>
                <c:pt idx="2">
                  <c:v>130</c:v>
                </c:pt>
                <c:pt idx="3">
                  <c:v>130</c:v>
                </c:pt>
                <c:pt idx="4">
                  <c:v>0.70077520000000904</c:v>
                </c:pt>
                <c:pt idx="5">
                  <c:v>0.70564840000002904</c:v>
                </c:pt>
                <c:pt idx="6">
                  <c:v>130</c:v>
                </c:pt>
                <c:pt idx="7">
                  <c:v>0.69767860000001702</c:v>
                </c:pt>
                <c:pt idx="8">
                  <c:v>0.69832120000000897</c:v>
                </c:pt>
                <c:pt idx="9">
                  <c:v>130</c:v>
                </c:pt>
                <c:pt idx="10">
                  <c:v>1.77861329999996</c:v>
                </c:pt>
                <c:pt idx="11">
                  <c:v>130</c:v>
                </c:pt>
                <c:pt idx="12">
                  <c:v>130</c:v>
                </c:pt>
                <c:pt idx="13">
                  <c:v>1.6896256999999599</c:v>
                </c:pt>
                <c:pt idx="14">
                  <c:v>1.67169290000003</c:v>
                </c:pt>
                <c:pt idx="15">
                  <c:v>130</c:v>
                </c:pt>
                <c:pt idx="16">
                  <c:v>1.6507960000000099</c:v>
                </c:pt>
                <c:pt idx="17">
                  <c:v>1.6428851999998999</c:v>
                </c:pt>
                <c:pt idx="18">
                  <c:v>130</c:v>
                </c:pt>
                <c:pt idx="19">
                  <c:v>2.0051736999998799</c:v>
                </c:pt>
                <c:pt idx="20">
                  <c:v>130</c:v>
                </c:pt>
                <c:pt idx="21">
                  <c:v>130</c:v>
                </c:pt>
                <c:pt idx="22">
                  <c:v>1.8684126000000501</c:v>
                </c:pt>
                <c:pt idx="23">
                  <c:v>1.87335910000001</c:v>
                </c:pt>
                <c:pt idx="24">
                  <c:v>130</c:v>
                </c:pt>
                <c:pt idx="25">
                  <c:v>1.8245182000000499</c:v>
                </c:pt>
                <c:pt idx="26">
                  <c:v>1.8235429999999699</c:v>
                </c:pt>
              </c:numCache>
            </c:numRef>
          </c:val>
          <c:extLst>
            <c:ext xmlns:c16="http://schemas.microsoft.com/office/drawing/2014/chart" uri="{C3380CC4-5D6E-409C-BE32-E72D297353CC}">
              <c16:uniqueId val="{00000003-7BA1-4EED-8197-3532C67F5CE5}"/>
            </c:ext>
          </c:extLst>
        </c:ser>
        <c:dLbls>
          <c:showLegendKey val="0"/>
          <c:showVal val="1"/>
          <c:showCatName val="0"/>
          <c:showSerName val="0"/>
          <c:showPercent val="0"/>
          <c:showBubbleSize val="0"/>
        </c:dLbls>
        <c:gapWidth val="219"/>
        <c:overlap val="-27"/>
        <c:axId val="96643007"/>
        <c:axId val="1985301023"/>
      </c:barChart>
      <c:catAx>
        <c:axId val="9664300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301023"/>
        <c:crosses val="autoZero"/>
        <c:auto val="1"/>
        <c:lblAlgn val="ctr"/>
        <c:lblOffset val="100"/>
        <c:noMultiLvlLbl val="0"/>
      </c:catAx>
      <c:valAx>
        <c:axId val="1985301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3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Diedericks</dc:creator>
  <cp:keywords/>
  <dc:description/>
  <cp:lastModifiedBy>Mark Diedericks</cp:lastModifiedBy>
  <cp:revision>16</cp:revision>
  <dcterms:created xsi:type="dcterms:W3CDTF">2019-10-15T04:55:00Z</dcterms:created>
  <dcterms:modified xsi:type="dcterms:W3CDTF">2019-10-15T08:02:00Z</dcterms:modified>
</cp:coreProperties>
</file>