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il" w:color="auto" w:sz="0"/>
              <w:left w:val="nil" w:color="auto" w:sz="0"/>
              <w:bottom w:val="nil" w:color="auto" w:sz="0"/>
              <w:right w:val="nil" w:color="auto" w:sz="0"/>
            </w:tcBorders>
            <w:shd w:fill="FFFFFF" w:val="clear"/>
            <w:tcMar>
              <w:top w:type="dxa" w:w="0"/>
              <w:left w:type="dxa" w:w="60"/>
              <w:bottom w:type="dxa" w:w="0"/>
              <w:right w:type="dxa" w:w="60"/>
            </w:tcMar>
            <w:vAlign w:val="center"/>
          </w:tcPr>
          <w:p>
            <w:pPr>
              <w:spacing w:after="0" w:before="0"/>
            </w:pPr>
            <w:r>
              <w:rPr>
                <w:rFonts w:ascii="Calibri" w:cs="Calibri" w:eastAsia="Calibri" w:hAnsi="Calibri"/>
                <w:b w:val="false"/>
                <w:bCs w:val="false"/>
                <w:i w:val="false"/>
                <w:iCs w:val="false"/>
                <w:color w:val="000000"/>
                <w:sz w:val="20"/>
                <w:szCs w:val="20"/>
              </w:rPr>
              <w:t xml:space="preserve"/>
            </w:r>
          </w:p>
        </w:tc>
        <w:tc>
          <w:tcPr>
            <w:tcW w:type="dxa" w:w="3760"/>
            <w:tcBorders>
              <w:top w:val="single" w:color="00387B" w:sz="6"/>
              <w:left w:val="single" w:color="00387B" w:sz="6"/>
              <w:bottom w:val="single" w:color="00387B" w:sz="6"/>
              <w:right w:val="single" w:color="00387B" w:sz="6"/>
            </w:tcBorders>
            <w:shd w:fill="FFEE00" w:val="clear"/>
            <w:tcMar>
              <w:top w:type="dxa" w:w="80"/>
              <w:left w:type="dxa" w:w="100"/>
              <w:bottom w:type="dxa" w:w="80"/>
              <w:right w:type="dxa" w:w="100"/>
            </w:tcMar>
            <w:vAlign w:val="center"/>
          </w:tcPr>
          <w:p>
            <w:pPr>
              <w:spacing w:after="0" w:before="0"/>
            </w:pPr>
            <w:r>
              <w:rPr>
                <w:rFonts w:ascii="Calibri" w:cs="Calibri" w:eastAsia="Calibri" w:hAnsi="Calibri"/>
                <w:b/>
                <w:bCs/>
                <w:i w:val="false"/>
                <w:iCs w:val="false"/>
                <w:color w:val="00387B"/>
                <w:sz w:val="24"/>
                <w:szCs w:val="24"/>
              </w:rPr>
              <w:t xml:space="preserve">N-SEA GROUP</w:t>
            </w:r>
          </w:p>
          <w:p>
            <w:pPr>
              <w:spacing w:after="0" w:before="0"/>
            </w:pPr>
            <w:r>
              <w:rPr>
                <w:rFonts w:ascii="Calibri" w:cs="Calibri" w:eastAsia="Calibri" w:hAnsi="Calibri"/>
                <w:b w:val="false"/>
                <w:bCs w:val="false"/>
                <w:i w:val="false"/>
                <w:iCs w:val="false"/>
                <w:color w:val="00387B"/>
                <w:sz w:val="18"/>
                <w:szCs w:val="18"/>
              </w:rPr>
              <w:t xml:space="preserve">BUSINESS MANAGEMENT SYSTEM</w:t>
            </w:r>
          </w:p>
        </w:tc>
      </w:tr>
      <w:tr>
        <w:tc>
          <w:tcPr>
            <w:tcW w:type="dxa" w:w="5600"/>
            <w:tcBorders>
              <w:top w:val="nil" w:color="auto" w:sz="0"/>
              <w:left w:val="nil" w:color="auto" w:sz="0"/>
              <w:bottom w:val="nil" w:color="auto" w:sz="0"/>
              <w:right w:val="nil" w:color="auto" w:sz="0"/>
            </w:tcBorders>
            <w:shd w:fill="FFFFFF" w:val="clear"/>
            <w:tcMar>
              <w:top w:type="dxa" w:w="0"/>
              <w:left w:type="dxa" w:w="60"/>
              <w:bottom w:type="dxa" w:w="0"/>
              <w:right w:type="dxa" w:w="60"/>
            </w:tcMar>
            <w:vAlign w:val="center"/>
          </w:tcPr>
          <w:p>
            <w:pPr>
              <w:spacing w:after="0" w:before="0"/>
            </w:pPr>
            <w:r>
              <w:rPr>
                <w:rFonts w:ascii="Calibri" w:cs="Calibri" w:eastAsia="Calibri" w:hAnsi="Calibri"/>
                <w:b w:val="false"/>
                <w:bCs w:val="false"/>
                <w:i w:val="false"/>
                <w:iCs w:val="false"/>
                <w:color w:val="000000"/>
                <w:sz w:val="96"/>
                <w:szCs w:val="96"/>
              </w:rPr>
              <w:t xml:space="preserve"/>
            </w:r>
          </w:p>
        </w:tc>
        <w:tc>
          <w:tcPr>
            <w:tcW w:type="dxa" w:w="3760"/>
            <w:tcBorders>
              <w:top w:val="single" w:color="00387B" w:sz="6"/>
              <w:left w:val="single" w:color="00387B" w:sz="6"/>
              <w:bottom w:val="single" w:color="00387B" w:sz="6"/>
              <w:right w:val="single" w:color="00387B" w:sz="6"/>
            </w:tcBorders>
            <w:tcMar>
              <w:top w:type="dxa" w:w="100"/>
              <w:left w:type="dxa" w:w="100"/>
              <w:bottom w:type="dxa" w:w="100"/>
              <w:right w:type="dxa" w:w="100"/>
            </w:tcMar>
            <w:vAlign w:val="center"/>
          </w:tcPr>
          <w:p>
            <w:pPr>
              <w:spacing w:after="0" w:before="0"/>
            </w:pPr>
            <w:r>
              <w:rPr>
                <w:rFonts w:ascii="Calibri" w:cs="Calibri" w:eastAsia="Calibri" w:hAnsi="Calibri"/>
                <w:b w:val="false"/>
                <w:bCs w:val="false"/>
                <w:i w:val="false"/>
                <w:iCs w:val="false"/>
                <w:color w:val="595959"/>
                <w:sz w:val="16"/>
                <w:szCs w:val="16"/>
              </w:rPr>
              <w:t xml:space="preserve">OPERATIONS</w:t>
            </w:r>
          </w:p>
          <w:p>
            <w:pPr>
              <w:spacing w:after="0" w:before="40"/>
            </w:pPr>
            <w:r>
              <w:rPr>
                <w:rFonts w:ascii="Calibri" w:cs="Calibri" w:eastAsia="Calibri" w:hAnsi="Calibri"/>
                <w:b/>
                <w:bCs/>
                <w:i w:val="false"/>
                <w:iCs w:val="false"/>
                <w:color w:val="00387B"/>
                <w:sz w:val="28"/>
                <w:szCs w:val="28"/>
              </w:rPr>
              <w:t xml:space="preserve">DE HYPERBARIC CHAMBER LOCATIONS</w:t>
            </w:r>
          </w:p>
          <w:p>
            <w:pPr>
              <w:spacing w:after="0" w:before="80"/>
            </w:pPr>
            <w:r>
              <w:rPr>
                <w:rFonts w:ascii="Calibri" w:cs="Calibri" w:eastAsia="Calibri" w:hAnsi="Calibri"/>
                <w:b w:val="false"/>
                <w:bCs w:val="false"/>
                <w:i w:val="false"/>
                <w:iCs w:val="false"/>
                <w:color w:val="00387B"/>
                <w:sz w:val="20"/>
                <w:szCs w:val="20"/>
              </w:rPr>
              <w:t xml:space="preserve">BMS-OP-0600-GD-025</w:t>
            </w:r>
          </w:p>
        </w:tc>
      </w:tr>
      <w:tr>
        <w:tc>
          <w:tcPr>
            <w:tcW w:type="dxa" w:w="7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Rev</w:t>
            </w:r>
          </w:p>
        </w:tc>
        <w:tc>
          <w:tcPr>
            <w:tcW w:type="dxa" w:w="10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Date</w:t>
            </w:r>
          </w:p>
        </w:tc>
        <w:tc>
          <w:tcPr>
            <w:tcW w:type="dxa" w:w="14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Originator</w:t>
            </w:r>
          </w:p>
        </w:tc>
        <w:tc>
          <w:tcPr>
            <w:tcW w:type="dxa" w:w="12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Reviewed</w:t>
            </w:r>
          </w:p>
        </w:tc>
        <w:tc>
          <w:tcPr>
            <w:tcW w:type="dxa" w:w="1300"/>
            <w:tcBorders>
              <w:top w:val="single" w:color="00387B" w:sz="4"/>
              <w:left w:val="single" w:color="00387B" w:sz="4"/>
              <w:bottom w:val="single" w:color="00387B" w:sz="4"/>
              <w:right w:val="single" w:color="00387B" w:sz="4"/>
            </w:tcBorders>
            <w:shd w:fill="ECECE7"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
            </w:r>
          </w:p>
        </w:tc>
        <w:tc>
          <w:tcPr>
            <w:tcW w:type="dxa" w:w="376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Approved</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1.0</w:t>
            </w:r>
          </w:p>
        </w:tc>
        <w:tc>
          <w:tcPr>
            <w:tcW w:type="dxa" w:w="10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[draft]</w:t>
            </w:r>
          </w:p>
        </w:tc>
        <w:tc>
          <w:tcPr>
            <w:tcW w:type="dxa" w:w="1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c>
          <w:tcPr>
            <w:tcW w:type="dxa" w:w="1300"/>
            <w:tcBorders>
              <w:top w:val="single" w:color="AAAAAA" w:sz="4"/>
              <w:left w:val="single" w:color="AAAAAA" w:sz="4"/>
              <w:bottom w:val="single" w:color="AAAAAA" w:sz="4"/>
              <w:right w:val="single" w:color="AAAAAA" w:sz="4"/>
            </w:tcBorders>
            <w:shd w:fill="ECECE7"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
            </w:r>
          </w:p>
        </w:tc>
        <w:tc>
          <w:tcPr>
            <w:tcW w:type="dxa" w:w="376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1.1</w:t>
            </w:r>
          </w:p>
        </w:tc>
        <w:tc>
          <w:tcPr>
            <w:tcW w:type="dxa" w:w="10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13/04/2026</w:t>
            </w:r>
          </w:p>
        </w:tc>
        <w:tc>
          <w:tcPr>
            <w:tcW w:type="dxa" w:w="1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c>
          <w:tcPr>
            <w:tcW w:type="dxa" w:w="1300"/>
            <w:tcBorders>
              <w:top w:val="single" w:color="AAAAAA" w:sz="4"/>
              <w:left w:val="single" w:color="AAAAAA" w:sz="4"/>
              <w:bottom w:val="single" w:color="AAAAAA" w:sz="4"/>
              <w:right w:val="single" w:color="AAAAAA" w:sz="4"/>
            </w:tcBorders>
            <w:shd w:fill="ECECE7"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
            </w:r>
          </w:p>
        </w:tc>
        <w:tc>
          <w:tcPr>
            <w:tcW w:type="dxa" w:w="376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1.2</w:t>
            </w:r>
          </w:p>
        </w:tc>
        <w:tc>
          <w:tcPr>
            <w:tcW w:type="dxa" w:w="10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14/04/2026</w:t>
            </w:r>
          </w:p>
        </w:tc>
        <w:tc>
          <w:tcPr>
            <w:tcW w:type="dxa" w:w="1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c>
          <w:tcPr>
            <w:tcW w:type="dxa" w:w="1300"/>
            <w:tcBorders>
              <w:top w:val="single" w:color="AAAAAA" w:sz="4"/>
              <w:left w:val="single" w:color="AAAAAA" w:sz="4"/>
              <w:bottom w:val="single" w:color="AAAAAA" w:sz="4"/>
              <w:right w:val="single" w:color="AAAAAA" w:sz="4"/>
            </w:tcBorders>
            <w:shd w:fill="ECECE7"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
            </w:r>
          </w:p>
        </w:tc>
        <w:tc>
          <w:tcPr>
            <w:tcW w:type="dxa" w:w="376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r>
    </w:tbl>
    <w:p>
      <w:r>
        <w:br w:type="page"/>
      </w:r>
    </w:p>
    <w:p>
      <w:pPr>
        <w:spacing w:after="0" w:before="120"/>
      </w:pPr>
    </w:p>
    <w:p>
      <w:pPr>
        <w:spacing w:after="60" w:before="60"/>
      </w:pPr>
      <w:r>
        <w:rPr>
          <w:rFonts w:ascii="Calibri" w:cs="Calibri" w:eastAsia="Calibri" w:hAnsi="Calibri"/>
          <w:sz w:val="20"/>
          <w:szCs w:val="20"/>
        </w:rPr>
        <w:t xml:space="preserve">This is an electronically generated document, which has been reviewed and approved in accordance with the N-Sea Management System.</w:t>
      </w:r>
    </w:p>
    <w:p>
      <w:pPr>
        <w:spacing w:after="120" w:before="0"/>
      </w:pPr>
      <w:r>
        <w:rPr>
          <w:rFonts w:ascii="Calibri" w:cs="Calibri" w:eastAsia="Calibri" w:hAnsi="Calibri"/>
          <w:sz w:val="20"/>
          <w:szCs w:val="20"/>
        </w:rPr>
        <w:t xml:space="preserve">The screen version of this document within the live BMS area is always the CONTROLLED COPY. When printed or copied outside the live BMS area, it is considered a FOR INFORMATION ONLY copy, and it is the holder's responsibility that they hold the latest valid version. Copying and/or disclosure of the confidential information contained herein is prohibited without written permission of N-Sea.</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Rev Index</w:t>
            </w:r>
          </w:p>
        </w:tc>
        <w:tc>
          <w:tcPr>
            <w:tcW w:type="dxa" w:w="546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Description</w:t>
            </w:r>
          </w:p>
        </w:tc>
        <w:tc>
          <w:tcPr>
            <w:tcW w:type="dxa" w:w="30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Abbreviation</w:t>
            </w:r>
          </w:p>
        </w:tc>
      </w:tr>
      <w:tr>
        <w:tc>
          <w:tcPr>
            <w:tcW w:type="dxa" w:w="9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0.1</w:t>
            </w:r>
          </w:p>
        </w:tc>
        <w:tc>
          <w:tcPr>
            <w:tcW w:type="dxa" w:w="546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 Review / Internal Disciplinary Check</w:t>
            </w:r>
          </w:p>
        </w:tc>
        <w:tc>
          <w:tcPr>
            <w:tcW w:type="dxa" w:w="30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IDC</w:t>
            </w:r>
          </w:p>
        </w:tc>
      </w:tr>
      <w:tr>
        <w:tc>
          <w:tcPr>
            <w:tcW w:type="dxa" w:w="9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2.X</w:t>
            </w:r>
          </w:p>
        </w:tc>
        <w:tc>
          <w:tcPr>
            <w:tcW w:type="dxa" w:w="546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Approved For Implementation</w:t>
            </w:r>
          </w:p>
        </w:tc>
        <w:tc>
          <w:tcPr>
            <w:tcW w:type="dxa" w:w="30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AFI</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900"/>
        <w:gridCol w:w="1000"/>
        <w:gridCol w:w="1100"/>
        <w:gridCol w:w="1100"/>
        <w:gridCol w:w="2460"/>
      </w:tblGrid>
      <w:tr>
        <w:tc>
          <w:tcPr>
            <w:tcW w:type="dxa" w:w="7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Revision</w:t>
            </w:r>
          </w:p>
        </w:tc>
        <w:tc>
          <w:tcPr>
            <w:tcW w:type="dxa" w:w="11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Date</w:t>
            </w:r>
          </w:p>
        </w:tc>
        <w:tc>
          <w:tcPr>
            <w:tcW w:type="dxa" w:w="9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Revised Chapters</w:t>
            </w:r>
          </w:p>
        </w:tc>
        <w:tc>
          <w:tcPr>
            <w:tcW w:type="dxa" w:w="10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Author</w:t>
            </w:r>
          </w:p>
        </w:tc>
        <w:tc>
          <w:tcPr>
            <w:tcW w:type="dxa" w:w="11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Reviewed By</w:t>
            </w:r>
          </w:p>
        </w:tc>
        <w:tc>
          <w:tcPr>
            <w:tcW w:type="dxa" w:w="11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Approved By</w:t>
            </w:r>
          </w:p>
        </w:tc>
        <w:tc>
          <w:tcPr>
            <w:tcW w:type="dxa" w:w="246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Reason for Revision</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1.0</w:t>
            </w:r>
          </w:p>
        </w:tc>
        <w:tc>
          <w:tcPr>
            <w:tcW w:type="dxa" w:w="11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[draft]</w:t>
            </w:r>
          </w:p>
        </w:tc>
        <w:tc>
          <w:tcPr>
            <w:tcW w:type="dxa" w:w="9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All</w:t>
            </w:r>
          </w:p>
        </w:tc>
        <w:tc>
          <w:tcPr>
            <w:tcW w:type="dxa" w:w="10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c>
          <w:tcPr>
            <w:tcW w:type="dxa" w:w="11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c>
          <w:tcPr>
            <w:tcW w:type="dxa" w:w="11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c>
          <w:tcPr>
            <w:tcW w:type="dxa" w:w="246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Initial issue — GTÜM official chamber lists verified 01 Jan 2025</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1.1</w:t>
            </w:r>
          </w:p>
        </w:tc>
        <w:tc>
          <w:tcPr>
            <w:tcW w:type="dxa" w:w="11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13/04/2026</w:t>
            </w:r>
          </w:p>
        </w:tc>
        <w:tc>
          <w:tcPr>
            <w:tcW w:type="dxa" w:w="9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All</w:t>
            </w:r>
          </w:p>
        </w:tc>
        <w:tc>
          <w:tcPr>
            <w:tcW w:type="dxa" w:w="10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c>
          <w:tcPr>
            <w:tcW w:type="dxa" w:w="11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c>
          <w:tcPr>
            <w:tcW w:type="dxa" w:w="11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c>
          <w:tcPr>
            <w:tcW w:type="dxa" w:w="246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Live re-check against GTÜM directory. No later downloadable list identified publicly; wording corrected. Column header corrected from GTÜM / DOH Category to GTÜM Category.</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1.2</w:t>
            </w:r>
          </w:p>
        </w:tc>
        <w:tc>
          <w:tcPr>
            <w:tcW w:type="dxa" w:w="11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14/04/2026</w:t>
            </w:r>
          </w:p>
        </w:tc>
        <w:tc>
          <w:tcPr>
            <w:tcW w:type="dxa" w:w="9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All</w:t>
            </w:r>
          </w:p>
        </w:tc>
        <w:tc>
          <w:tcPr>
            <w:tcW w:type="dxa" w:w="10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c>
          <w:tcPr>
            <w:tcW w:type="dxa" w:w="11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c>
          <w:tcPr>
            <w:tcW w:type="dxa" w:w="11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c>
          <w:tcPr>
            <w:tcW w:type="dxa" w:w="246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Updated from N-Sea HBOT DDC Source Dataset. HBO-Center München added as VDD member / GTÜM List 1 equivalent with explicit diving accident treatment capability since 1996.</w:t>
            </w:r>
          </w:p>
        </w:tc>
      </w:tr>
    </w:tbl>
    <w:p>
      <w:pPr>
        <w:spacing w:after="0" w:before="120"/>
      </w:pPr>
    </w:p>
    <w:p>
      <w:pPr>
        <w:pStyle w:val="Heading1"/>
      </w:pPr>
      <w:r>
        <w:rPr>
          <w:rFonts w:ascii="Calibri" w:cs="Calibri" w:eastAsia="Calibri" w:hAnsi="Calibri"/>
          <w:b/>
          <w:bCs/>
          <w:color w:val="00387B"/>
          <w:sz w:val="28"/>
          <w:szCs w:val="28"/>
        </w:rPr>
        <w:t xml:space="preserve">1  Purpose</w:t>
      </w:r>
    </w:p>
    <w:p>
      <w:pPr>
        <w:spacing w:after="60" w:before="60"/>
      </w:pPr>
      <w:r>
        <w:rPr>
          <w:rFonts w:ascii="Calibri" w:cs="Calibri" w:eastAsia="Calibri" w:hAnsi="Calibri"/>
          <w:sz w:val="20"/>
          <w:szCs w:val="20"/>
        </w:rPr>
        <w:t xml:space="preserve">This document describes the whereabouts of hyperbaric chamber locations in Germany to support safe diving operations and the preparation of Emergency Response Plans (ERP).</w:t>
      </w:r>
    </w:p>
    <w:p>
      <w:pPr>
        <w:spacing w:after="0" w:before="120"/>
      </w:pPr>
    </w:p>
    <w:p>
      <w:pPr>
        <w:pStyle w:val="Heading1"/>
      </w:pPr>
      <w:r>
        <w:rPr>
          <w:rFonts w:ascii="Calibri" w:cs="Calibri" w:eastAsia="Calibri" w:hAnsi="Calibri"/>
          <w:b/>
          <w:bCs/>
          <w:color w:val="00387B"/>
          <w:sz w:val="28"/>
          <w:szCs w:val="28"/>
        </w:rPr>
        <w:t xml:space="preserve">2  DE Hyperbaric Chamber Facilities</w:t>
      </w:r>
    </w:p>
    <w:p>
      <w:pPr>
        <w:pStyle w:val="Heading2"/>
      </w:pPr>
      <w:r>
        <w:rPr>
          <w:rFonts w:ascii="Calibri" w:cs="Calibri" w:eastAsia="Calibri" w:hAnsi="Calibri"/>
          <w:b/>
          <w:bCs/>
          <w:color w:val="00387B"/>
          <w:sz w:val="24"/>
          <w:szCs w:val="24"/>
        </w:rPr>
        <w:t xml:space="preserve">2.1  Introduction</w:t>
      </w:r>
    </w:p>
    <w:p>
      <w:pPr>
        <w:spacing w:after="60" w:before="60"/>
      </w:pPr>
      <w:r>
        <w:rPr>
          <w:rFonts w:ascii="Calibri" w:cs="Calibri" w:eastAsia="Calibri" w:hAnsi="Calibri"/>
          <w:sz w:val="20"/>
          <w:szCs w:val="20"/>
        </w:rPr>
        <w:t xml:space="preserve">The selected facility must be contacted in advance before inclusion in any ERP. The live GTÜM directory remains the primary current reference. The latest public downloadable lists identified during this check remain dated 01 January 2025.</w:t>
      </w:r>
    </w:p>
    <w:p>
      <w:pPr>
        <w:spacing w:after="60" w:before="60"/>
      </w:pPr>
      <w:r>
        <w:rPr>
          <w:rFonts w:ascii="Calibri" w:cs="Calibri" w:eastAsia="Calibri" w:hAnsi="Calibri"/>
          <w:sz w:val="20"/>
          <w:szCs w:val="20"/>
        </w:rPr>
        <w:t xml:space="preserve">Reference is made to:</w:t>
      </w:r>
    </w:p>
    <w:p>
      <w:pPr>
        <w:pStyle w:val="ListParagraph"/>
        <w:numPr>
          <w:ilvl w:val="0"/>
          <w:numId w:val="2"/>
        </w:numPr>
      </w:pPr>
      <w:r>
        <w:rPr>
          <w:rFonts w:ascii="Calibri" w:cs="Calibri" w:eastAsia="Calibri" w:hAnsi="Calibri"/>
          <w:sz w:val="20"/>
          <w:szCs w:val="20"/>
        </w:rPr>
        <w:t xml:space="preserve">BMS-OP-0600-TE-001 Diving Project Plan</w:t>
      </w:r>
    </w:p>
    <w:p>
      <w:pPr>
        <w:pStyle w:val="ListParagraph"/>
        <w:numPr>
          <w:ilvl w:val="0"/>
          <w:numId w:val="2"/>
        </w:numPr>
      </w:pPr>
      <w:r>
        <w:rPr>
          <w:rFonts w:ascii="Calibri" w:cs="Calibri" w:eastAsia="Calibri" w:hAnsi="Calibri"/>
          <w:sz w:val="20"/>
          <w:szCs w:val="20"/>
        </w:rPr>
        <w:t xml:space="preserve">BMS-OP-0600-TE-002 Diving Emergency Response Plan — AIR</w:t>
      </w:r>
    </w:p>
    <w:p>
      <w:pPr>
        <w:pStyle w:val="ListParagraph"/>
        <w:numPr>
          <w:ilvl w:val="0"/>
          <w:numId w:val="2"/>
        </w:numPr>
      </w:pPr>
      <w:r>
        <w:rPr>
          <w:rFonts w:ascii="Calibri" w:cs="Calibri" w:eastAsia="Calibri" w:hAnsi="Calibri"/>
          <w:sz w:val="20"/>
          <w:szCs w:val="20"/>
        </w:rPr>
        <w:t xml:space="preserve">BMS-OP-0600-TE-003 Diving Emergency Response Plan — TUP</w:t>
      </w:r>
    </w:p>
    <w:p>
      <w:pPr>
        <w:pStyle w:val="ListParagraph"/>
        <w:numPr>
          <w:ilvl w:val="0"/>
          <w:numId w:val="2"/>
        </w:numPr>
      </w:pPr>
      <w:r>
        <w:rPr>
          <w:rFonts w:ascii="Calibri" w:cs="Calibri" w:eastAsia="Calibri" w:hAnsi="Calibri"/>
          <w:sz w:val="20"/>
          <w:szCs w:val="20"/>
        </w:rPr>
        <w:t xml:space="preserve">BMS-OP-0600-TE-004 Emergency Notification Chart (Diving Projects — NL)</w:t>
      </w:r>
    </w:p>
    <w:p>
      <w:pPr>
        <w:pStyle w:val="ListParagraph"/>
        <w:numPr>
          <w:ilvl w:val="0"/>
          <w:numId w:val="2"/>
        </w:numPr>
      </w:pPr>
      <w:r>
        <w:rPr>
          <w:rFonts w:ascii="Calibri" w:cs="Calibri" w:eastAsia="Calibri" w:hAnsi="Calibri"/>
          <w:sz w:val="20"/>
          <w:szCs w:val="20"/>
        </w:rPr>
        <w:t xml:space="preserve">BMS-OP-0600-TE-005 Emergency Notification Chart (Diving Projects — UK)</w:t>
      </w:r>
    </w:p>
    <w:p>
      <w:pPr>
        <w:pStyle w:val="ListParagraph"/>
        <w:numPr>
          <w:ilvl w:val="0"/>
          <w:numId w:val="2"/>
        </w:numPr>
      </w:pPr>
      <w:r>
        <w:rPr>
          <w:rFonts w:ascii="Calibri" w:cs="Calibri" w:eastAsia="Calibri" w:hAnsi="Calibri"/>
          <w:sz w:val="20"/>
          <w:szCs w:val="20"/>
        </w:rPr>
        <w:t xml:space="preserve">BMS-OP-0600-TE-006 Emergency Notification Chart (Diving Projects — DE/UAE)</w:t>
      </w:r>
    </w:p>
    <w:p>
      <w:pPr>
        <w:pStyle w:val="ListParagraph"/>
        <w:numPr>
          <w:ilvl w:val="0"/>
          <w:numId w:val="2"/>
        </w:numPr>
      </w:pPr>
      <w:r>
        <w:rPr>
          <w:rFonts w:ascii="Calibri" w:cs="Calibri" w:eastAsia="Calibri" w:hAnsi="Calibri"/>
          <w:sz w:val="20"/>
          <w:szCs w:val="20"/>
        </w:rPr>
        <w:t xml:space="preserve">BMS-OP-0600-GD-023 UK Hyperbaric Chamber Locations</w:t>
      </w:r>
    </w:p>
    <w:p>
      <w:pPr>
        <w:pStyle w:val="ListParagraph"/>
        <w:numPr>
          <w:ilvl w:val="0"/>
          <w:numId w:val="2"/>
        </w:numPr>
      </w:pPr>
      <w:r>
        <w:rPr>
          <w:rFonts w:ascii="Calibri" w:cs="Calibri" w:eastAsia="Calibri" w:hAnsi="Calibri"/>
          <w:sz w:val="20"/>
          <w:szCs w:val="20"/>
        </w:rPr>
        <w:t xml:space="preserve">BMS-OP-0600-GD-024 NL Hyperbaric Chamber Locations</w:t>
      </w:r>
    </w:p>
    <w:p>
      <w:pPr>
        <w:pStyle w:val="ListParagraph"/>
        <w:numPr>
          <w:ilvl w:val="0"/>
          <w:numId w:val="2"/>
        </w:numPr>
      </w:pPr>
      <w:r>
        <w:rPr>
          <w:rFonts w:ascii="Calibri" w:cs="Calibri" w:eastAsia="Calibri" w:hAnsi="Calibri"/>
          <w:sz w:val="20"/>
          <w:szCs w:val="20"/>
        </w:rPr>
        <w:t xml:space="preserve">BMS-OP-0600-GD-025 DE Hyperbaric Chamber Locations</w:t>
      </w:r>
    </w:p>
    <w:p>
      <w:pPr>
        <w:pStyle w:val="ListParagraph"/>
        <w:numPr>
          <w:ilvl w:val="0"/>
          <w:numId w:val="2"/>
        </w:numPr>
      </w:pPr>
      <w:r>
        <w:rPr>
          <w:rFonts w:ascii="Calibri" w:cs="Calibri" w:eastAsia="Calibri" w:hAnsi="Calibri"/>
          <w:sz w:val="20"/>
          <w:szCs w:val="20"/>
        </w:rPr>
        <w:t xml:space="preserve">BMS-OP-0600-GD-026 UAE Hyperbaric Chamber Locations</w:t>
      </w:r>
    </w:p>
    <w:p>
      <w:pPr>
        <w:spacing w:after="0" w:before="120"/>
      </w:pPr>
    </w:p>
    <w:p>
      <w:pPr>
        <w:pStyle w:val="Heading2"/>
      </w:pPr>
      <w:r>
        <w:rPr>
          <w:rFonts w:ascii="Calibri" w:cs="Calibri" w:eastAsia="Calibri" w:hAnsi="Calibri"/>
          <w:b/>
          <w:bCs/>
          <w:color w:val="00387B"/>
          <w:sz w:val="24"/>
          <w:szCs w:val="24"/>
        </w:rPr>
        <w:t xml:space="preserve">2.2  Regulatory Framework</w:t>
      </w:r>
    </w:p>
    <w:p>
      <w:pPr>
        <w:pStyle w:val="ListParagraph"/>
        <w:numPr>
          <w:ilvl w:val="0"/>
          <w:numId w:val="3"/>
        </w:numPr>
      </w:pPr>
      <w:r>
        <w:rPr>
          <w:rFonts w:ascii="Calibri" w:cs="Calibri" w:eastAsia="Calibri" w:hAnsi="Calibri"/>
          <w:sz w:val="20"/>
          <w:szCs w:val="20"/>
        </w:rPr>
        <w:t xml:space="preserve">GTÜM List 1 (Notfallzentren): 24hr emergency centres with ICU / ventilation capability in the chamber. Equivalent to Category 1.</w:t>
      </w:r>
    </w:p>
    <w:p>
      <w:pPr>
        <w:pStyle w:val="ListParagraph"/>
        <w:numPr>
          <w:ilvl w:val="0"/>
          <w:numId w:val="3"/>
        </w:numPr>
      </w:pPr>
      <w:r>
        <w:rPr>
          <w:rFonts w:ascii="Calibri" w:cs="Calibri" w:eastAsia="Calibri" w:hAnsi="Calibri"/>
          <w:sz w:val="20"/>
          <w:szCs w:val="20"/>
        </w:rPr>
        <w:t xml:space="preserve">GTÜM List 2 (24h Bereitschaft): 24hr standby with ICU access, but lead time may be required. Equivalent to Category 2.</w:t>
      </w:r>
    </w:p>
    <w:p>
      <w:pPr>
        <w:pStyle w:val="ListParagraph"/>
        <w:numPr>
          <w:ilvl w:val="0"/>
          <w:numId w:val="3"/>
        </w:numPr>
      </w:pPr>
      <w:r>
        <w:rPr>
          <w:rFonts w:ascii="Calibri" w:cs="Calibri" w:eastAsia="Calibri" w:hAnsi="Calibri"/>
          <w:sz w:val="20"/>
          <w:szCs w:val="20"/>
        </w:rPr>
        <w:t xml:space="preserve">VDD (Verband Deutscher Druckkammerzentren): Member centres follow VDD standards. Overlap with GTÜM lists.</w:t>
      </w:r>
    </w:p>
    <w:p>
      <w:pPr>
        <w:pStyle w:val="ListParagraph"/>
        <w:numPr>
          <w:ilvl w:val="0"/>
          <w:numId w:val="3"/>
        </w:numPr>
      </w:pPr>
      <w:r>
        <w:rPr>
          <w:rFonts w:ascii="Calibri" w:cs="Calibri" w:eastAsia="Calibri" w:hAnsi="Calibri"/>
          <w:sz w:val="20"/>
          <w:szCs w:val="20"/>
        </w:rPr>
        <w:t xml:space="preserve">Telephone pre-registration with the chosen facility is mandatory before transport.</w:t>
      </w:r>
    </w:p>
    <w:p>
      <w:pPr>
        <w:spacing w:after="0" w:before="120"/>
      </w:pPr>
    </w:p>
    <w:p>
      <w:pPr>
        <w:pStyle w:val="Heading2"/>
      </w:pPr>
      <w:r>
        <w:rPr>
          <w:rFonts w:ascii="Calibri" w:cs="Calibri" w:eastAsia="Calibri" w:hAnsi="Calibri"/>
          <w:b/>
          <w:bCs/>
          <w:color w:val="00387B"/>
          <w:sz w:val="24"/>
          <w:szCs w:val="24"/>
        </w:rPr>
        <w:t xml:space="preserve">2.3  Dive Emergency Contacts — Germany</w:t>
      </w:r>
    </w:p>
    <w:p>
      <w:pPr>
        <w:pStyle w:val="ListParagraph"/>
        <w:numPr>
          <w:ilvl w:val="0"/>
          <w:numId w:val="2"/>
        </w:numPr>
      </w:pPr>
      <w:r>
        <w:rPr>
          <w:rFonts w:ascii="Calibri" w:cs="Calibri" w:eastAsia="Calibri" w:hAnsi="Calibri"/>
          <w:sz w:val="20"/>
          <w:szCs w:val="20"/>
        </w:rPr>
        <w:t xml:space="preserve">DAN Hotline (Germany &amp; Austria): 00800 326 668 783 (00800-DAN-NOTRUF) — code word "Tauchunfall"</w:t>
      </w:r>
    </w:p>
    <w:p>
      <w:pPr>
        <w:pStyle w:val="ListParagraph"/>
        <w:numPr>
          <w:ilvl w:val="0"/>
          <w:numId w:val="2"/>
        </w:numPr>
      </w:pPr>
      <w:r>
        <w:rPr>
          <w:rFonts w:ascii="Calibri" w:cs="Calibri" w:eastAsia="Calibri" w:hAnsi="Calibri"/>
          <w:sz w:val="20"/>
          <w:szCs w:val="20"/>
        </w:rPr>
        <w:t xml:space="preserve">MRCC Bremen: VHF Ch 16 / +49 421 53687 0</w:t>
      </w:r>
    </w:p>
    <w:p>
      <w:pPr>
        <w:pStyle w:val="ListParagraph"/>
        <w:numPr>
          <w:ilvl w:val="0"/>
          <w:numId w:val="2"/>
        </w:numPr>
      </w:pPr>
      <w:r>
        <w:rPr>
          <w:rFonts w:ascii="Calibri" w:cs="Calibri" w:eastAsia="Calibri" w:hAnsi="Calibri"/>
          <w:sz w:val="20"/>
          <w:szCs w:val="20"/>
        </w:rPr>
        <w:t xml:space="preserve">Rescue services: 112</w:t>
      </w:r>
    </w:p>
    <w:p>
      <w:pPr>
        <w:pStyle w:val="ListParagraph"/>
        <w:numPr>
          <w:ilvl w:val="0"/>
          <w:numId w:val="2"/>
        </w:numPr>
      </w:pPr>
      <w:r>
        <w:rPr>
          <w:rFonts w:ascii="Calibri" w:cs="Calibri" w:eastAsia="Calibri" w:hAnsi="Calibri"/>
          <w:sz w:val="20"/>
          <w:szCs w:val="20"/>
        </w:rPr>
        <w:t xml:space="preserve">GTÜM contact: gtuem@gtuem.org</w:t>
      </w:r>
    </w:p>
    <w:p>
      <w:pPr>
        <w:pStyle w:val="ListParagraph"/>
        <w:numPr>
          <w:ilvl w:val="0"/>
          <w:numId w:val="2"/>
        </w:numPr>
      </w:pPr>
      <w:r>
        <w:rPr>
          <w:rFonts w:ascii="Calibri" w:cs="Calibri" w:eastAsia="Calibri" w:hAnsi="Calibri"/>
          <w:sz w:val="20"/>
          <w:szCs w:val="20"/>
        </w:rPr>
        <w:t xml:space="preserve">DAN Europe 24h Emergency Hotline: +39 06 4211 5685</w:t>
      </w:r>
    </w:p>
    <w:p>
      <w:pPr>
        <w:spacing w:after="0" w:before="120"/>
      </w:pPr>
    </w:p>
    <w:p>
      <w:pPr>
        <w:pStyle w:val="Heading2"/>
      </w:pPr>
      <w:r>
        <w:rPr>
          <w:rFonts w:ascii="Calibri" w:cs="Calibri" w:eastAsia="Calibri" w:hAnsi="Calibri"/>
          <w:b/>
          <w:bCs/>
          <w:color w:val="00387B"/>
          <w:sz w:val="24"/>
          <w:szCs w:val="24"/>
        </w:rPr>
        <w:t xml:space="preserve">2.4  Location References</w:t>
      </w:r>
    </w:p>
    <w:p>
      <w:pPr>
        <w:pStyle w:val="ListParagraph"/>
        <w:numPr>
          <w:ilvl w:val="0"/>
          <w:numId w:val="3"/>
        </w:numPr>
      </w:pPr>
      <w:r>
        <w:rPr>
          <w:rFonts w:ascii="Calibri" w:cs="Calibri" w:eastAsia="Calibri" w:hAnsi="Calibri"/>
          <w:sz w:val="20"/>
          <w:szCs w:val="20"/>
        </w:rPr>
        <w:t xml:space="preserve">https://www.gtuem.org/druckkammern/</w:t>
      </w:r>
    </w:p>
    <w:p>
      <w:pPr>
        <w:pStyle w:val="ListParagraph"/>
        <w:numPr>
          <w:ilvl w:val="0"/>
          <w:numId w:val="3"/>
        </w:numPr>
      </w:pPr>
      <w:r>
        <w:rPr>
          <w:rFonts w:ascii="Calibri" w:cs="Calibri" w:eastAsia="Calibri" w:hAnsi="Calibri"/>
          <w:sz w:val="20"/>
          <w:szCs w:val="20"/>
        </w:rPr>
        <w:t xml:space="preserve">https://www.gtuem.org/images/druckkammerlisten/dk_d-l-1_010125.pdf</w:t>
      </w:r>
    </w:p>
    <w:p>
      <w:pPr>
        <w:pStyle w:val="ListParagraph"/>
        <w:numPr>
          <w:ilvl w:val="0"/>
          <w:numId w:val="3"/>
        </w:numPr>
      </w:pPr>
      <w:r>
        <w:rPr>
          <w:rFonts w:ascii="Calibri" w:cs="Calibri" w:eastAsia="Calibri" w:hAnsi="Calibri"/>
          <w:sz w:val="20"/>
          <w:szCs w:val="20"/>
        </w:rPr>
        <w:t xml:space="preserve">https://www.gtuem.org/images/druckkammerlisten/dk_d-l-2_010125.pdf</w:t>
      </w:r>
    </w:p>
    <w:p>
      <w:pPr>
        <w:pStyle w:val="ListParagraph"/>
        <w:numPr>
          <w:ilvl w:val="0"/>
          <w:numId w:val="3"/>
        </w:numPr>
      </w:pPr>
      <w:r>
        <w:rPr>
          <w:rFonts w:ascii="Calibri" w:cs="Calibri" w:eastAsia="Calibri" w:hAnsi="Calibri"/>
          <w:sz w:val="20"/>
          <w:szCs w:val="20"/>
        </w:rPr>
        <w:t xml:space="preserve">https://www.vdd-hbo.de/druckkammern/</w:t>
      </w:r>
    </w:p>
    <w:p>
      <w:pPr>
        <w:pStyle w:val="ListParagraph"/>
        <w:numPr>
          <w:ilvl w:val="0"/>
          <w:numId w:val="3"/>
        </w:numPr>
      </w:pPr>
      <w:r>
        <w:rPr>
          <w:rFonts w:ascii="Calibri" w:cs="Calibri" w:eastAsia="Calibri" w:hAnsi="Calibri"/>
          <w:sz w:val="20"/>
          <w:szCs w:val="20"/>
        </w:rPr>
        <w:t xml:space="preserve">https://hbozentrum.de/en/diving-medicine/</w:t>
      </w:r>
    </w:p>
    <w:p>
      <w:pPr>
        <w:spacing w:after="0" w:before="120"/>
      </w:pPr>
    </w:p>
    <w:p>
      <w:pPr>
        <w:pStyle w:val="Heading1"/>
      </w:pPr>
      <w:r>
        <w:rPr>
          <w:rFonts w:ascii="Calibri" w:cs="Calibri" w:eastAsia="Calibri" w:hAnsi="Calibri"/>
          <w:b/>
          <w:bCs/>
          <w:color w:val="00387B"/>
          <w:sz w:val="28"/>
          <w:szCs w:val="28"/>
        </w:rPr>
        <w:t xml:space="preserve">3  Facility Location Matrix</w:t>
      </w:r>
    </w:p>
    <w:p>
      <w:pPr>
        <w:spacing w:after="80" w:before="60"/>
      </w:pPr>
      <w:r>
        <w:rPr>
          <w:rFonts w:ascii="Calibri" w:cs="Calibri" w:eastAsia="Calibri" w:hAnsi="Calibri"/>
          <w:sz w:val="20"/>
          <w:szCs w:val="20"/>
        </w:rPr>
        <w:t xml:space="preserve">Data source: GTÜM official chamber lists dated 01 January 2025, re-checked against the GTÜM live directory in April 2026. HBO-Center München added from VDD directory and facility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300"/>
        <w:gridCol w:w="1500"/>
        <w:gridCol w:w="450"/>
        <w:gridCol w:w="800"/>
        <w:gridCol w:w="1810"/>
      </w:tblGrid>
      <w:tr>
        <w:trPr>
          <w:tblHeader/>
        </w:trPr>
        <w:tc>
          <w:tcPr>
            <w:tcW w:type="dxa" w:w="16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Facility</w:t>
            </w:r>
          </w:p>
        </w:tc>
        <w:tc>
          <w:tcPr>
            <w:tcW w:type="dxa" w:w="19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Address</w:t>
            </w:r>
          </w:p>
        </w:tc>
        <w:tc>
          <w:tcPr>
            <w:tcW w:type="dxa" w:w="13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Daytime Tel</w:t>
            </w:r>
          </w:p>
        </w:tc>
        <w:tc>
          <w:tcPr>
            <w:tcW w:type="dxa" w:w="15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Emergency / 24h</w:t>
            </w:r>
          </w:p>
        </w:tc>
        <w:tc>
          <w:tcPr>
            <w:tcW w:type="dxa" w:w="45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24h</w:t>
            </w:r>
          </w:p>
        </w:tc>
        <w:tc>
          <w:tcPr>
            <w:tcW w:type="dxa" w:w="8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GTÜM Category</w:t>
            </w:r>
          </w:p>
        </w:tc>
        <w:tc>
          <w:tcPr>
            <w:tcW w:type="dxa" w:w="181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Status / Notes</w:t>
            </w:r>
          </w:p>
        </w:tc>
      </w:tr>
      <w:tr>
        <w:tc>
          <w:tcPr>
            <w:tcW w:type="dxa" w:w="16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Halle (Saale) — Universitätsklinikum Halle</w:t>
            </w:r>
          </w:p>
        </w:tc>
        <w:tc>
          <w:tcPr>
            <w:tcW w:type="dxa" w:w="19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Ernst-Grube-Str. 40, FG 15U02, D-06120 Halle</w:t>
            </w:r>
          </w:p>
        </w:tc>
        <w:tc>
          <w:tcPr>
            <w:tcW w:type="dxa" w:w="13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(0)345 557 43 50</w:t>
            </w:r>
          </w:p>
        </w:tc>
        <w:tc>
          <w:tcPr>
            <w:tcW w:type="dxa" w:w="15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(0)345 557 7501</w:t>
            </w:r>
          </w:p>
        </w:tc>
        <w:tc>
          <w:tcPr>
            <w:tcW w:type="dxa" w:w="4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8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GTÜM List 1</w:t>
            </w:r>
          </w:p>
        </w:tc>
        <w:tc>
          <w:tcPr>
            <w:tcW w:type="dxa" w:w="18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Pre-warning 30 min</w:t>
            </w:r>
          </w:p>
        </w:tc>
      </w:tr>
      <w:tr>
        <w:tc>
          <w:tcPr>
            <w:tcW w:type="dxa" w:w="16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Berlin — Vivantes Klinikum Friedrichshain</w:t>
            </w:r>
          </w:p>
        </w:tc>
        <w:tc>
          <w:tcPr>
            <w:tcW w:type="dxa" w:w="19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Landsberger Allee 49, D-10249 Berlin</w:t>
            </w:r>
          </w:p>
        </w:tc>
        <w:tc>
          <w:tcPr>
            <w:tcW w:type="dxa" w:w="13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(0)30 130 23 17 00</w:t>
            </w:r>
          </w:p>
        </w:tc>
        <w:tc>
          <w:tcPr>
            <w:tcW w:type="dxa" w:w="15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(0)30 130 23 15 02</w:t>
            </w:r>
          </w:p>
        </w:tc>
        <w:tc>
          <w:tcPr>
            <w:tcW w:type="dxa" w:w="45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8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GTÜM List 1</w:t>
            </w:r>
          </w:p>
        </w:tc>
        <w:tc>
          <w:tcPr>
            <w:tcW w:type="dxa" w:w="181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Pre-warning 30 min</w:t>
            </w:r>
          </w:p>
        </w:tc>
      </w:tr>
      <w:tr>
        <w:tc>
          <w:tcPr>
            <w:tcW w:type="dxa" w:w="16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Düsseldorf — Universitätsklinikum Düsseldorf HBO</w:t>
            </w:r>
          </w:p>
        </w:tc>
        <w:tc>
          <w:tcPr>
            <w:tcW w:type="dxa" w:w="19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Moorenstraße 5, D-40225 Düsseldorf</w:t>
            </w:r>
          </w:p>
        </w:tc>
        <w:tc>
          <w:tcPr>
            <w:tcW w:type="dxa" w:w="13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hbo@med.uni-duesseldorf.de</w:t>
            </w:r>
          </w:p>
        </w:tc>
        <w:tc>
          <w:tcPr>
            <w:tcW w:type="dxa" w:w="15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(0)172 109 91 12 / +49 (0)173 710 66 00</w:t>
            </w:r>
          </w:p>
        </w:tc>
        <w:tc>
          <w:tcPr>
            <w:tcW w:type="dxa" w:w="4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8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GTÜM List 1</w:t>
            </w:r>
          </w:p>
        </w:tc>
        <w:tc>
          <w:tcPr>
            <w:tcW w:type="dxa" w:w="18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Emergency via Schockraum if required</w:t>
            </w:r>
          </w:p>
        </w:tc>
      </w:tr>
      <w:tr>
        <w:tc>
          <w:tcPr>
            <w:tcW w:type="dxa" w:w="16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Gelsenkirchen — Bergmannsheil Buer</w:t>
            </w:r>
          </w:p>
        </w:tc>
        <w:tc>
          <w:tcPr>
            <w:tcW w:type="dxa" w:w="19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Schernerweg 4, D-45894 Gelsenkirchen</w:t>
            </w:r>
          </w:p>
        </w:tc>
        <w:tc>
          <w:tcPr>
            <w:tcW w:type="dxa" w:w="13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(0)209 5902 570</w:t>
            </w:r>
          </w:p>
        </w:tc>
        <w:tc>
          <w:tcPr>
            <w:tcW w:type="dxa" w:w="15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(0)209 5902 7233 / +49 (0)209 5902 575</w:t>
            </w:r>
          </w:p>
        </w:tc>
        <w:tc>
          <w:tcPr>
            <w:tcW w:type="dxa" w:w="45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8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GTÜM List 1</w:t>
            </w:r>
          </w:p>
        </w:tc>
        <w:tc>
          <w:tcPr>
            <w:tcW w:type="dxa" w:w="181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No pre-warning but telephone contact essential</w:t>
            </w:r>
          </w:p>
        </w:tc>
      </w:tr>
      <w:tr>
        <w:tc>
          <w:tcPr>
            <w:tcW w:type="dxa" w:w="16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Aachen — HBO-Zentrum Euregio Aachen</w:t>
            </w:r>
          </w:p>
        </w:tc>
        <w:tc>
          <w:tcPr>
            <w:tcW w:type="dxa" w:w="19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Kackertstraße 11, D-52072 Aachen</w:t>
            </w:r>
          </w:p>
        </w:tc>
        <w:tc>
          <w:tcPr>
            <w:tcW w:type="dxa" w:w="13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(0)241 840 44</w:t>
            </w:r>
          </w:p>
        </w:tc>
        <w:tc>
          <w:tcPr>
            <w:tcW w:type="dxa" w:w="15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(0)241 840 44</w:t>
            </w:r>
          </w:p>
        </w:tc>
        <w:tc>
          <w:tcPr>
            <w:tcW w:type="dxa" w:w="4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8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GTÜM List 1</w:t>
            </w:r>
          </w:p>
        </w:tc>
        <w:tc>
          <w:tcPr>
            <w:tcW w:type="dxa" w:w="18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Pre-warning 30 min; adjacent to UKA ICU</w:t>
            </w:r>
          </w:p>
        </w:tc>
      </w:tr>
      <w:tr>
        <w:tc>
          <w:tcPr>
            <w:tcW w:type="dxa" w:w="16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Wiesbaden — HBO Rhein Main Taunus</w:t>
            </w:r>
          </w:p>
        </w:tc>
        <w:tc>
          <w:tcPr>
            <w:tcW w:type="dxa" w:w="19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Schiersteiner Straße 42, D-65187 Wiesbaden</w:t>
            </w:r>
          </w:p>
        </w:tc>
        <w:tc>
          <w:tcPr>
            <w:tcW w:type="dxa" w:w="13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(0)611 84 72 71 70</w:t>
            </w:r>
          </w:p>
        </w:tc>
        <w:tc>
          <w:tcPr>
            <w:tcW w:type="dxa" w:w="15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(0)611 19222</w:t>
            </w:r>
          </w:p>
        </w:tc>
        <w:tc>
          <w:tcPr>
            <w:tcW w:type="dxa" w:w="45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8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GTÜM List 1</w:t>
            </w:r>
          </w:p>
        </w:tc>
        <w:tc>
          <w:tcPr>
            <w:tcW w:type="dxa" w:w="181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Asklepios site</w:t>
            </w:r>
          </w:p>
        </w:tc>
      </w:tr>
      <w:tr>
        <w:tc>
          <w:tcPr>
            <w:tcW w:type="dxa" w:w="16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Murnau — BG Klinikum Murnau</w:t>
            </w:r>
          </w:p>
        </w:tc>
        <w:tc>
          <w:tcPr>
            <w:tcW w:type="dxa" w:w="19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Professor-Küntscher-Straße 8, D-82418 Murnau</w:t>
            </w:r>
          </w:p>
        </w:tc>
        <w:tc>
          <w:tcPr>
            <w:tcW w:type="dxa" w:w="13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(0)8841 48 29 01</w:t>
            </w:r>
          </w:p>
        </w:tc>
        <w:tc>
          <w:tcPr>
            <w:tcW w:type="dxa" w:w="15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(0)8841 48 26 62</w:t>
            </w:r>
          </w:p>
        </w:tc>
        <w:tc>
          <w:tcPr>
            <w:tcW w:type="dxa" w:w="4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8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GTÜM List 1</w:t>
            </w:r>
          </w:p>
        </w:tc>
        <w:tc>
          <w:tcPr>
            <w:tcW w:type="dxa" w:w="18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No pre-warning required; patient registration essential</w:t>
            </w:r>
          </w:p>
        </w:tc>
      </w:tr>
      <w:tr>
        <w:tc>
          <w:tcPr>
            <w:tcW w:type="dxa" w:w="16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Munich — HBO-Center München</w:t>
            </w:r>
          </w:p>
        </w:tc>
        <w:tc>
          <w:tcPr>
            <w:tcW w:type="dxa" w:w="19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Bavariafilm-Platz 7, Geiselgasteig</w:t>
            </w:r>
          </w:p>
        </w:tc>
        <w:tc>
          <w:tcPr>
            <w:tcW w:type="dxa" w:w="13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(0)89 64979600</w:t>
            </w:r>
          </w:p>
        </w:tc>
        <w:tc>
          <w:tcPr>
            <w:tcW w:type="dxa" w:w="15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(0)89 64979600</w:t>
            </w:r>
          </w:p>
        </w:tc>
        <w:tc>
          <w:tcPr>
            <w:tcW w:type="dxa" w:w="45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8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GTÜM List 1 / VDD</w:t>
            </w:r>
          </w:p>
        </w:tc>
        <w:tc>
          <w:tcPr>
            <w:tcW w:type="dxa" w:w="181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VDD founding member. TÜV Süd + Germanischer Lloyd certified. Explicit diving accident treatment since 1996.</w:t>
            </w:r>
          </w:p>
        </w:tc>
      </w:tr>
      <w:tr>
        <w:tc>
          <w:tcPr>
            <w:tcW w:type="dxa" w:w="16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Kiel — Schifffahrtmedizinisches Institut der Marine</w:t>
            </w:r>
          </w:p>
        </w:tc>
        <w:tc>
          <w:tcPr>
            <w:tcW w:type="dxa" w:w="19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Kopperpahler Allee 120, D-24119 Kronshagen</w:t>
            </w:r>
          </w:p>
        </w:tc>
        <w:tc>
          <w:tcPr>
            <w:tcW w:type="dxa" w:w="13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Via GTÜM / MRCC</w:t>
            </w:r>
          </w:p>
        </w:tc>
        <w:tc>
          <w:tcPr>
            <w:tcW w:type="dxa" w:w="15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On request</w:t>
            </w:r>
          </w:p>
        </w:tc>
        <w:tc>
          <w:tcPr>
            <w:tcW w:type="dxa" w:w="4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On request</w:t>
            </w:r>
          </w:p>
        </w:tc>
        <w:tc>
          <w:tcPr>
            <w:tcW w:type="dxa" w:w="8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GTÜM List 2 / Military</w:t>
            </w:r>
          </w:p>
        </w:tc>
        <w:tc>
          <w:tcPr>
            <w:tcW w:type="dxa" w:w="18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Military facility; civilian access must be confirmed case-by-case</w:t>
            </w:r>
          </w:p>
        </w:tc>
      </w:tr>
      <w:tr>
        <w:tc>
          <w:tcPr>
            <w:tcW w:type="dxa" w:w="16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Ulm — Bundeswehrkrankenhaus Ulm</w:t>
            </w:r>
          </w:p>
        </w:tc>
        <w:tc>
          <w:tcPr>
            <w:tcW w:type="dxa" w:w="19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Oberer Eselsberg 40, D-89081 Ulm</w:t>
            </w:r>
          </w:p>
        </w:tc>
        <w:tc>
          <w:tcPr>
            <w:tcW w:type="dxa" w:w="13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(0)731 17 10 20 53</w:t>
            </w:r>
          </w:p>
        </w:tc>
        <w:tc>
          <w:tcPr>
            <w:tcW w:type="dxa" w:w="15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(0)731 17 10 20 55</w:t>
            </w:r>
          </w:p>
        </w:tc>
        <w:tc>
          <w:tcPr>
            <w:tcW w:type="dxa" w:w="45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8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GTÜM List 2</w:t>
            </w:r>
          </w:p>
        </w:tc>
        <w:tc>
          <w:tcPr>
            <w:tcW w:type="dxa" w:w="181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Pre-warning 30 min</w:t>
            </w:r>
          </w:p>
        </w:tc>
      </w:tr>
      <w:tr>
        <w:tc>
          <w:tcPr>
            <w:tcW w:type="dxa" w:w="16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Regensburg — Caritas-Krankenhaus St. Josef</w:t>
            </w:r>
          </w:p>
        </w:tc>
        <w:tc>
          <w:tcPr>
            <w:tcW w:type="dxa" w:w="19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Landshuterstraße 65, D-93053 Regensburg</w:t>
            </w:r>
          </w:p>
        </w:tc>
        <w:tc>
          <w:tcPr>
            <w:tcW w:type="dxa" w:w="13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(0)941 782 3610</w:t>
            </w:r>
          </w:p>
        </w:tc>
        <w:tc>
          <w:tcPr>
            <w:tcW w:type="dxa" w:w="15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(0)941 782 36 66 / +49 (0)941 19222</w:t>
            </w:r>
          </w:p>
        </w:tc>
        <w:tc>
          <w:tcPr>
            <w:tcW w:type="dxa" w:w="4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8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GTÜM List 2</w:t>
            </w:r>
          </w:p>
        </w:tc>
        <w:tc>
          <w:tcPr>
            <w:tcW w:type="dxa" w:w="18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No pre-warning</w:t>
            </w:r>
          </w:p>
        </w:tc>
      </w:tr>
    </w:tbl>
    <w:p>
      <w:pPr>
        <w:spacing w:after="0" w:before="120"/>
      </w:pPr>
    </w:p>
    <w:p>
      <w:pPr>
        <w:pStyle w:val="Heading2"/>
      </w:pPr>
      <w:r>
        <w:rPr>
          <w:rFonts w:ascii="Calibri" w:cs="Calibri" w:eastAsia="Calibri" w:hAnsi="Calibri"/>
          <w:b/>
          <w:bCs/>
          <w:color w:val="00387B"/>
          <w:sz w:val="24"/>
          <w:szCs w:val="24"/>
        </w:rPr>
        <w:t xml:space="preserve">3.1  Key Corrections</w:t>
      </w:r>
    </w:p>
    <w:p>
      <w:pPr>
        <w:pStyle w:val="ListParagraph"/>
        <w:numPr>
          <w:ilvl w:val="0"/>
          <w:numId w:val="3"/>
        </w:numPr>
      </w:pPr>
      <w:r>
        <w:rPr>
          <w:rFonts w:ascii="Calibri" w:cs="Calibri" w:eastAsia="Calibri" w:hAnsi="Calibri"/>
          <w:sz w:val="20"/>
          <w:szCs w:val="20"/>
        </w:rPr>
        <w:t xml:space="preserve">The matrix remains broadly correct against the Jan 2025 GTÜM source.</w:t>
      </w:r>
    </w:p>
    <w:p>
      <w:pPr>
        <w:pStyle w:val="ListParagraph"/>
        <w:numPr>
          <w:ilvl w:val="0"/>
          <w:numId w:val="3"/>
        </w:numPr>
      </w:pPr>
      <w:r>
        <w:rPr>
          <w:rFonts w:ascii="Calibri" w:cs="Calibri" w:eastAsia="Calibri" w:hAnsi="Calibri"/>
          <w:sz w:val="20"/>
          <w:szCs w:val="20"/>
        </w:rPr>
        <w:t xml:space="preserve">The header "GTÜM / DOH Category" was corrected to "GTÜM Category".</w:t>
      </w:r>
    </w:p>
    <w:p>
      <w:pPr>
        <w:pStyle w:val="ListParagraph"/>
        <w:numPr>
          <w:ilvl w:val="0"/>
          <w:numId w:val="3"/>
        </w:numPr>
      </w:pPr>
      <w:r>
        <w:rPr>
          <w:rFonts w:ascii="Calibri" w:cs="Calibri" w:eastAsia="Calibri" w:hAnsi="Calibri"/>
          <w:sz w:val="20"/>
          <w:szCs w:val="20"/>
        </w:rPr>
        <w:t xml:space="preserve">No public 2026 downloadable GTÜM lists were identified during this review.</w:t>
      </w:r>
    </w:p>
    <w:p>
      <w:pPr>
        <w:pStyle w:val="ListParagraph"/>
        <w:numPr>
          <w:ilvl w:val="0"/>
          <w:numId w:val="3"/>
        </w:numPr>
      </w:pPr>
      <w:r>
        <w:rPr>
          <w:rFonts w:ascii="Calibri" w:cs="Calibri" w:eastAsia="Calibri" w:hAnsi="Calibri"/>
          <w:sz w:val="20"/>
          <w:szCs w:val="20"/>
        </w:rPr>
        <w:t xml:space="preserve">HBO-Center München added: founding VDD member, GTÜM-certified physicians, TÜV Süd and Germanischer Lloyd certified, explicit diving accident treatment since 1996.</w:t>
      </w:r>
    </w:p>
    <w:p>
      <w:pPr>
        <w:spacing w:after="0" w:before="120"/>
      </w:pPr>
    </w:p>
    <w:p>
      <w:pPr>
        <w:pStyle w:val="Heading1"/>
      </w:pPr>
      <w:r>
        <w:rPr>
          <w:rFonts w:ascii="Calibri" w:cs="Calibri" w:eastAsia="Calibri" w:hAnsi="Calibri"/>
          <w:b/>
          <w:bCs/>
          <w:color w:val="00387B"/>
          <w:sz w:val="28"/>
          <w:szCs w:val="28"/>
        </w:rPr>
        <w:t xml:space="preserve">4  Source URLs Checked</w:t>
      </w:r>
    </w:p>
    <w:p>
      <w:pPr>
        <w:pStyle w:val="ListParagraph"/>
        <w:numPr>
          <w:ilvl w:val="0"/>
          <w:numId w:val="3"/>
        </w:numPr>
      </w:pPr>
      <w:r>
        <w:rPr>
          <w:rFonts w:ascii="Calibri" w:cs="Calibri" w:eastAsia="Calibri" w:hAnsi="Calibri"/>
          <w:sz w:val="20"/>
          <w:szCs w:val="20"/>
        </w:rPr>
        <w:t xml:space="preserve">https://www.gtuem.org/druckkammern/</w:t>
      </w:r>
    </w:p>
    <w:p>
      <w:pPr>
        <w:pStyle w:val="ListParagraph"/>
        <w:numPr>
          <w:ilvl w:val="0"/>
          <w:numId w:val="3"/>
        </w:numPr>
      </w:pPr>
      <w:r>
        <w:rPr>
          <w:rFonts w:ascii="Calibri" w:cs="Calibri" w:eastAsia="Calibri" w:hAnsi="Calibri"/>
          <w:sz w:val="20"/>
          <w:szCs w:val="20"/>
        </w:rPr>
        <w:t xml:space="preserve">https://www.gtuem.org/images/druckkammerlisten/dk_d-l-1_010125.pdf</w:t>
      </w:r>
    </w:p>
    <w:p>
      <w:pPr>
        <w:pStyle w:val="ListParagraph"/>
        <w:numPr>
          <w:ilvl w:val="0"/>
          <w:numId w:val="3"/>
        </w:numPr>
      </w:pPr>
      <w:r>
        <w:rPr>
          <w:rFonts w:ascii="Calibri" w:cs="Calibri" w:eastAsia="Calibri" w:hAnsi="Calibri"/>
          <w:sz w:val="20"/>
          <w:szCs w:val="20"/>
        </w:rPr>
        <w:t xml:space="preserve">https://www.gtuem.org/images/druckkammerlisten/dk_d-l-2_010125.pdf</w:t>
      </w:r>
    </w:p>
    <w:p>
      <w:pPr>
        <w:pStyle w:val="ListParagraph"/>
        <w:numPr>
          <w:ilvl w:val="0"/>
          <w:numId w:val="3"/>
        </w:numPr>
      </w:pPr>
      <w:r>
        <w:rPr>
          <w:rFonts w:ascii="Calibri" w:cs="Calibri" w:eastAsia="Calibri" w:hAnsi="Calibri"/>
          <w:sz w:val="20"/>
          <w:szCs w:val="20"/>
        </w:rPr>
        <w:t xml:space="preserve">https://hbozentrum.de/en/about-us/</w:t>
      </w:r>
    </w:p>
    <w:p>
      <w:pPr>
        <w:pStyle w:val="ListParagraph"/>
        <w:numPr>
          <w:ilvl w:val="0"/>
          <w:numId w:val="3"/>
        </w:numPr>
      </w:pPr>
      <w:r>
        <w:rPr>
          <w:rFonts w:ascii="Calibri" w:cs="Calibri" w:eastAsia="Calibri" w:hAnsi="Calibri"/>
          <w:sz w:val="20"/>
          <w:szCs w:val="20"/>
        </w:rPr>
        <w:t xml:space="preserve">https://hbozentrum.de/en/diving-medicine/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00387B"/>
      <w:sz w:val="28"/>
      <w:szCs w:val="28"/>
    </w:rPr>
  </w:style>
  <w:style w:type="paragraph" w:styleId="Heading2">
    <w:name w:val="Heading 2"/>
    <w:basedOn w:val="Normal"/>
    <w:next w:val="Normal"/>
    <w:qFormat/>
    <w:pPr>
      <w:spacing w:after="80" w:before="180"/>
      <w:outlineLvl w:val="1"/>
    </w:pPr>
    <w:rPr>
      <w:rFonts w:ascii="Calibri" w:cs="Calibri" w:eastAsia="Calibri" w:hAnsi="Calibri"/>
      <w:b/>
      <w:bCs/>
      <w:color w:val="00387B"/>
      <w:sz w:val="24"/>
      <w:szCs w:val="24"/>
    </w:rPr>
  </w:style>
  <w:style w:type="paragraph" w:styleId="Heading3">
    <w:name w:val="Heading 3"/>
    <w:basedOn w:val="Normal"/>
    <w:next w:val="Normal"/>
    <w:qFormat/>
    <w:pPr>
      <w:spacing w:after="60" w:before="120"/>
      <w:outlineLvl w:val="2"/>
    </w:pPr>
    <w:rPr>
      <w:rFonts w:ascii="Calibri" w:cs="Calibri" w:eastAsia="Calibri" w:hAnsi="Calibri"/>
      <w:b/>
      <w:bCs/>
      <w:color w:val="0038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2026-04-14T05:43:38.941Z</dcterms:created>
  <dcterms:modified xsi:type="dcterms:W3CDTF">2026-04-14T05:43:38.941Z</dcterms:modified>
</cp:coreProperties>
</file>

<file path=docProps/custom.xml><?xml version="1.0" encoding="utf-8"?>
<Properties xmlns="http://schemas.openxmlformats.org/officeDocument/2006/custom-properties" xmlns:vt="http://schemas.openxmlformats.org/officeDocument/2006/docPropsVTypes"/>
</file>