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猪只目标检测实验对比与结果分析</w:t>
      </w:r>
    </w:p>
    <w:p>
      <w:pPr>
        <w:spacing w:after="160"/>
        <w:jc w:val="center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六种检测模型的统一评测与训练过程分析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在固定同场景测试集上，YOLOv8s与RT-DETR-L的COCO AP分别为75.09%与75.00%，数值接近；YOLOX-S的AP75最高，Faster R-CNN的AP50最高，RT-DETR-L的召回最高。各方法宽松匹配精度接近，但严格定位与召回仍有差异。以下依据已完成服务器批次的训练历史、验证选点及测试预测，分析精度、训练过程与计时结果。</w:t>
      </w:r>
    </w:p>
    <w:p>
      <w:pPr>
        <w:pStyle w:val="Heading1"/>
      </w:pPr>
      <w:r>
        <w:t>1 数据与实验设置</w:t>
      </w:r>
    </w:p>
    <w:p>
      <w:pPr>
        <w:pStyle w:val="Heading2"/>
      </w:pPr>
      <w:r>
        <w:t>1.1 数据规模与清洗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数据来自用户提供的 pig-objection detection。原始包有2,016张JPG和1,015份VOC XML；经核查，无同名XML的1,001张图片均含猪，已按确认清单删除，没有作为负样本。原110组完全重复文件也随该步骤处理完成。当前保留1,015对图片与标注、9,735个pig框，分辨率均为1280×720。XML只修订path、folder路径字段，类别与坐标保持不变。</w:t>
      </w:r>
    </w:p>
    <w:p>
      <w:pPr>
        <w:pStyle w:val="Heading2"/>
      </w:pPr>
      <w:r>
        <w:t>1.2 固定划分及适用范围</w:t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表 1  数据划分与目标尺度分布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2448"/>
        <w:gridCol w:w="1728"/>
        <w:gridCol w:w="2074"/>
        <w:gridCol w:w="1872"/>
        <w:gridCol w:w="1872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划分</w:t>
            </w:r>
          </w:p>
        </w:tc>
        <w:tc>
          <w:tcPr>
            <w:tcW w:type="dxa" w:w="1728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图像数</w:t>
            </w:r>
          </w:p>
        </w:tc>
        <w:tc>
          <w:tcPr>
            <w:tcW w:type="dxa" w:w="2074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框数</w:t>
            </w:r>
          </w:p>
        </w:tc>
        <w:tc>
          <w:tcPr>
            <w:tcW w:type="dxa" w:w="187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中目标</w:t>
            </w:r>
          </w:p>
        </w:tc>
        <w:tc>
          <w:tcPr>
            <w:tcW w:type="dxa" w:w="187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大目标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训练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690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6,577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6,415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验证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1,088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1,074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测试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1,289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1,285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隔离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781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after="0" w:line="100" w:lineRule="exact"/>
      </w:pPr>
      <w:r>
        <w:rPr>
          <w:rFonts w:ascii="Times New Roman" w:hAnsi="Times New Roman" w:eastAsia="SimSun" w:cs="Times New Roman"/>
          <w:color w:val="000000"/>
          <w:sz w:val="2"/>
        </w:rPr>
      </w:r>
    </w:p>
    <w:p>
      <w:pPr>
        <w:spacing w:after="10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19"/>
        </w:rPr>
        <w:t>注：中目标面积为32²至96²像素，大目标面积不低于96²像素；训练、验证、测试均无小目标。隔离样本不参与训练或评测。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按数字文件名分块，在两处分界的两侧各隔离20张，共隔离80张；划分不随训练随机种子改变。编号尚未证明对应真实拍摄时间或独立来源，因此本次属于同场景内部探索性比较，不能据此声称无语义近重复、无来源泄漏或具有跨场景泛化能力。</w:t>
      </w:r>
    </w:p>
    <w:p>
      <w:pPr>
        <w:pStyle w:val="Heading2"/>
      </w:pPr>
      <w:r>
        <w:t>1.3 标注转换与数据一致性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实验采用单类别pig。VOC转COCO时将xmin、ymin减1，保留xmax、ymax，再生成连续坐标的宽高；COCO类别编号为1，YOLO类别编号为0。两种派生格式来自同一批XML，不为不同模型单独改变标注。图像与XML的文件哈希、固定划分及坐标转换校验记录均保留在项目中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服务器迁回本机后，原始训练清单保留历史Linux路径。当前本机数据路径为 D:\Projects\Pig_Detection_test\data\raw\pig_detection，派生标注在data/processed/exploratory。两份划分清单只存在raw_root路径差异，图片与XML哈希及划分一致，因此报告使用同一批样本的实测成绩。</w:t>
      </w:r>
    </w:p>
    <w:p>
      <w:pPr>
        <w:pStyle w:val="Heading1"/>
        <w:pageBreakBefore/>
      </w:pPr>
      <w:r>
        <w:t>2 训练预算与评价协议</w:t>
      </w:r>
    </w:p>
    <w:p>
      <w:pPr>
        <w:pStyle w:val="Heading2"/>
      </w:pPr>
      <w:r>
        <w:t>2.1 实际训练预算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六种模型在RTX 3090上均完成100轮训练，seed=42，名义输入尺寸640，AdamW初始学习率0.0001，权重衰减0.0005，采用余弦学习率且关闭早停。核心环境为PyTorch 2.5.1+cu121、torchvision 0.20.1+cu121、Ultralytics 8.4.183、NumPy 1.26.4。完整历史各有100轮，不以较早的最佳权重轮次冒充提前结束。</w:t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表 2  服务器训练批量设置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3427"/>
        <w:gridCol w:w="1944"/>
        <w:gridCol w:w="2376"/>
        <w:gridCol w:w="2246"/>
      </w:tblGrid>
      <w:tr>
        <w:trPr>
          <w:tblHeader/>
          <w:cantSplit/>
        </w:trPr>
        <w:tc>
          <w:tcPr>
            <w:tcW w:type="dxa" w:w="3427"/>
            <w:vAlign w:val="center"/>
            <w:tcBorders>
              <w:bottom w:val="single" w:sz="6" w:color="000000"/>
            </w:tcBorders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1944"/>
            <w:vAlign w:val="center"/>
            <w:tcBorders>
              <w:bottom w:val="single" w:sz="6" w:color="000000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0"/>
              </w:rPr>
              <w:t>训练batch</w:t>
            </w:r>
          </w:p>
        </w:tc>
        <w:tc>
          <w:tcPr>
            <w:tcW w:type="dxa" w:w="2376"/>
            <w:vAlign w:val="center"/>
            <w:tcBorders>
              <w:bottom w:val="single" w:sz="6" w:color="000000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0"/>
              </w:rPr>
              <w:t>配置有效batch</w:t>
            </w:r>
          </w:p>
        </w:tc>
        <w:tc>
          <w:tcPr>
            <w:tcW w:type="dxa" w:w="2246"/>
            <w:vAlign w:val="center"/>
            <w:tcBorders>
              <w:bottom w:val="single" w:sz="6" w:color="000000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0"/>
              </w:rPr>
              <w:t>梯度累积依据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YOLOv8s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24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1步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YOLOX-S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24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2步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Faster R-CNN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24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4步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RetinaNet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24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1步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FCOS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24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2步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 w:line="26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RT-DETR-L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246"/>
            <w:vAlign w:val="center"/>
          </w:tcPr>
          <w:p>
            <w:pPr>
              <w:spacing w:after="0" w:line="26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0"/>
              </w:rPr>
              <w:t>2步</w:t>
            </w:r>
          </w:p>
        </w:tc>
      </w:tr>
    </w:tbl>
    <w:p>
      <w:pPr>
        <w:spacing w:after="0" w:line="100" w:lineRule="exact"/>
      </w:pPr>
      <w:r>
        <w:rPr>
          <w:rFonts w:ascii="Times New Roman" w:hAnsi="Times New Roman" w:eastAsia="SimSun" w:cs="Times New Roman"/>
          <w:color w:val="000000"/>
          <w:sz w:val="2"/>
        </w:rPr>
      </w:r>
    </w:p>
    <w:p>
      <w:pPr>
        <w:spacing w:after="10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19"/>
        </w:rPr>
        <w:t>注：有效batch=32为配置预算；尾部小批次不保证每次更新均有32张，微批与BatchNorm统计也不相同。本机默认40轮、batch=4的配置未用于本表成绩。</w:t>
      </w:r>
    </w:p>
    <w:p>
      <w:pPr>
        <w:pStyle w:val="Heading2"/>
      </w:pPr>
      <w:r>
        <w:t>2.2 模型实现与输入控制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Faster R-CNN采用候选区域与后续分类回归的两阶段检测流程；RetinaNet、FCOS和YOLO系列沿用各自单阶段实现，RT-DETR-L使用其原生Transformer检测适配器。六种方法均从官方COCO权重开始，再训练单类别pig；分类头形状不匹配的部分重新初始化，加载范围由训练清单记录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名义输入尺寸为640，但各框架保留原生预处理。Torchvision按其变换器缩放、归一化和填充，YOLO/YOLOX及RT-DETR沿用自己的输入处理；损失也不统一替换。因此，相同尺寸参数不能写成全部输入张量、优化动态或训练配方完全一致。推理适配器统一保留有效框并至多输出300个高分结果，COCO评价按maxDets=100截断。</w:t>
      </w:r>
    </w:p>
    <w:p>
      <w:pPr>
        <w:pStyle w:val="Heading2"/>
      </w:pPr>
      <w:r>
        <w:t>2.3 验证选权重与统一评价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六种方法使用同一训练、验证和测试划分，均从官方COCO权重初始化，再训练单类别pig。每轮采用相同pycocotools验证AP选择权重：四种原生适配器使用best.pt，YOLOv8s和RT-DETR-L使用best_coco.pt。统一COCO bbox评测取IoU 0.50至0.95、步长0.05，maxDets=[1,10,100]。各方法保留原生预处理和损失，名义尺寸一致不等于全部网络张量形状相同。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AP在一组IoU阈值上综合评价精度，AP50、AP75分别固定在IoU=0.50和0.75。AR100是在最多100个检测结果下的多IoU平均召回，不等同于单一置信度阈值下的Recall。原始评测值为0到1，报告统一乘100显示百分数；无定义项保留其含义，不按0分填表。</w:t>
      </w:r>
    </w:p>
    <w:p>
      <w:pPr>
        <w:pStyle w:val="Heading1"/>
        <w:pageBreakBefore/>
      </w:pPr>
      <w:r>
        <w:t>3 统一测试结果与指标差异</w:t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表 3  六模型在133张测试图像上的检测结果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3024"/>
        <w:gridCol w:w="1742"/>
        <w:gridCol w:w="1742"/>
        <w:gridCol w:w="1742"/>
        <w:gridCol w:w="1742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174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AP ↑</w:t>
            </w:r>
          </w:p>
        </w:tc>
        <w:tc>
          <w:tcPr>
            <w:tcW w:type="dxa" w:w="174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AP50 ↑</w:t>
            </w:r>
          </w:p>
        </w:tc>
        <w:tc>
          <w:tcPr>
            <w:tcW w:type="dxa" w:w="174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AP75 ↑</w:t>
            </w:r>
          </w:p>
        </w:tc>
        <w:tc>
          <w:tcPr>
            <w:tcW w:type="dxa" w:w="174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AR100 ↑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YOLOv8s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75.09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98.48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93.97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81.19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YOLOX-S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74.16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98.34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95.01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79.93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Faster R-CNN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71.13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98.58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90.31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76.11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RetinaNet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67.99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98.03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84.70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74.68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FCOS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71.40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98.03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90.69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77.52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RT-DETR-L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75.00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98.39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94.63</w:t>
            </w:r>
          </w:p>
        </w:tc>
        <w:tc>
          <w:tcPr>
            <w:tcW w:type="dxa" w:w="1742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81.76</w:t>
            </w:r>
          </w:p>
        </w:tc>
      </w:tr>
    </w:tbl>
    <w:p>
      <w:pPr>
        <w:spacing w:after="0" w:line="100" w:lineRule="exact"/>
      </w:pPr>
      <w:r>
        <w:rPr>
          <w:rFonts w:ascii="Times New Roman" w:hAnsi="Times New Roman" w:eastAsia="SimSun" w:cs="Times New Roman"/>
          <w:color w:val="000000"/>
          <w:sz w:val="2"/>
        </w:rPr>
      </w:r>
    </w:p>
    <w:p>
      <w:pPr>
        <w:spacing w:after="10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19"/>
        </w:rPr>
        <w:t>注：单位为%，粗体为本表数值最高；正文差值为百分点。六份保存预测重算AP均与原指标一致。</w:t>
      </w:r>
    </w:p>
    <w:p>
      <w:pPr>
        <w:keepNext/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st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图 1  测试集检测精度与召回比较</w:t>
      </w:r>
    </w:p>
    <w:p>
      <w:pPr>
        <w:pStyle w:val="Heading2"/>
      </w:pPr>
      <w:r>
        <w:t>3.1 总体精度与接近的领先结果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YOLOv8s的AP为75.09%，RT-DETR-L为75.00%，仅相差0.09个百分点。两者相对YOLOX-S的74.16%分别高0.93和0.84个百分点；FCOS为71.40%，Faster R-CNN为71.13%，RetinaNet为67.99%。本次只有固定划分、单一seed=42的结果，0.09个百分点不能解释为统计显著领先，也不能据此判定架构在其他场景上的优劣。</w:t>
      </w:r>
    </w:p>
    <w:p>
      <w:pPr>
        <w:pStyle w:val="Heading2"/>
      </w:pPr>
      <w:r>
        <w:t>3.2 宽松匹配与严格定位的分化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六模型AP50都在98.03%至98.58%之间，仅相差0.55个百分点；AP75则从RetinaNet的84.70%到YOLOX-S的95.01%，相差10.31个百分点。Faster R-CNN虽然AP50最高（98.58%），其AP为71.13%、AP75为90.31%，说明宽松IoU下检测成功并不等于边框在更严格阈值下仍准确。只报告AP50会明显压缩模型差异。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RT-DETR-L的AR100最高（81.76%），略高于YOLOv8s的81.19%；YOLOX-S为79.93%。AR100是在多IoU阈值及最多100个检测结果下的平均召回，不能直接当作某个固定置信度下的猪只识别率。上述排序反映精度、定位与召回之间不同的权衡。</w:t>
      </w:r>
    </w:p>
    <w:p>
      <w:pPr>
        <w:pStyle w:val="Heading1"/>
        <w:pageBreakBefore/>
      </w:pPr>
      <w:r>
        <w:t>4 验证选点与训练后期表现</w:t>
      </w:r>
    </w:p>
    <w:p>
      <w:pPr>
        <w:keepNext/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56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alidation_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5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图 2  六模型统一验证COCO AP随轮次变化</w:t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表 4  最佳验证轮次与第100轮的比较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3024"/>
        <w:gridCol w:w="1440"/>
        <w:gridCol w:w="1814"/>
        <w:gridCol w:w="1814"/>
        <w:gridCol w:w="1901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1440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最佳轮次</w:t>
            </w:r>
          </w:p>
        </w:tc>
        <w:tc>
          <w:tcPr>
            <w:tcW w:type="dxa" w:w="1814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最佳AP</w:t>
            </w:r>
          </w:p>
        </w:tc>
        <w:tc>
          <w:tcPr>
            <w:tcW w:type="dxa" w:w="1814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末轮AP</w:t>
            </w:r>
          </w:p>
        </w:tc>
        <w:tc>
          <w:tcPr>
            <w:tcW w:type="dxa" w:w="1901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回落幅度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YOLOv8s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75.40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73.78</w:t>
            </w:r>
          </w:p>
        </w:tc>
        <w:tc>
          <w:tcPr>
            <w:tcW w:type="dxa" w:w="1901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1.62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YOLOX-S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75.36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73.60</w:t>
            </w:r>
          </w:p>
        </w:tc>
        <w:tc>
          <w:tcPr>
            <w:tcW w:type="dxa" w:w="1901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1.76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Faster R-CNN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73.19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71.20</w:t>
            </w:r>
          </w:p>
        </w:tc>
        <w:tc>
          <w:tcPr>
            <w:tcW w:type="dxa" w:w="1901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2.00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RetinaNet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69.87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68.48</w:t>
            </w:r>
          </w:p>
        </w:tc>
        <w:tc>
          <w:tcPr>
            <w:tcW w:type="dxa" w:w="1901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1.40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FCOS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73.57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72.25</w:t>
            </w:r>
          </w:p>
        </w:tc>
        <w:tc>
          <w:tcPr>
            <w:tcW w:type="dxa" w:w="1901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1.32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RT-DETR-L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76.14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75.26</w:t>
            </w:r>
          </w:p>
        </w:tc>
        <w:tc>
          <w:tcPr>
            <w:tcW w:type="dxa" w:w="1901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0.88</w:t>
            </w:r>
          </w:p>
        </w:tc>
      </w:tr>
    </w:tbl>
    <w:p>
      <w:pPr>
        <w:spacing w:after="0" w:line="100" w:lineRule="exact"/>
      </w:pPr>
      <w:r>
        <w:rPr>
          <w:rFonts w:ascii="Times New Roman" w:hAnsi="Times New Roman" w:eastAsia="SimSun" w:cs="Times New Roman"/>
          <w:color w:val="000000"/>
          <w:sz w:val="2"/>
        </w:rPr>
      </w:r>
    </w:p>
    <w:p>
      <w:pPr>
        <w:spacing w:after="10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19"/>
        </w:rPr>
        <w:t>注：AP为验证集百分数，回落为最佳AP减第100轮AP的百分点差值；该表不包含测试成绩。</w:t>
      </w:r>
    </w:p>
    <w:p>
      <w:pPr>
        <w:pStyle w:val="Heading2"/>
      </w:pPr>
      <w:r>
        <w:t>4.1 统一轮数与不同最佳轮次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六模型都训练至100轮，但最佳验证权重分别出现在第5、3、18、51、25、9轮。使用同一验证集和同一指标选择各方法最佳权重，是共同预算内的选点；最佳轮次不同本身不构成训练轮数不一致。测试集只评估选出的权重，没有用测试AP反向挑选轮次或改写结果。</w:t>
      </w:r>
    </w:p>
    <w:p>
      <w:pPr>
        <w:pStyle w:val="Heading2"/>
      </w:pPr>
      <w:r>
        <w:t>4.2 过拟合风险与评价边界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相对最佳验证AP，六模型第100轮均出现回落，范围为0.88至2.00个百分点。YOLOv8s与YOLOX-S较早达到高点，后期训练损失继续下降，但验证AP未持续提高；Faster R-CNN也在第18轮后出现一定退化。该现象与小样本同场景条件下的过拟合风险一致，不能把更多轮数直接理解为更好的测试表现。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本次已保存验证选出的最佳权重，因此末轮退化不等于表3直接采用了较差末轮权重。现有曲线可以提出缩短预算或增加正则化的后续假设，但没有额外受控实验，不能宣称改成40轮会提高本批测试成绩。未来若比较轮数，应重新固定方案并对所有方法一致执行。</w:t>
      </w:r>
    </w:p>
    <w:p>
      <w:pPr>
        <w:pStyle w:val="Heading1"/>
        <w:pageBreakBefore/>
      </w:pPr>
      <w:r>
        <w:t>5 PR曲线与目标尺度分析</w:t>
      </w:r>
    </w:p>
    <w:p>
      <w:pPr>
        <w:keepNext/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2232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cision_rec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32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图 3  基于既有测试预测的COCO插值PR曲线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PR曲线在IoU=0.50时整体接近，IoU=0.75时差异更明显，与表3中AP50集中、AP75分化相对应。该曲线使用COCO插值精度，覆盖置信度排序得到的不同召回点；它不等同于任意选取单一阈值后的Precision或Recall。绘图过程读取保存预测并核对AP，未重新进行模型推理。</w:t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表 5  测试集不同目标尺度上的AP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3312"/>
        <w:gridCol w:w="2088"/>
        <w:gridCol w:w="2304"/>
        <w:gridCol w:w="2290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2088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小目标AP</w:t>
            </w:r>
          </w:p>
        </w:tc>
        <w:tc>
          <w:tcPr>
            <w:tcW w:type="dxa" w:w="2304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中目标AP</w:t>
            </w:r>
          </w:p>
        </w:tc>
        <w:tc>
          <w:tcPr>
            <w:tcW w:type="dxa" w:w="2290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大目标AP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YOLOv8s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无定义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37.27</w:t>
            </w:r>
          </w:p>
        </w:tc>
        <w:tc>
          <w:tcPr>
            <w:tcW w:type="dxa" w:w="229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75.11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YOLOX-S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无定义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36.15</w:t>
            </w:r>
          </w:p>
        </w:tc>
        <w:tc>
          <w:tcPr>
            <w:tcW w:type="dxa" w:w="229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74.24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Faster R-CNN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无定义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27.54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71.25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RetinaNet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无定义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15.71</w:t>
            </w:r>
          </w:p>
        </w:tc>
        <w:tc>
          <w:tcPr>
            <w:tcW w:type="dxa" w:w="229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68.18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FCOS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无定义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25.89</w:t>
            </w:r>
          </w:p>
        </w:tc>
        <w:tc>
          <w:tcPr>
            <w:tcW w:type="dxa" w:w="229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71.50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RT-DETR-L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无定义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42.97</w:t>
            </w:r>
          </w:p>
        </w:tc>
        <w:tc>
          <w:tcPr>
            <w:tcW w:type="dxa" w:w="229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75.15</w:t>
            </w:r>
          </w:p>
        </w:tc>
      </w:tr>
    </w:tbl>
    <w:p>
      <w:pPr>
        <w:spacing w:after="0" w:line="100" w:lineRule="exact"/>
      </w:pPr>
      <w:r>
        <w:rPr>
          <w:rFonts w:ascii="Times New Roman" w:hAnsi="Times New Roman" w:eastAsia="SimSun" w:cs="Times New Roman"/>
          <w:color w:val="000000"/>
          <w:sz w:val="2"/>
        </w:rPr>
      </w:r>
    </w:p>
    <w:p>
      <w:pPr>
        <w:spacing w:after="10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19"/>
        </w:rPr>
        <w:t>注：小目标0个，中目标4个，大目标1,285个。原始AP_small=-1表示该尺度没有可评估GT，不是0分。</w:t>
      </w:r>
    </w:p>
    <w:p>
      <w:pPr>
        <w:pStyle w:val="Heading2"/>
      </w:pPr>
      <w:r>
        <w:t>5.1 结果主要反映大目标场景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测试集大目标占全部标注的99.69%，因此总体AP与大目标AP十分接近。YOLOv8s和RT-DETR-L的大目标AP分别为75.11%与75.15%，排名与总体AP略有交换，再次说明微小总分差距不足以支持笼统优越性判断。当前数据对近距离、大面积猪只检测的支撑较强，对远距离小猪只的检测能力没有直接证据。</w:t>
      </w:r>
    </w:p>
    <w:p>
      <w:pPr>
        <w:pStyle w:val="Heading2"/>
      </w:pPr>
      <w:r>
        <w:t>5.2 中目标成绩的样本限制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RT-DETR-L的中目标AP为42.97%，YOLOv8s为37.27%，RetinaNet为15.71%。但中目标仅4个，个别框的定位或排序变化就可能明显改变该分数，不能据此概括模型对中目标的稳定能力。报告应同时给出样本数与无定义项，避免只列尺度指标而省略其分母。</w:t>
      </w:r>
    </w:p>
    <w:p>
      <w:pPr>
        <w:pStyle w:val="Heading1"/>
        <w:pageBreakBefore/>
      </w:pPr>
      <w:r>
        <w:t>6 耗时比较与实验有效性</w:t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表 6  RTX 3090上的单图适配器耗时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3312"/>
        <w:gridCol w:w="2506"/>
        <w:gridCol w:w="2160"/>
        <w:gridCol w:w="2016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2506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均值 ms/图 ↓</w:t>
            </w:r>
          </w:p>
        </w:tc>
        <w:tc>
          <w:tcPr>
            <w:tcW w:type="dxa" w:w="2160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统计图像数</w:t>
            </w:r>
          </w:p>
        </w:tc>
        <w:tc>
          <w:tcPr>
            <w:tcW w:type="dxa" w:w="2016"/>
            <w:vAlign w:val="center"/>
            <w:tcBorders>
              <w:bottom w:val="single" w:sz="6" w:color="000000"/>
            </w:tcBorders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21"/>
              </w:rPr>
              <w:t>测量batch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YOLOv8s</w:t>
            </w:r>
          </w:p>
        </w:tc>
        <w:tc>
          <w:tcPr>
            <w:tcW w:type="dxa" w:w="250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3.41</w:t>
            </w:r>
          </w:p>
        </w:tc>
        <w:tc>
          <w:tcPr>
            <w:tcW w:type="dxa" w:w="216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201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YOLOX-S</w:t>
            </w:r>
          </w:p>
        </w:tc>
        <w:tc>
          <w:tcPr>
            <w:tcW w:type="dxa" w:w="250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4.82</w:t>
            </w:r>
          </w:p>
        </w:tc>
        <w:tc>
          <w:tcPr>
            <w:tcW w:type="dxa" w:w="216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201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Faster R-CNN</w:t>
            </w:r>
          </w:p>
        </w:tc>
        <w:tc>
          <w:tcPr>
            <w:tcW w:type="dxa" w:w="250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13.66</w:t>
            </w:r>
          </w:p>
        </w:tc>
        <w:tc>
          <w:tcPr>
            <w:tcW w:type="dxa" w:w="216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201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RetinaNet</w:t>
            </w:r>
          </w:p>
        </w:tc>
        <w:tc>
          <w:tcPr>
            <w:tcW w:type="dxa" w:w="250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12.34</w:t>
            </w:r>
          </w:p>
        </w:tc>
        <w:tc>
          <w:tcPr>
            <w:tcW w:type="dxa" w:w="216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201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FCOS</w:t>
            </w:r>
          </w:p>
        </w:tc>
        <w:tc>
          <w:tcPr>
            <w:tcW w:type="dxa" w:w="250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12.85</w:t>
            </w:r>
          </w:p>
        </w:tc>
        <w:tc>
          <w:tcPr>
            <w:tcW w:type="dxa" w:w="216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201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RT-DETR-L</w:t>
            </w:r>
          </w:p>
        </w:tc>
        <w:tc>
          <w:tcPr>
            <w:tcW w:type="dxa" w:w="250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19.00</w:t>
            </w:r>
          </w:p>
        </w:tc>
        <w:tc>
          <w:tcPr>
            <w:tcW w:type="dxa" w:w="2160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2016"/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SimSun" w:cs="Times New Roman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0" w:line="100" w:lineRule="exact"/>
      </w:pPr>
      <w:r>
        <w:rPr>
          <w:rFonts w:ascii="Times New Roman" w:hAnsi="Times New Roman" w:eastAsia="SimSun" w:cs="Times New Roman"/>
          <w:color w:val="000000"/>
          <w:sz w:val="2"/>
        </w:rPr>
      </w:r>
    </w:p>
    <w:p>
      <w:pPr>
        <w:spacing w:after="10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19"/>
        </w:rPr>
        <w:t>注：剔除首张预热；包含适配器预处理、模型和后处理，不包含磁盘图像解码。未报告论文端到端FPS。</w:t>
      </w:r>
    </w:p>
    <w:p>
      <w:pPr>
        <w:keepNext/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71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tency_accura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7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图 4  适配器耗时与测试AP的关系</w:t>
      </w:r>
    </w:p>
    <w:p>
      <w:pPr>
        <w:pStyle w:val="Heading2"/>
      </w:pPr>
      <w:r>
        <w:t>6.1 当前实现中的精度与耗时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YOLOv8s平均耗时3.41 ms/图，YOLOX-S为4.82 ms/图，RT-DETR-L为19.00 ms/图；在接近AP下，当前YOLOv8s适配器的耗时较低。三种ResNet-50 FPN方法在12.34至13.66 ms/图之间。该比较反映同一服务器与当前推理适配路径，不能直接外推到本机RTX 2050、不同batch、TensorRT部署或其他精度模式。</w:t>
      </w:r>
    </w:p>
    <w:p>
      <w:pPr>
        <w:pStyle w:val="Heading2"/>
      </w:pPr>
      <w:r>
        <w:t>6.2 公平性与泛化的限制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共同数据、轮数、优化器和目标有效batch控制了部分实验因素，但各方法的微批、BatchNorm统计、预处理张量形状、损失及单类别头初始化仍不相同。保留原生实现有助于复现代码，却不能把本次设置称为各论文完整配方复现，也没有证明每种模型都经过等预算的最优调参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本次没有多随机种子、独立来源分组或跨场景测试，也没有记录重复计时的方差。因此，本文结论限于当前同场景探索性划分与固定实现。高AP50不消除语义近重复或来源重叠风险；较快的适配器均值也不代表完整部署系统具有相同比例的加速。</w:t>
      </w:r>
    </w:p>
    <w:p>
      <w:pPr>
        <w:pStyle w:val="Heading1"/>
        <w:pageBreakBefore/>
      </w:pPr>
      <w:r>
        <w:t>7 训练损失与复核依据</w:t>
      </w:r>
    </w:p>
    <w:p>
      <w:pPr>
        <w:keepNext/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05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ining_lo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SimSun" w:cs="Times New Roman"/>
          <w:color w:val="000000"/>
          <w:sz w:val="20"/>
        </w:rPr>
        <w:t>图 5  六模型原生训练损失的独立曲线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各模型的损失项及量纲不同，图5按模型分面展示，只分析各自随轮次的变化，不按损失绝对值横向排名。YOLOv8s及RT-DETR-L曲线为各自训练损失项之和；其他模型取训练日志的原生汇总损失。训练损失持续降低、验证AP后期未同步提高，提示需结合图2讨论泛化而不能只看训练拟合。</w:t>
      </w:r>
    </w:p>
    <w:p>
      <w:pPr>
        <w:pStyle w:val="Heading2"/>
      </w:pPr>
      <w:r>
        <w:t>7.1 实验结论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在这批100轮、单一seed=42的实验中，YOLOv8s与RT-DETR-L的AP数值接近，YOLOv8s的当前适配器耗时较低；YOLOX-S在AP75上最好，Faster R-CNN在AP50上最好，RT-DETR-L的召回最高。模型差异主要在更严格定位与召回层面体现。本次数据几乎全部为大目标，不能据此推断小目标能力或跨场景泛化。</w:t>
      </w:r>
    </w:p>
    <w:p>
      <w:pPr>
        <w:pStyle w:val="Heading2"/>
      </w:pPr>
      <w:r>
        <w:t>7.2 实际路径与文件依据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当前本机项目为 D:\Projects\Pig_Detection_test。完成结果在 experiments/work_dirs/baseline/模型名/training 与 test；图表在 experiments/work_dirs/report。最佳权重、训练清单与测试文件的实际D盘位置及SHA256见 experiments/final_results.json。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2"/>
        </w:rPr>
        <w:t>服务器原始记录保留 /home/DP/pigdet_20261021/project 的历史路径；迁移后未把历史JSON改写为本机路径。服务器与本机划分清单仅raw_root路径字段不同，图片/XML哈希和划分相同；两份清单保留原哈希，通过结果索引建立对应关系。报告中的成绩来自该100轮批次，不能写为当前默认40轮、batch=4的本机方案。</w:t>
      </w:r>
    </w:p>
    <w:p>
      <w:pPr>
        <w:spacing w:after="100"/>
        <w:ind w:firstLine="440"/>
        <w:jc w:val="both"/>
      </w:pPr>
      <w:r>
        <w:rPr>
          <w:rFonts w:ascii="Times New Roman" w:hAnsi="Times New Roman" w:eastAsia="SimSun" w:cs="Times New Roman"/>
          <w:b w:val="0"/>
          <w:color w:val="000000"/>
          <w:sz w:val="21"/>
        </w:rPr>
        <w:t>六个最佳权重均已核对训练与测试SHA256一致；每条训练历史有100轮；保存预测重新计算的AP与六份原始指标一致。数据清洗、划分和服务器迁移记录作为复核材料保留。公开仓库为 https://github.com/Mark1212120/PigDetection，原始图像与模型大权重不随仓库发布。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 w:cs="Times New Roman"/>
        <w:color w:val="000000"/>
        <w:sz w:val="18"/>
      </w:rPr>
      <w:t xml:space="preserve">第 </w:t>
    </w:r>
    <w:fldSimple w:instr="PAGE"/>
    <w:r>
      <w:rPr>
        <w:rFonts w:ascii="Times New Roman" w:hAnsi="Times New Roman" w:eastAsia="SimSun" w:cs="Times New Roman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imSun" w:cs="Times New Roman"/>
        <w:color w:val="000000"/>
        <w:sz w:val="18"/>
      </w:rPr>
      <w:t>猪只目标检测实验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Times New Roman" w:hAnsi="Times New Roman" w:eastAsia="SimSu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SimSu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SimSu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40" w:lineRule="exact"/>
      <w:outlineLvl w:val="0"/>
    </w:pPr>
    <w:rPr>
      <w:rFonts w:ascii="Times New Roman" w:hAnsi="Times New Roman" w:eastAsia="SimSu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0" w:lineRule="exact"/>
      <w:outlineLvl w:val="1"/>
    </w:pPr>
    <w:rPr>
      <w:rFonts w:ascii="Times New Roman" w:hAnsi="Times New Roman" w:eastAsia="SimSu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SimSu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SimSu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SimSu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SimSu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SimSu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SimSu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SimSu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SimSun" w:cs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SimSun" w:cs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SimSun" w:cs="Times New Roman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SimSun" w:cs="Times New Roman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SimSun" w:cs="Times New Roman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440" w:lineRule="exact" w:before="0"/>
      <w:contextualSpacing/>
      <w:jc w:val="center"/>
    </w:pPr>
    <w:rPr>
      <w:rFonts w:ascii="Times New Roman" w:hAnsi="Times New Roman" w:eastAsia="SimSu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SimSun" w:cs="Times New Roman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SimSu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SimSun" w:cs="Times New Roman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imSu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SimSun" w:cs="Times New Roman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imSu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SimSun" w:cs="Times New Roman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imSu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SimSun" w:cs="Times New Roman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imSu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imSu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imSun" w:cs="Times New Roman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imSu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SimSun" w:cs="Times New Roman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SimSun" w:cs="Times New Roman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SimSun" w:cs="Times New Roman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SimSun" w:cs="Times New Roman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SimSun" w:cs="Times New Roman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SimSun" w:cs="Times New Roman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SimSun" w:cs="Times New Roman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imSu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SimSun" w:cs="Times New Roman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SimSun" w:cs="Times New Roman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SimSu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SimSun" w:cs="Times New Roman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SimSun" w:cs="Times New Roman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SimSun" w:cs="Times New Roman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SimSun" w:cs="Times New Roman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SimSun" w:cs="Times New Roman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SimSun" w:cs="Times New Roman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imSu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imSun" w:cs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猪只目标检测实验对比与结果分析</dc:title>
  <dc:subject>六模型服务器100轮实验的统一COCO评测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