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0BD64">
      <w:pPr>
        <w:spacing w:line="300" w:lineRule="auto"/>
        <w:ind w:firstLine="720" w:firstLineChars="300"/>
        <w:rPr>
          <w:rFonts w:ascii="Times New Roman" w:hAnsi="Times New Roman" w:cs="Times New Roman"/>
          <w:color w:val="EE0000"/>
        </w:rPr>
      </w:pPr>
      <w:r>
        <w:rPr>
          <w:rFonts w:hint="eastAsia" w:ascii="Times New Roman" w:hAnsi="Times New Roman" w:cs="Times New Roman"/>
          <w:color w:val="EE0000"/>
        </w:rPr>
        <w:t>以下标黄的为比较有参考价值</w:t>
      </w:r>
      <w:r>
        <w:rPr>
          <w:rFonts w:hint="eastAsia" w:ascii="Times New Roman" w:hAnsi="Times New Roman" w:cs="Times New Roman"/>
          <w:color w:val="EE0000"/>
          <w:highlight w:val="green"/>
          <w:lang w:eastAsia="zh-CN"/>
        </w:rPr>
        <w:t>（</w:t>
      </w:r>
      <w:r>
        <w:rPr>
          <w:rFonts w:hint="eastAsia" w:ascii="Times New Roman" w:hAnsi="Times New Roman" w:cs="Times New Roman"/>
          <w:color w:val="EE0000"/>
          <w:highlight w:val="green"/>
          <w:lang w:val="en-US" w:eastAsia="zh-CN"/>
        </w:rPr>
        <w:t>新增的从第6篇往后</w:t>
      </w:r>
      <w:r>
        <w:rPr>
          <w:rFonts w:hint="eastAsia" w:ascii="Times New Roman" w:hAnsi="Times New Roman" w:cs="Times New Roman"/>
          <w:color w:val="EE0000"/>
          <w:highlight w:val="green"/>
          <w:lang w:eastAsia="zh-CN"/>
        </w:rPr>
        <w:t>）</w:t>
      </w:r>
      <w:r>
        <w:rPr>
          <w:rFonts w:hint="eastAsia" w:ascii="Times New Roman" w:hAnsi="Times New Roman" w:cs="Times New Roman"/>
          <w:color w:val="EE0000"/>
        </w:rPr>
        <w:t>：</w:t>
      </w:r>
    </w:p>
    <w:p w14:paraId="7E504B13">
      <w:pPr>
        <w:spacing w:line="300" w:lineRule="auto"/>
        <w:ind w:firstLine="0" w:firstLineChars="0"/>
        <w:rPr>
          <w:rFonts w:ascii="Times New Roman" w:hAnsi="Times New Roman" w:cs="Times New Roman"/>
          <w:b/>
          <w:bCs/>
        </w:rPr>
      </w:pPr>
      <w:r>
        <w:rPr>
          <w:rFonts w:hint="eastAsia" w:ascii="Times New Roman" w:hAnsi="Times New Roman" w:cs="Times New Roman"/>
          <w:b/>
          <w:bCs/>
          <w:lang w:val="en-US" w:eastAsia="zh-CN"/>
        </w:rPr>
        <w:t>1</w:t>
      </w:r>
      <w:r>
        <w:rPr>
          <w:rFonts w:hint="eastAsia" w:ascii="宋体" w:hAnsi="宋体" w:cs="Times New Roman"/>
          <w:b/>
          <w:bCs/>
        </w:rPr>
        <w:t>.</w:t>
      </w:r>
      <w:r>
        <w:rPr>
          <w:rFonts w:ascii="Times New Roman" w:hAnsi="Times New Roman" w:cs="Times New Roman"/>
          <w:b/>
          <w:bCs/>
          <w:highlight w:val="yellow"/>
        </w:rPr>
        <w:t>教育科技人才一体化发展评价指标体系构建——基于共生理论视角_江郁</w:t>
      </w:r>
    </w:p>
    <w:p w14:paraId="7D3F4A4E">
      <w:pPr>
        <w:spacing w:line="300" w:lineRule="auto"/>
        <w:ind w:firstLine="0" w:firstLineChars="0"/>
        <w:rPr>
          <w:rFonts w:ascii="Times New Roman" w:hAnsi="Times New Roman" w:cs="Times New Roman"/>
        </w:rPr>
      </w:pPr>
      <w:r>
        <w:rPr>
          <w:rFonts w:hint="eastAsia" w:ascii="Times New Roman" w:hAnsi="Times New Roman" w:cs="Times New Roman"/>
        </w:rPr>
        <w:t>期刊名称及级别：科学管理研究（B类）</w:t>
      </w:r>
    </w:p>
    <w:p w14:paraId="6A6B18EF">
      <w:pPr>
        <w:spacing w:line="300" w:lineRule="auto"/>
        <w:ind w:firstLine="480"/>
        <w:rPr>
          <w:rFonts w:ascii="Times New Roman" w:hAnsi="Times New Roman" w:cs="Times New Roman"/>
        </w:rPr>
      </w:pPr>
      <w:r>
        <w:rPr>
          <w:rFonts w:hint="eastAsia" w:ascii="Times New Roman" w:hAnsi="Times New Roman" w:cs="Times New Roman"/>
        </w:rPr>
        <w:t>本文</w:t>
      </w:r>
      <w:r>
        <w:rPr>
          <w:rFonts w:ascii="Times New Roman" w:hAnsi="Times New Roman" w:cs="Times New Roman"/>
        </w:rPr>
        <w:t>基于共生理论，分析共生理论与教育、科技、人才一体化的契合性，并构建以国家、区域或城市为对象的教育科技人才一体化发展评价指标体系，以及包括综合评价模型、共生度模型、耦合协调度模型在内的实证测度方法。</w:t>
      </w:r>
    </w:p>
    <w:p w14:paraId="21AC504E">
      <w:pPr>
        <w:spacing w:line="300" w:lineRule="auto"/>
        <w:ind w:firstLine="0" w:firstLineChars="0"/>
        <w:rPr>
          <w:rFonts w:ascii="Times New Roman" w:hAnsi="Times New Roman" w:cs="Times New Roman"/>
          <w:b/>
          <w:bCs/>
          <w:shd w:val="clear" w:color="auto" w:fill="FFFFFF"/>
        </w:rPr>
      </w:pPr>
      <w:r>
        <w:rPr>
          <w:rFonts w:hint="eastAsia" w:ascii="Times New Roman" w:hAnsi="Times New Roman" w:cs="Times New Roman"/>
          <w:b/>
          <w:bCs/>
          <w:highlight w:val="yellow"/>
          <w:lang w:val="en-US" w:eastAsia="zh-CN"/>
        </w:rPr>
        <w:t>2</w:t>
      </w:r>
      <w:r>
        <w:rPr>
          <w:rFonts w:ascii="宋体" w:hAnsi="宋体" w:cs="Times New Roman"/>
          <w:b/>
          <w:bCs/>
          <w:highlight w:val="yellow"/>
        </w:rPr>
        <w:t>.</w:t>
      </w:r>
      <w:r>
        <w:rPr>
          <w:rFonts w:ascii="Times New Roman" w:hAnsi="Times New Roman" w:cs="Times New Roman"/>
          <w:b/>
          <w:bCs/>
          <w:highlight w:val="yellow"/>
          <w:shd w:val="clear" w:color="auto" w:fill="FFFFFF"/>
        </w:rPr>
        <w:t>Research on the evaluation and impact trends of China’s skill talent ecosystem in the digital era – An analysis based on neural network models and PVAR models</w:t>
      </w:r>
    </w:p>
    <w:p w14:paraId="59F0E474">
      <w:pPr>
        <w:spacing w:line="300" w:lineRule="auto"/>
        <w:ind w:firstLine="0" w:firstLineChars="0"/>
        <w:rPr>
          <w:rFonts w:ascii="Times New Roman" w:hAnsi="Times New Roman" w:cs="Times New Roman"/>
          <w:b/>
          <w:bCs/>
        </w:rPr>
      </w:pPr>
      <w:r>
        <w:rPr>
          <w:rFonts w:ascii="Times New Roman" w:hAnsi="Times New Roman" w:cs="Times New Roman"/>
          <w:b/>
          <w:bCs/>
        </w:rPr>
        <w:t>数字时代中国技能人才生态系统评价及影响趋势研究--基于神经网络模型和PVAR模型的分析</w:t>
      </w:r>
    </w:p>
    <w:p w14:paraId="342C1D03">
      <w:pPr>
        <w:spacing w:line="300" w:lineRule="auto"/>
        <w:ind w:firstLine="0" w:firstLineChars="0"/>
        <w:rPr>
          <w:rFonts w:ascii="Times New Roman" w:hAnsi="Times New Roman" w:cs="Times New Roman"/>
        </w:rPr>
      </w:pPr>
      <w:r>
        <w:rPr>
          <w:rFonts w:hint="eastAsia" w:ascii="Times New Roman" w:hAnsi="Times New Roman" w:cs="Times New Roman"/>
        </w:rPr>
        <w:t>期刊名称及级别：</w:t>
      </w:r>
      <w:r>
        <w:rPr>
          <w:rFonts w:ascii="Times New Roman" w:hAnsi="Times New Roman" w:cs="Times New Roman"/>
        </w:rPr>
        <w:t>PLOS ONE</w:t>
      </w:r>
      <w:r>
        <w:rPr>
          <w:rFonts w:hint="eastAsia" w:ascii="Times New Roman" w:hAnsi="Times New Roman" w:cs="Times New Roman"/>
        </w:rPr>
        <w:t>（</w:t>
      </w:r>
      <w:r>
        <w:rPr>
          <w:rFonts w:ascii="Times New Roman" w:hAnsi="Times New Roman" w:cs="Times New Roman"/>
        </w:rPr>
        <w:t>IF2.6</w:t>
      </w:r>
      <w:r>
        <w:rPr>
          <w:rFonts w:hint="eastAsia" w:ascii="Times New Roman" w:hAnsi="Times New Roman" w:cs="Times New Roman"/>
        </w:rPr>
        <w:t>，</w:t>
      </w:r>
      <w:r>
        <w:rPr>
          <w:rFonts w:ascii="Times New Roman" w:hAnsi="Times New Roman" w:cs="Times New Roman"/>
        </w:rPr>
        <w:t>JCRQ2</w:t>
      </w:r>
      <w:r>
        <w:rPr>
          <w:rFonts w:hint="eastAsia" w:ascii="Times New Roman" w:hAnsi="Times New Roman" w:cs="Times New Roman"/>
        </w:rPr>
        <w:t>，</w:t>
      </w:r>
      <w:r>
        <w:rPr>
          <w:rFonts w:ascii="Times New Roman" w:hAnsi="Times New Roman" w:cs="Times New Roman"/>
        </w:rPr>
        <w:t>中科院3区</w:t>
      </w:r>
      <w:r>
        <w:rPr>
          <w:rFonts w:hint="eastAsia" w:ascii="Times New Roman" w:hAnsi="Times New Roman" w:cs="Times New Roman"/>
        </w:rPr>
        <w:t>）</w:t>
      </w:r>
    </w:p>
    <w:p w14:paraId="7B75335A">
      <w:pPr>
        <w:spacing w:line="300" w:lineRule="auto"/>
        <w:ind w:firstLine="480"/>
        <w:rPr>
          <w:rFonts w:ascii="Times New Roman" w:hAnsi="Times New Roman" w:cs="Times New Roman"/>
        </w:rPr>
      </w:pPr>
      <w:r>
        <w:rPr>
          <w:rFonts w:ascii="Times New Roman" w:hAnsi="Times New Roman" w:cs="Times New Roman"/>
        </w:rPr>
        <w:t>这篇论文构建了一个“三阶集成方法”来评估技能人才生态系统。第一阶是AHP-熵权法组合赋权，用于确定评价指标的权重。第二阶是离散型Hopfield神经网络（DHNN），用于对技能人才生态的五个子系统进行等级评定。第三阶是面板向量自回归模型（PVAR），用于分析数字化转型对技能人才生态各子系统的动态冲击效应。</w:t>
      </w:r>
    </w:p>
    <w:p w14:paraId="7A4961CE">
      <w:pPr>
        <w:spacing w:line="300" w:lineRule="auto"/>
        <w:ind w:firstLine="0" w:firstLineChars="0"/>
        <w:rPr>
          <w:rFonts w:ascii="Times New Roman" w:hAnsi="Times New Roman" w:cs="Times New Roman"/>
          <w:b/>
          <w:bCs/>
          <w:highlight w:val="yellow"/>
        </w:rPr>
      </w:pPr>
      <w:r>
        <w:rPr>
          <w:rFonts w:hint="eastAsia" w:ascii="宋体" w:hAnsi="宋体" w:cs="Times New Roman"/>
          <w:b/>
          <w:bCs/>
          <w:highlight w:val="yellow"/>
          <w:lang w:val="en-US" w:eastAsia="zh-CN"/>
        </w:rPr>
        <w:t>3</w:t>
      </w:r>
      <w:r>
        <w:rPr>
          <w:rFonts w:ascii="宋体" w:hAnsi="宋体" w:cs="Times New Roman"/>
          <w:b/>
          <w:bCs/>
          <w:highlight w:val="yellow"/>
        </w:rPr>
        <w:t>.</w:t>
      </w:r>
      <w:r>
        <w:rPr>
          <w:rFonts w:hint="eastAsia" w:ascii="宋体" w:hAnsi="宋体" w:cs="Times New Roman"/>
          <w:b/>
          <w:bCs/>
          <w:highlight w:val="yellow"/>
        </w:rPr>
        <w:t>江西财经大学</w:t>
      </w:r>
      <w:r>
        <w:rPr>
          <w:rFonts w:ascii="Times New Roman" w:hAnsi="Times New Roman" w:cs="Times New Roman"/>
          <w:b/>
          <w:bCs/>
          <w:highlight w:val="yellow"/>
        </w:rPr>
        <w:t>全球国势指数分析报告白皮书</w:t>
      </w:r>
    </w:p>
    <w:p w14:paraId="131C9640">
      <w:pPr>
        <w:spacing w:line="300" w:lineRule="auto"/>
        <w:ind w:firstLine="480"/>
        <w:rPr>
          <w:rFonts w:ascii="Times New Roman" w:hAnsi="Times New Roman" w:cs="Times New Roman"/>
        </w:rPr>
      </w:pPr>
      <w:r>
        <w:rPr>
          <w:rFonts w:ascii="Times New Roman" w:hAnsi="Times New Roman" w:cs="Times New Roman"/>
        </w:rPr>
        <w:t>本研究将极值标 准化作为指标无量纲化的基础工具。其核心逻辑是以各指标在样本中的最大值与最小值为参照点，将所有国家的观测值线性映射到[0,100]区间，进而实现指标间的可比性。本 研究采用主、客观结合的方法（熵权法+结合Delphi法的直接评分法）对指标体系进行赋权，构建国势指数计算模型。</w:t>
      </w:r>
    </w:p>
    <w:p w14:paraId="7E0C5EC9">
      <w:pPr>
        <w:spacing w:line="300" w:lineRule="auto"/>
        <w:ind w:firstLine="0" w:firstLineChars="0"/>
        <w:rPr>
          <w:rFonts w:ascii="Times New Roman" w:hAnsi="Times New Roman" w:cs="Times New Roman"/>
          <w:b/>
          <w:bCs/>
        </w:rPr>
      </w:pPr>
      <w:r>
        <w:rPr>
          <w:rFonts w:hint="eastAsia" w:ascii="Times New Roman" w:hAnsi="Times New Roman" w:cs="Times New Roman"/>
          <w:b/>
          <w:bCs/>
          <w:highlight w:val="yellow"/>
          <w:lang w:val="en-US" w:eastAsia="zh-CN"/>
        </w:rPr>
        <w:t>4</w:t>
      </w:r>
      <w:r>
        <w:rPr>
          <w:rFonts w:ascii="宋体" w:hAnsi="宋体" w:cs="Times New Roman"/>
          <w:b/>
          <w:bCs/>
          <w:highlight w:val="yellow"/>
        </w:rPr>
        <w:t>.</w:t>
      </w:r>
      <w:r>
        <w:rPr>
          <w:rFonts w:ascii="Times New Roman" w:hAnsi="Times New Roman" w:cs="Times New Roman"/>
          <w:b/>
          <w:bCs/>
          <w:highlight w:val="yellow"/>
        </w:rPr>
        <w:t>Optimizing Undergraduate Major Evaluation in Higher Education: A Combined Weighting Method Integrating Subjective Expertise and Objective Data</w:t>
      </w:r>
    </w:p>
    <w:p w14:paraId="3B9D3723">
      <w:pPr>
        <w:spacing w:line="300" w:lineRule="auto"/>
        <w:ind w:firstLine="0" w:firstLineChars="0"/>
        <w:rPr>
          <w:rFonts w:ascii="Times New Roman" w:hAnsi="Times New Roman" w:cs="Times New Roman"/>
          <w:b/>
          <w:bCs/>
        </w:rPr>
      </w:pPr>
      <w:r>
        <w:rPr>
          <w:rFonts w:ascii="Times New Roman" w:hAnsi="Times New Roman" w:cs="Times New Roman"/>
          <w:b/>
          <w:bCs/>
        </w:rPr>
        <w:t>优化高校本科专业评估：一种主客观相结合的赋权方法</w:t>
      </w:r>
    </w:p>
    <w:p w14:paraId="4621AC3A">
      <w:pPr>
        <w:spacing w:line="300" w:lineRule="auto"/>
        <w:ind w:firstLine="0" w:firstLineChars="0"/>
        <w:rPr>
          <w:rFonts w:ascii="Times New Roman" w:hAnsi="Times New Roman" w:cs="Times New Roman"/>
        </w:rPr>
      </w:pPr>
      <w:r>
        <w:rPr>
          <w:rFonts w:hint="eastAsia" w:ascii="Times New Roman" w:hAnsi="Times New Roman" w:cs="Times New Roman"/>
        </w:rPr>
        <w:t>期刊名称及级别：</w:t>
      </w:r>
      <w:r>
        <w:rPr>
          <w:rFonts w:ascii="Times New Roman" w:hAnsi="Times New Roman" w:cs="Times New Roman"/>
          <w:u w:val="single"/>
        </w:rPr>
        <w:t>SAGE Open</w:t>
      </w:r>
      <w:r>
        <w:rPr>
          <w:rFonts w:hint="eastAsia" w:ascii="Times New Roman" w:hAnsi="Times New Roman" w:cs="Times New Roman"/>
        </w:rPr>
        <w:t>（</w:t>
      </w:r>
      <w:r>
        <w:rPr>
          <w:rFonts w:ascii="Times New Roman" w:hAnsi="Times New Roman" w:cs="Times New Roman"/>
        </w:rPr>
        <w:t>IF2</w:t>
      </w:r>
      <w:r>
        <w:rPr>
          <w:rFonts w:hint="eastAsia" w:ascii="Times New Roman" w:hAnsi="Times New Roman" w:cs="Times New Roman"/>
        </w:rPr>
        <w:t>，</w:t>
      </w:r>
      <w:r>
        <w:rPr>
          <w:rFonts w:ascii="Times New Roman" w:hAnsi="Times New Roman" w:cs="Times New Roman"/>
        </w:rPr>
        <w:t>JCRQ</w:t>
      </w:r>
      <w:r>
        <w:rPr>
          <w:rFonts w:hint="eastAsia" w:ascii="Times New Roman" w:hAnsi="Times New Roman" w:cs="Times New Roman"/>
        </w:rPr>
        <w:t>1，</w:t>
      </w:r>
      <w:r>
        <w:rPr>
          <w:rFonts w:ascii="Times New Roman" w:hAnsi="Times New Roman" w:cs="Times New Roman"/>
        </w:rPr>
        <w:t>中科院4区</w:t>
      </w:r>
      <w:r>
        <w:rPr>
          <w:rFonts w:hint="eastAsia" w:ascii="Times New Roman" w:hAnsi="Times New Roman" w:cs="Times New Roman"/>
        </w:rPr>
        <w:t>）</w:t>
      </w:r>
    </w:p>
    <w:p w14:paraId="79C7E44D">
      <w:pPr>
        <w:spacing w:line="300" w:lineRule="auto"/>
        <w:ind w:firstLine="480"/>
        <w:rPr>
          <w:rFonts w:ascii="Times New Roman" w:hAnsi="Times New Roman" w:cs="Times New Roman"/>
        </w:rPr>
      </w:pPr>
      <w:r>
        <w:rPr>
          <w:rFonts w:ascii="Times New Roman" w:hAnsi="Times New Roman" w:cs="Times New Roman"/>
        </w:rPr>
        <w:t>本文构建了一个涵盖教学资源、教师素质、学生发展和社会影响的多维评估框架，分层次地组织了4个一级指标、9个二级指标和40个三级指标。方法的核心创新之处在于综合运用层次分析法(AHP)进行主观专家判断、用熵权重法(EWM)进行客观数据驱动的可变性分析和用均值-方差法(MVM)进行统计离散度评价的组合赋权方法。这种方法以最佳方式综合了这些单独方法的优点，有效地减轻了主观偏差、数据噪声敏感性和单一方法评估中固有的离散偏差。</w:t>
      </w:r>
    </w:p>
    <w:p w14:paraId="5936B123">
      <w:pPr>
        <w:spacing w:line="300" w:lineRule="auto"/>
        <w:ind w:firstLine="0" w:firstLineChars="0"/>
        <w:rPr>
          <w:rFonts w:ascii="Times New Roman" w:hAnsi="Times New Roman" w:cs="Times New Roman"/>
          <w:b/>
          <w:bCs/>
        </w:rPr>
      </w:pPr>
      <w:r>
        <w:rPr>
          <w:rFonts w:hint="eastAsia" w:ascii="Times New Roman" w:hAnsi="Times New Roman" w:cs="Times New Roman"/>
          <w:b/>
          <w:bCs/>
          <w:lang w:val="en-US" w:eastAsia="zh-CN"/>
        </w:rPr>
        <w:t>5</w:t>
      </w:r>
      <w:r>
        <w:rPr>
          <w:rFonts w:hint="eastAsia" w:ascii="宋体" w:hAnsi="宋体" w:cs="Times New Roman"/>
          <w:b/>
          <w:bCs/>
        </w:rPr>
        <w:t>.</w:t>
      </w:r>
      <w:r>
        <w:rPr>
          <w:rFonts w:ascii="Times New Roman" w:hAnsi="Times New Roman" w:cs="Times New Roman"/>
          <w:b/>
          <w:bCs/>
        </w:rPr>
        <w:t>教育、科技、人才一体化：理论逻辑与测度体系_孙雨洁</w:t>
      </w:r>
    </w:p>
    <w:p w14:paraId="375EB768">
      <w:pPr>
        <w:spacing w:line="300" w:lineRule="auto"/>
        <w:ind w:firstLine="0" w:firstLineChars="0"/>
        <w:rPr>
          <w:rFonts w:ascii="Times New Roman" w:hAnsi="Times New Roman" w:cs="Times New Roman"/>
        </w:rPr>
      </w:pPr>
      <w:r>
        <w:rPr>
          <w:rFonts w:hint="eastAsia" w:ascii="Times New Roman" w:hAnsi="Times New Roman" w:cs="Times New Roman"/>
        </w:rPr>
        <w:t>期刊名称及级别：</w:t>
      </w:r>
      <w:r>
        <w:rPr>
          <w:rFonts w:ascii="Times New Roman" w:hAnsi="Times New Roman" w:cs="Times New Roman"/>
        </w:rPr>
        <w:t>科学学与科学技术管理</w:t>
      </w:r>
      <w:r>
        <w:rPr>
          <w:rFonts w:hint="eastAsia" w:ascii="Times New Roman" w:hAnsi="Times New Roman" w:cs="Times New Roman"/>
        </w:rPr>
        <w:t>（A2类）</w:t>
      </w:r>
    </w:p>
    <w:p w14:paraId="4ACFB35E">
      <w:pPr>
        <w:spacing w:line="300" w:lineRule="auto"/>
        <w:ind w:firstLine="480"/>
        <w:rPr>
          <w:rFonts w:ascii="Times New Roman" w:hAnsi="Times New Roman" w:cs="Times New Roman"/>
        </w:rPr>
      </w:pPr>
      <w:r>
        <w:rPr>
          <w:rFonts w:ascii="Times New Roman" w:hAnsi="Times New Roman" w:cs="Times New Roman"/>
        </w:rPr>
        <w:t>研究系统探讨了教育、科技、人才一体化的现实与理论基础，基于耦合协调理论构建了教育、科技、人才一体化的识别框架和测度体系，运用 2017—2022年全国31个省、市、自治区的数据进行了测算与分析。</w:t>
      </w:r>
    </w:p>
    <w:p w14:paraId="2CBA43AF">
      <w:pPr>
        <w:spacing w:line="300" w:lineRule="auto"/>
        <w:ind w:firstLine="0" w:firstLineChars="0"/>
        <w:rPr>
          <w:rFonts w:ascii="Times New Roman" w:hAnsi="Times New Roman" w:cs="Times New Roman"/>
          <w:b/>
          <w:bCs/>
        </w:rPr>
      </w:pPr>
      <w:r>
        <w:rPr>
          <w:rFonts w:hint="eastAsia" w:ascii="Times New Roman" w:hAnsi="Times New Roman" w:cs="Times New Roman"/>
          <w:b/>
          <w:bCs/>
          <w:highlight w:val="yellow"/>
          <w:lang w:val="en-US" w:eastAsia="zh-CN"/>
        </w:rPr>
        <w:t>6</w:t>
      </w:r>
      <w:r>
        <w:rPr>
          <w:rFonts w:hint="eastAsia" w:ascii="宋体" w:hAnsi="宋体" w:cs="Times New Roman"/>
          <w:b/>
          <w:bCs/>
          <w:highlight w:val="yellow"/>
        </w:rPr>
        <w:t>.</w:t>
      </w:r>
      <w:r>
        <w:rPr>
          <w:rFonts w:ascii="Times New Roman" w:hAnsi="Times New Roman" w:cs="Times New Roman"/>
          <w:b/>
          <w:bCs/>
          <w:highlight w:val="yellow"/>
        </w:rPr>
        <w:t>中国式现代化发展水平：统计测度、区域差异分解与来源</w:t>
      </w:r>
    </w:p>
    <w:p w14:paraId="5FE764FC">
      <w:pPr>
        <w:spacing w:line="300" w:lineRule="auto"/>
        <w:ind w:firstLine="0" w:firstLineChars="0"/>
        <w:rPr>
          <w:rFonts w:ascii="Times New Roman" w:hAnsi="Times New Roman" w:cs="Times New Roman"/>
        </w:rPr>
      </w:pPr>
      <w:r>
        <w:rPr>
          <w:rFonts w:hint="eastAsia" w:ascii="Times New Roman" w:hAnsi="Times New Roman" w:cs="Times New Roman"/>
        </w:rPr>
        <w:t>期刊名称及级别：</w:t>
      </w:r>
      <w:r>
        <w:rPr>
          <w:rFonts w:ascii="Times New Roman" w:hAnsi="Times New Roman" w:cs="Times New Roman"/>
        </w:rPr>
        <w:t>统计研究</w:t>
      </w:r>
      <w:r>
        <w:rPr>
          <w:rFonts w:hint="eastAsia" w:ascii="Times New Roman" w:hAnsi="Times New Roman" w:cs="Times New Roman"/>
        </w:rPr>
        <w:t>（A1）</w:t>
      </w:r>
    </w:p>
    <w:p w14:paraId="2D0622DB">
      <w:pPr>
        <w:spacing w:line="300" w:lineRule="auto"/>
        <w:ind w:firstLine="480"/>
        <w:rPr>
          <w:rFonts w:ascii="Times New Roman" w:hAnsi="Times New Roman" w:cs="Times New Roman"/>
        </w:rPr>
      </w:pPr>
      <w:r>
        <w:rPr>
          <w:rFonts w:ascii="Times New Roman" w:hAnsi="Times New Roman" w:cs="Times New Roman"/>
        </w:rPr>
        <w:t>构建由经济现代化、人的现代化、生态现代化和社会现代化4个维度组成的中国式现代化发展水平测度指标体系</w:t>
      </w:r>
      <w:r>
        <w:rPr>
          <w:rFonts w:hint="eastAsia" w:ascii="Times New Roman" w:hAnsi="Times New Roman" w:cs="Times New Roman"/>
        </w:rPr>
        <w:t>，</w:t>
      </w:r>
      <w:r>
        <w:rPr>
          <w:rFonts w:ascii="Times New Roman" w:hAnsi="Times New Roman" w:cs="Times New Roman"/>
        </w:rPr>
        <w:t>基于省际面板数据开展统计监测。研究思路可用于多维度综合评价框架设计</w:t>
      </w:r>
      <w:r>
        <w:rPr>
          <w:rFonts w:hint="eastAsia" w:ascii="Times New Roman" w:hAnsi="Times New Roman" w:cs="Times New Roman"/>
        </w:rPr>
        <w:t>。研究方法有</w:t>
      </w:r>
      <w:r>
        <w:rPr>
          <w:rFonts w:ascii="Times New Roman" w:hAnsi="Times New Roman" w:cs="Times New Roman"/>
        </w:rPr>
        <w:t>逐层组合赋权法</w:t>
      </w:r>
      <w:r>
        <w:rPr>
          <w:rFonts w:hint="eastAsia" w:ascii="Times New Roman" w:hAnsi="Times New Roman" w:cs="Times New Roman"/>
        </w:rPr>
        <w:t>、</w:t>
      </w:r>
      <w:r>
        <w:rPr>
          <w:rFonts w:ascii="Times New Roman" w:hAnsi="Times New Roman" w:cs="Times New Roman"/>
        </w:rPr>
        <w:t>非线性规划法</w:t>
      </w:r>
      <w:r>
        <w:rPr>
          <w:rFonts w:hint="eastAsia" w:ascii="Times New Roman" w:hAnsi="Times New Roman" w:cs="Times New Roman"/>
        </w:rPr>
        <w:t>、</w:t>
      </w:r>
      <w:r>
        <w:rPr>
          <w:rFonts w:ascii="Times New Roman" w:hAnsi="Times New Roman" w:cs="Times New Roman"/>
        </w:rPr>
        <w:t>对应分析</w:t>
      </w:r>
      <w:r>
        <w:rPr>
          <w:rFonts w:hint="eastAsia" w:ascii="Times New Roman" w:hAnsi="Times New Roman" w:cs="Times New Roman"/>
        </w:rPr>
        <w:t>、</w:t>
      </w:r>
      <w:r>
        <w:rPr>
          <w:rFonts w:ascii="Times New Roman" w:hAnsi="Times New Roman" w:cs="Times New Roman"/>
        </w:rPr>
        <w:t>核密度估计</w:t>
      </w:r>
      <w:r>
        <w:rPr>
          <w:rFonts w:hint="eastAsia" w:ascii="Times New Roman" w:hAnsi="Times New Roman" w:cs="Times New Roman"/>
        </w:rPr>
        <w:t>、</w:t>
      </w:r>
      <w:r>
        <w:rPr>
          <w:rFonts w:ascii="Times New Roman" w:hAnsi="Times New Roman" w:cs="Times New Roman"/>
        </w:rPr>
        <w:t>Dagum基尼系数</w:t>
      </w:r>
      <w:r>
        <w:rPr>
          <w:rFonts w:hint="eastAsia" w:ascii="Times New Roman" w:hAnsi="Times New Roman" w:cs="Times New Roman"/>
        </w:rPr>
        <w:t>和</w:t>
      </w:r>
      <w:r>
        <w:rPr>
          <w:rFonts w:ascii="Times New Roman" w:hAnsi="Times New Roman" w:cs="Times New Roman"/>
        </w:rPr>
        <w:t>二次指派程序（QAP）分析方法</w:t>
      </w:r>
      <w:r>
        <w:rPr>
          <w:rFonts w:hint="eastAsia" w:ascii="Times New Roman" w:hAnsi="Times New Roman" w:cs="Times New Roman"/>
        </w:rPr>
        <w:t>。</w:t>
      </w:r>
    </w:p>
    <w:p w14:paraId="436542D2">
      <w:pPr>
        <w:spacing w:line="300" w:lineRule="auto"/>
        <w:ind w:firstLine="0" w:firstLineChars="0"/>
        <w:rPr>
          <w:rFonts w:ascii="Times New Roman" w:hAnsi="Times New Roman" w:cs="Times New Roman"/>
          <w:b/>
          <w:bCs/>
        </w:rPr>
      </w:pPr>
      <w:r>
        <w:rPr>
          <w:rFonts w:hint="eastAsia" w:ascii="Times New Roman" w:hAnsi="Times New Roman" w:cs="Times New Roman"/>
          <w:b/>
          <w:bCs/>
          <w:highlight w:val="yellow"/>
          <w:lang w:val="en-US" w:eastAsia="zh-CN"/>
        </w:rPr>
        <w:t>7</w:t>
      </w:r>
      <w:r>
        <w:rPr>
          <w:rFonts w:ascii="宋体" w:hAnsi="宋体" w:cs="Times New Roman"/>
          <w:b/>
          <w:bCs/>
          <w:highlight w:val="yellow"/>
        </w:rPr>
        <w:t>.</w:t>
      </w:r>
      <w:r>
        <w:rPr>
          <w:rFonts w:ascii="Times New Roman" w:hAnsi="Times New Roman" w:cs="Times New Roman"/>
          <w:b/>
          <w:bCs/>
          <w:highlight w:val="yellow"/>
          <w:shd w:val="clear" w:color="auto" w:fill="FFFFFF"/>
        </w:rPr>
        <w:t>企业数据要素应用能力与供应链韧性：广度与深度的差异化机制</w:t>
      </w:r>
    </w:p>
    <w:p w14:paraId="2019D5EC">
      <w:pPr>
        <w:spacing w:line="300" w:lineRule="auto"/>
        <w:ind w:firstLine="0" w:firstLineChars="0"/>
        <w:rPr>
          <w:rFonts w:ascii="Times New Roman" w:hAnsi="Times New Roman" w:cs="Times New Roman"/>
        </w:rPr>
      </w:pPr>
      <w:r>
        <w:rPr>
          <w:rFonts w:hint="eastAsia" w:ascii="Times New Roman" w:hAnsi="Times New Roman" w:cs="Times New Roman"/>
        </w:rPr>
        <w:t>期刊名称及级别：中国工业经济（A1）</w:t>
      </w:r>
    </w:p>
    <w:p w14:paraId="490457CD">
      <w:pPr>
        <w:spacing w:line="300" w:lineRule="auto"/>
        <w:ind w:firstLine="480"/>
        <w:rPr>
          <w:rFonts w:ascii="Times New Roman" w:hAnsi="Times New Roman" w:cs="Times New Roman"/>
        </w:rPr>
      </w:pPr>
      <w:r>
        <w:rPr>
          <w:rFonts w:hint="eastAsia" w:ascii="Times New Roman" w:hAnsi="Times New Roman" w:cs="Times New Roman"/>
        </w:rPr>
        <w:t>该文献构建的供应链韧性指标体系包括3个一级指标、7个二级指标和11个三级指标。在构建的供应链韧性指标体系基础上，提出了一种结合深度特征提取与动态权重TOPSIS的综合评价模型。具体地，采用改进的深度自编码器实现非线性特征降维，在此基础上，利用动态权重TOPSIS模型，量化评估企业供应链韧性</w:t>
      </w:r>
      <w:r>
        <w:rPr>
          <w:rFonts w:ascii="Times New Roman" w:hAnsi="Times New Roman" w:cs="Times New Roman"/>
        </w:rPr>
        <w:t>。</w:t>
      </w:r>
      <w:bookmarkStart w:id="0" w:name="OLE_LINK1"/>
      <w:r>
        <w:rPr>
          <w:rFonts w:hint="eastAsia" w:ascii="Times New Roman" w:hAnsi="Times New Roman" w:cs="Times New Roman"/>
          <w:highlight w:val="green"/>
        </w:rPr>
        <w:t>（这篇文献只是简单的提及，并没有具体说这种方法是怎么做的）</w:t>
      </w:r>
    </w:p>
    <w:bookmarkEnd w:id="0"/>
    <w:p w14:paraId="77748353">
      <w:pPr>
        <w:spacing w:line="300" w:lineRule="auto"/>
        <w:ind w:firstLine="0" w:firstLineChars="0"/>
        <w:rPr>
          <w:rFonts w:ascii="Times New Roman" w:hAnsi="Times New Roman" w:cs="Times New Roman"/>
        </w:rPr>
      </w:pPr>
      <w:r>
        <w:rPr>
          <w:rFonts w:hint="eastAsia" w:ascii="Times New Roman" w:hAnsi="Times New Roman" w:cs="Times New Roman"/>
          <w:b/>
          <w:bCs/>
          <w:highlight w:val="yellow"/>
          <w:lang w:val="en-US" w:eastAsia="zh-CN"/>
        </w:rPr>
        <w:t>8</w:t>
      </w:r>
      <w:r>
        <w:rPr>
          <w:rFonts w:ascii="宋体" w:hAnsi="宋体" w:cs="Times New Roman"/>
          <w:b/>
          <w:bCs/>
          <w:highlight w:val="yellow"/>
        </w:rPr>
        <w:t>.</w:t>
      </w:r>
      <w:r>
        <w:rPr>
          <w:rFonts w:ascii="Times New Roman" w:hAnsi="Times New Roman" w:cs="Times New Roman"/>
          <w:b/>
          <w:bCs/>
          <w:highlight w:val="yellow"/>
        </w:rPr>
        <w:t>Education, Science and Technology, and Talent IntegratedDevelopment: Evidence from China</w:t>
      </w:r>
      <w:r>
        <w:rPr>
          <w:rFonts w:ascii="Times New Roman" w:hAnsi="Times New Roman" w:cs="Times New Roman"/>
        </w:rPr>
        <w:t>.</w:t>
      </w:r>
    </w:p>
    <w:p w14:paraId="63D4A1A3">
      <w:pPr>
        <w:spacing w:line="300" w:lineRule="auto"/>
        <w:ind w:firstLine="0" w:firstLineChars="0"/>
        <w:rPr>
          <w:rFonts w:ascii="Times New Roman" w:hAnsi="Times New Roman" w:cs="Times New Roman"/>
          <w:b/>
          <w:bCs/>
          <w:highlight w:val="yellow"/>
        </w:rPr>
      </w:pPr>
      <w:r>
        <w:rPr>
          <w:rFonts w:ascii="Times New Roman" w:hAnsi="Times New Roman" w:cs="Times New Roman"/>
          <w:b/>
          <w:bCs/>
          <w:highlight w:val="yellow"/>
        </w:rPr>
        <w:t>教育、科技与人才综合发展：来自中国的证据</w:t>
      </w:r>
    </w:p>
    <w:p w14:paraId="6838DA15">
      <w:pPr>
        <w:spacing w:line="300" w:lineRule="auto"/>
        <w:ind w:firstLine="0" w:firstLineChars="0"/>
        <w:rPr>
          <w:rFonts w:ascii="Times New Roman" w:hAnsi="Times New Roman" w:cs="Times New Roman"/>
        </w:rPr>
      </w:pPr>
      <w:r>
        <w:rPr>
          <w:rFonts w:hint="eastAsia" w:ascii="Times New Roman" w:hAnsi="Times New Roman" w:cs="Times New Roman"/>
        </w:rPr>
        <w:t>期刊名称及级别：</w:t>
      </w:r>
      <w:r>
        <w:rPr>
          <w:rFonts w:ascii="Times New Roman" w:hAnsi="Times New Roman" w:cs="Times New Roman"/>
        </w:rPr>
        <w:t>Regional Science and Environmental Economics</w:t>
      </w:r>
      <w:r>
        <w:rPr>
          <w:rFonts w:hint="eastAsia" w:ascii="Times New Roman" w:hAnsi="Times New Roman" w:cs="Times New Roman"/>
        </w:rPr>
        <w:t>（</w:t>
      </w:r>
      <w:r>
        <w:rPr>
          <w:rFonts w:ascii="Times New Roman" w:hAnsi="Times New Roman" w:cs="Times New Roman"/>
        </w:rPr>
        <w:t>IF</w:t>
      </w:r>
      <w:r>
        <w:rPr>
          <w:rFonts w:hint="eastAsia" w:ascii="Times New Roman" w:hAnsi="Times New Roman" w:cs="Times New Roman"/>
        </w:rPr>
        <w:t>:</w:t>
      </w:r>
      <w:r>
        <w:rPr>
          <w:rFonts w:ascii="Times New Roman" w:hAnsi="Times New Roman" w:cs="Times New Roman"/>
        </w:rPr>
        <w:t>2.3</w:t>
      </w:r>
      <w:r>
        <w:rPr>
          <w:rFonts w:hint="eastAsia" w:ascii="Times New Roman" w:hAnsi="Times New Roman" w:cs="Times New Roman"/>
        </w:rPr>
        <w:t>，</w:t>
      </w:r>
      <w:r>
        <w:rPr>
          <w:rFonts w:ascii="Times New Roman" w:hAnsi="Times New Roman" w:cs="Times New Roman"/>
        </w:rPr>
        <w:t>JCR: Q2/Q3</w:t>
      </w:r>
      <w:r>
        <w:rPr>
          <w:rFonts w:hint="eastAsia" w:ascii="Times New Roman" w:hAnsi="Times New Roman" w:cs="Times New Roman"/>
        </w:rPr>
        <w:t>，</w:t>
      </w:r>
      <w:r>
        <w:rPr>
          <w:rFonts w:ascii="Times New Roman" w:hAnsi="Times New Roman" w:cs="Times New Roman"/>
        </w:rPr>
        <w:t>中科院:经济学3区</w:t>
      </w:r>
      <w:r>
        <w:rPr>
          <w:rFonts w:hint="eastAsia" w:ascii="Times New Roman" w:hAnsi="Times New Roman" w:cs="Times New Roman"/>
        </w:rPr>
        <w:t>）</w:t>
      </w:r>
    </w:p>
    <w:p w14:paraId="48EFB8D7">
      <w:pPr>
        <w:spacing w:line="300" w:lineRule="auto"/>
        <w:ind w:firstLine="480"/>
        <w:rPr>
          <w:rFonts w:hint="eastAsia" w:ascii="Times New Roman" w:hAnsi="Times New Roman" w:cs="Times New Roman"/>
          <w:color w:val="EE0000"/>
        </w:rPr>
      </w:pPr>
      <w:r>
        <w:rPr>
          <w:rFonts w:hint="eastAsia" w:ascii="Times New Roman" w:hAnsi="Times New Roman" w:cs="Times New Roman"/>
        </w:rPr>
        <w:t>该文献</w:t>
      </w:r>
      <w:r>
        <w:rPr>
          <w:rFonts w:ascii="Times New Roman" w:hAnsi="Times New Roman" w:cs="Times New Roman"/>
        </w:rPr>
        <w:t>基于中国30个省份2001—2022年的面板数据，从教育、科技、人才三个维度构建了“教育—科技—人才”（EST）发展评价指标体系，综合运用时空</w:t>
      </w:r>
      <w:r>
        <w:rPr>
          <w:rFonts w:hint="eastAsia" w:ascii="Times New Roman" w:hAnsi="Times New Roman" w:cs="Times New Roman"/>
        </w:rPr>
        <w:t>模式演变</w:t>
      </w:r>
      <w:r>
        <w:rPr>
          <w:rFonts w:ascii="Times New Roman" w:hAnsi="Times New Roman" w:cs="Times New Roman"/>
        </w:rPr>
        <w:t>、Lisa时间路径分析及空间转型等方法对中国EST水平进行了评估。在指标体系构建与发展水平测量方面，本文建立了EST综合发展水平评估数据库，综合运用多种数据分析方法，整合统计数据、遥感数据及文本分析数据等多种数据源，对EST的综合发展水平进行量化评估。</w:t>
      </w:r>
    </w:p>
    <w:p w14:paraId="579C4B75">
      <w:pPr>
        <w:spacing w:line="300" w:lineRule="auto"/>
        <w:ind w:firstLine="0" w:firstLineChars="0"/>
        <w:rPr>
          <w:rFonts w:ascii="Times New Roman" w:hAnsi="Times New Roman" w:cs="Times New Roman"/>
          <w:b/>
          <w:bCs/>
        </w:rPr>
      </w:pPr>
      <w:r>
        <w:rPr>
          <w:rFonts w:hint="eastAsia" w:ascii="Times New Roman" w:hAnsi="Times New Roman" w:cs="Times New Roman"/>
          <w:b/>
          <w:bCs/>
          <w:lang w:val="en-US" w:eastAsia="zh-CN"/>
        </w:rPr>
        <w:t>9.中国数字经济与乡村振兴协同发展的时空差异及其演变趋势</w:t>
      </w:r>
      <w:r>
        <w:rPr>
          <w:rFonts w:ascii="Times New Roman" w:hAnsi="Times New Roman" w:cs="Times New Roman"/>
          <w:b/>
          <w:bCs/>
        </w:rPr>
        <w:t>​</w:t>
      </w:r>
    </w:p>
    <w:p w14:paraId="50DF8D9B">
      <w:pPr>
        <w:spacing w:line="300" w:lineRule="auto"/>
        <w:ind w:firstLine="480"/>
        <w:rPr>
          <w:rFonts w:hint="eastAsia" w:ascii="Times New Roman" w:hAnsi="Times New Roman" w:cs="Times New Roman"/>
        </w:rPr>
      </w:pPr>
      <w:r>
        <w:rPr>
          <w:rFonts w:hint="eastAsia" w:ascii="Times New Roman" w:hAnsi="Times New Roman" w:cs="Times New Roman"/>
        </w:rPr>
        <w:t>期刊名称及级别：重庆大学学报（社会科学版）（CSSCI/北大核心，A类水准）</w:t>
      </w:r>
    </w:p>
    <w:p w14:paraId="31201160">
      <w:pPr>
        <w:spacing w:line="300" w:lineRule="auto"/>
        <w:ind w:firstLine="480"/>
        <w:rPr>
          <w:rFonts w:hint="eastAsia" w:ascii="Times New Roman" w:hAnsi="Times New Roman" w:cs="Times New Roman"/>
        </w:rPr>
      </w:pPr>
      <w:r>
        <w:rPr>
          <w:rFonts w:ascii="Times New Roman" w:hAnsi="Times New Roman" w:cs="Times New Roman"/>
          <w:lang w:val="en-US" w:eastAsia="zh-CN"/>
        </w:rPr>
        <w:t>该文构建乡村全面振兴评价指标体系（5个维度、30个二级指标），并采用耦合协调模型测度数字经济与乡村振兴协同发展水平。在权重测度上，文章讨论了主观赋权（AHP、德尔菲法）、客观赋权（主成分分析等）与组合赋权的思路，重点可借鉴其“多维度指标体系+耦合协调测度+时空差异演化”的研究框架，适用于一体化/协同发展类综合指数构建。</w:t>
      </w:r>
    </w:p>
    <w:p w14:paraId="56FCE333">
      <w:pPr>
        <w:spacing w:line="300" w:lineRule="auto"/>
        <w:ind w:firstLine="0" w:firstLineChars="0"/>
        <w:rPr>
          <w:rFonts w:hint="eastAsia" w:ascii="Times New Roman" w:hAnsi="Times New Roman" w:cs="Times New Roman"/>
          <w:b/>
          <w:bCs/>
          <w:lang w:val="en-US" w:eastAsia="zh-CN"/>
        </w:rPr>
      </w:pPr>
      <w:r>
        <w:rPr>
          <w:rFonts w:hint="eastAsia" w:ascii="Times New Roman" w:hAnsi="Times New Roman" w:cs="Times New Roman"/>
          <w:b/>
          <w:bCs/>
          <w:highlight w:val="yellow"/>
          <w:lang w:val="en-US" w:eastAsia="zh-CN"/>
        </w:rPr>
        <w:t>10.面向新质生产力的制造业现代化产业体系评价研究</w:t>
      </w:r>
      <w:r>
        <w:rPr>
          <w:rFonts w:hint="eastAsia" w:ascii="Times New Roman" w:hAnsi="Times New Roman" w:cs="Times New Roman"/>
          <w:b/>
          <w:bCs/>
          <w:lang w:val="en-US" w:eastAsia="zh-CN"/>
        </w:rPr>
        <w:t>​</w:t>
      </w:r>
    </w:p>
    <w:p w14:paraId="03160F66">
      <w:pPr>
        <w:spacing w:line="300" w:lineRule="auto"/>
        <w:ind w:firstLine="480"/>
        <w:rPr>
          <w:rFonts w:hint="eastAsia" w:ascii="Times New Roman" w:hAnsi="Times New Roman" w:cs="Times New Roman"/>
        </w:rPr>
      </w:pPr>
      <w:r>
        <w:rPr>
          <w:rFonts w:hint="eastAsia" w:ascii="Times New Roman" w:hAnsi="Times New Roman" w:cs="Times New Roman"/>
        </w:rPr>
        <w:t>期刊名称及级别：中国海洋大学学报（社会科学版）（CSSCI，A类水准）</w:t>
      </w:r>
    </w:p>
    <w:p w14:paraId="1B2DF6C3">
      <w:pPr>
        <w:spacing w:line="300" w:lineRule="auto"/>
        <w:ind w:firstLine="480"/>
        <w:rPr>
          <w:rFonts w:hint="eastAsia" w:ascii="Times New Roman" w:hAnsi="Times New Roman" w:cs="Times New Roman"/>
          <w:lang w:val="en-US" w:eastAsia="zh-CN"/>
        </w:rPr>
      </w:pPr>
      <w:r>
        <w:rPr>
          <w:rFonts w:ascii="Times New Roman" w:hAnsi="Times New Roman" w:cs="Times New Roman"/>
          <w:lang w:val="en-US" w:eastAsia="zh-CN"/>
        </w:rPr>
        <w:t>研究构建制造业现代化产业体系测度指标体系，并采用改进的熵权法（参考黄国庆等对熵权法的改进）结合TOPSIS法进行逼近理想解式的综合测度。其方法要点在于通过改进熵权法“避免个别高离散指标权重过大”，再结合TOPSIS进行综合排序，属于在经典客观赋权+综合排序框架上的可操作改进，可用于一体化/现代化发展指数构建参考。</w:t>
      </w:r>
    </w:p>
    <w:p w14:paraId="4665019A">
      <w:pPr>
        <w:spacing w:line="300" w:lineRule="auto"/>
        <w:ind w:firstLine="0" w:firstLineChars="0"/>
        <w:rPr>
          <w:rFonts w:hint="eastAsia" w:ascii="Times New Roman" w:hAnsi="Times New Roman" w:cs="Times New Roman"/>
          <w:b/>
          <w:bCs/>
          <w:lang w:val="en-US" w:eastAsia="zh-CN"/>
        </w:rPr>
      </w:pPr>
      <w:r>
        <w:rPr>
          <w:rFonts w:hint="eastAsia" w:ascii="Times New Roman" w:hAnsi="Times New Roman" w:cs="Times New Roman"/>
          <w:b/>
          <w:bCs/>
          <w:highlight w:val="yellow"/>
          <w:lang w:val="en-US" w:eastAsia="zh-CN"/>
        </w:rPr>
        <w:t>11.基于指标收缩法和改进因子分析法的学术期刊综合评价研究</w:t>
      </w:r>
      <w:r>
        <w:rPr>
          <w:rFonts w:hint="eastAsia" w:ascii="Times New Roman" w:hAnsi="Times New Roman" w:cs="Times New Roman"/>
          <w:b/>
          <w:bCs/>
          <w:lang w:val="en-US" w:eastAsia="zh-CN"/>
        </w:rPr>
        <w:t>​</w:t>
      </w:r>
    </w:p>
    <w:p w14:paraId="03237959">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期刊名称及级别：情报理论与实践（CSSCI，A类图书情报学刊）</w:t>
      </w:r>
    </w:p>
    <w:p w14:paraId="036F4375">
      <w:pPr>
        <w:spacing w:line="300" w:lineRule="auto"/>
        <w:ind w:firstLine="480"/>
        <w:rPr>
          <w:rFonts w:hint="eastAsia" w:ascii="Times New Roman" w:hAnsi="Times New Roman" w:cs="Times New Roman"/>
          <w:lang w:val="en-US" w:eastAsia="zh-CN"/>
        </w:rPr>
      </w:pPr>
      <w:r>
        <w:rPr>
          <w:rFonts w:ascii="Times New Roman" w:hAnsi="Times New Roman" w:cs="Times New Roman"/>
          <w:lang w:val="en-US" w:eastAsia="zh-CN"/>
        </w:rPr>
        <w:t>该研究提出“指标收缩法”来测度指标权重变化对评价结果的影响，并结合改进因子分析法进行综合评价与排名获取。该方法更偏向评价模型中“指标权重敏感性检验与指标筛选”的方法论贡献，对你在构建多指标综合指数时进行指标遴选、权重稳定性检验具有参考价值。</w:t>
      </w:r>
    </w:p>
    <w:p w14:paraId="2E8C760A">
      <w:pPr>
        <w:spacing w:line="300" w:lineRule="auto"/>
        <w:ind w:firstLine="0" w:firstLineChars="0"/>
        <w:rPr>
          <w:rFonts w:ascii="Times New Roman" w:hAnsi="Times New Roman" w:cs="Times New Roman"/>
          <w:b/>
          <w:bCs/>
          <w:highlight w:val="yellow"/>
        </w:rPr>
      </w:pPr>
      <w:r>
        <w:rPr>
          <w:rFonts w:hint="eastAsia" w:ascii="Times New Roman" w:hAnsi="Times New Roman" w:cs="Times New Roman"/>
          <w:b/>
          <w:bCs/>
          <w:highlight w:val="yellow"/>
          <w:lang w:val="en-US" w:eastAsia="zh-CN"/>
        </w:rPr>
        <w:t>12.基于新毕达哥拉斯模糊熵度量和距离测度的多指标评价方法及其应用</w:t>
      </w:r>
      <w:r>
        <w:rPr>
          <w:rFonts w:ascii="Times New Roman" w:hAnsi="Times New Roman" w:cs="Times New Roman"/>
          <w:b/>
          <w:bCs/>
          <w:highlight w:val="yellow"/>
        </w:rPr>
        <w:t>​</w:t>
      </w:r>
    </w:p>
    <w:p w14:paraId="606B7B70">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期刊名称及级别：系统科学与数学（CSCD，数学/系统工程领域权威期刊）</w:t>
      </w:r>
    </w:p>
    <w:p w14:paraId="41EA12B3">
      <w:pPr>
        <w:spacing w:line="300" w:lineRule="auto"/>
        <w:ind w:firstLine="480"/>
        <w:rPr>
          <w:rFonts w:hint="eastAsia"/>
          <w:sz w:val="24"/>
          <w:szCs w:val="24"/>
        </w:rPr>
      </w:pPr>
      <w:r>
        <w:rPr>
          <w:rFonts w:ascii="Times New Roman" w:hAnsi="Times New Roman" w:cs="Times New Roman"/>
          <w:lang w:val="en-US" w:eastAsia="zh-CN"/>
        </w:rPr>
        <w:t>针对多指标群评价问题，研究构造了新的毕达哥拉斯模糊熵度量与满足三角不等式的距离测度，用于更合理的准则权重计算与方案评价。该方法属于模糊多属性评价（MADM）中较新的熵—距离类方法，可为“不确定性信息下的综合指标构建与赋权”提供前沿思路。</w:t>
      </w:r>
    </w:p>
    <w:p w14:paraId="6749C0F1">
      <w:pPr>
        <w:spacing w:line="300" w:lineRule="auto"/>
        <w:ind w:firstLine="0" w:firstLineChars="0"/>
        <w:rPr>
          <w:rFonts w:hint="eastAsia" w:ascii="Times New Roman" w:hAnsi="Times New Roman" w:cs="Times New Roman"/>
          <w:b/>
          <w:bCs/>
          <w:highlight w:val="yellow"/>
          <w:lang w:val="en-US" w:eastAsia="zh-CN"/>
        </w:rPr>
      </w:pPr>
      <w:r>
        <w:rPr>
          <w:rFonts w:hint="eastAsia" w:ascii="Times New Roman" w:hAnsi="Times New Roman" w:cs="Times New Roman"/>
          <w:b/>
          <w:bCs/>
          <w:highlight w:val="yellow"/>
          <w:lang w:val="en-US" w:eastAsia="zh-CN"/>
        </w:rPr>
        <w:t>13.数字化转型、产业链供应链韧性与企业生产率</w:t>
      </w:r>
    </w:p>
    <w:p w14:paraId="64093AA5">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期刊名称及级别：中国工业经济（A1）</w:t>
      </w:r>
    </w:p>
    <w:p w14:paraId="22F1CC26">
      <w:pPr>
        <w:spacing w:line="300" w:lineRule="auto"/>
        <w:ind w:firstLine="480"/>
        <w:rPr>
          <w:rFonts w:hint="eastAsia"/>
          <w:sz w:val="24"/>
          <w:szCs w:val="24"/>
        </w:rPr>
      </w:pPr>
      <w:r>
        <w:rPr>
          <w:rFonts w:hint="eastAsia" w:ascii="Times New Roman" w:hAnsi="Times New Roman" w:cs="Times New Roman"/>
          <w:lang w:val="en-US" w:eastAsia="zh-CN"/>
        </w:rPr>
        <w:t>构建供应链韧性多维度指标体系（供需匹配、供需关系、供应创新3个一级指标，7个二级指标，11个三级指标），采用深度自编码器进行非线性特征降维，使用动态权重TOPSIS综合评价法测度供应链韧性。该方法提供了“多级指标体系→非线性降维→动态权重综合指数”的完整技术流水线，深度自编码器相比传统PCA能更好捕捉指标的潜在非线性结构，动态权重TOPSIS解决了固定权重在面板数据中时效性不足的问题，是综合指数构建的标准技术模板。</w:t>
      </w:r>
    </w:p>
    <w:p w14:paraId="27D11B8F">
      <w:pPr>
        <w:spacing w:line="300" w:lineRule="auto"/>
        <w:ind w:firstLine="0" w:firstLineChars="0"/>
        <w:rPr>
          <w:rFonts w:hint="eastAsia"/>
          <w:sz w:val="24"/>
          <w:szCs w:val="24"/>
        </w:rPr>
      </w:pPr>
      <w:r>
        <w:rPr>
          <w:rFonts w:hint="eastAsia" w:ascii="Times New Roman" w:hAnsi="Times New Roman" w:cs="Times New Roman"/>
          <w:b/>
          <w:bCs/>
          <w:highlight w:val="yellow"/>
          <w:lang w:val="en-US" w:eastAsia="zh-CN"/>
        </w:rPr>
        <w:t>14.数智时代中国图书馆影响力指数报告2025版</w:t>
      </w:r>
    </w:p>
    <w:p w14:paraId="51F5D3B6">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期刊名称及级别：研究报告（武汉大学中国科学评价研究中心、数字出版智能服务技术教育部工程研究中心，权威研究报告，A类水准）</w:t>
      </w:r>
    </w:p>
    <w:p w14:paraId="03924149">
      <w:pPr>
        <w:spacing w:line="300" w:lineRule="auto"/>
        <w:ind w:firstLine="480"/>
        <w:rPr>
          <w:rFonts w:hint="eastAsia"/>
          <w:sz w:val="24"/>
          <w:szCs w:val="24"/>
        </w:rPr>
      </w:pPr>
      <w:r>
        <w:rPr>
          <w:rFonts w:hint="eastAsia" w:ascii="Times New Roman" w:hAnsi="Times New Roman" w:cs="Times New Roman"/>
          <w:lang w:val="en-US" w:eastAsia="zh-CN"/>
        </w:rPr>
        <w:t>构建了包含基础实力、网站影响力、新媒体影响力、社会影响力、学术影响力5个一级指标、15-18个二级指标的“五维一体”（BWNSA）影响力分析模型，分别针对高校图书馆、公共图书馆、专业图书馆构建三套差异化指标体系。采用层次分析法（AHP）和头脑风暴法确定指标权重，运用爬虫技术自动采集网络大数据，引入人工智能指数（综合ChatGPT、Deepseek、智谱清言等多源分析结果）和新媒体综合热度（基于新榜平台整合微信、微博、抖音、B站等多平台传播表现），采用极值标准化进行无量纲化处理，按“分类评价、同类比较”原则计算综合得分并划分星级（5★至1★）。提供了“类型—区域—时空演化—案例”四维度的图书馆影响力分析框架，包含全国2919所高校图书馆、1980所公共图书馆、390所专业图书馆的指数测算与星级评定。为多维度综合评价指数、分类差异化指标体系构建、多源数据融合评价提供了完整的方法论框架和技术路线。</w:t>
      </w:r>
    </w:p>
    <w:p w14:paraId="4045E3AC">
      <w:pPr>
        <w:spacing w:line="300" w:lineRule="auto"/>
        <w:ind w:firstLine="0" w:firstLineChars="0"/>
        <w:rPr>
          <w:rFonts w:hint="eastAsia"/>
          <w:sz w:val="24"/>
          <w:szCs w:val="24"/>
          <w:highlight w:val="yellow"/>
        </w:rPr>
      </w:pPr>
      <w:r>
        <w:rPr>
          <w:rFonts w:hint="eastAsia" w:ascii="Times New Roman" w:hAnsi="Times New Roman" w:cs="Times New Roman"/>
          <w:b/>
          <w:bCs/>
          <w:highlight w:val="yellow"/>
          <w:lang w:val="en-US" w:eastAsia="zh-CN"/>
        </w:rPr>
        <w:t>15.中国科技人力资源发展研究报告2022</w:t>
      </w:r>
    </w:p>
    <w:p w14:paraId="44713611">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期刊名称及级别：研究报告（中国科学技术协会，权威研究报告，A类水准）</w:t>
      </w:r>
    </w:p>
    <w:p w14:paraId="1980AAD4">
      <w:pPr>
        <w:spacing w:line="300" w:lineRule="auto"/>
        <w:ind w:firstLine="480"/>
        <w:rPr>
          <w:rFonts w:hint="eastAsia"/>
          <w:sz w:val="24"/>
          <w:szCs w:val="24"/>
        </w:rPr>
      </w:pPr>
      <w:r>
        <w:rPr>
          <w:rFonts w:hint="eastAsia" w:ascii="Times New Roman" w:hAnsi="Times New Roman" w:cs="Times New Roman"/>
          <w:lang w:val="en-US" w:eastAsia="zh-CN"/>
        </w:rPr>
        <w:t>基于国际通用的科技人力资源（HRST）统计标准，从“获得科技领域高等教育学历”与“从事科技相关职业”两个维度界定统计范围，测算我国科技人力资源的总量规模、学历层次、学科分布、年龄结构、性别比例。采用描述性统计方法，对2012-2022年科技人力资源总量进行纵向趋势分析，并与美国STEM劳动力数据进行国际比较。将科技人力资源按专科、本科、硕士、博士四个层次划分学历结构，按理学、工学、农学、医学及科技领域相关学科划分学科结构，按18-29岁、30-39岁、40-49岁、50-59岁、60-72岁划分年龄结构。提供了科技人力资源的标准化测度方法，其“总量—结构—比较”的分析框架可迁移至各类人才指数、人力资源指数的构建，“获得学历”与“从事职业”的双维度界定方法可用于指数构建中的资格认定标准设计。</w:t>
      </w:r>
    </w:p>
    <w:p w14:paraId="11BE0F19">
      <w:pPr>
        <w:spacing w:line="300" w:lineRule="auto"/>
        <w:ind w:firstLine="0" w:firstLineChars="0"/>
        <w:rPr>
          <w:rFonts w:hint="eastAsia"/>
          <w:sz w:val="24"/>
          <w:szCs w:val="24"/>
          <w:highlight w:val="yellow"/>
        </w:rPr>
      </w:pPr>
      <w:r>
        <w:rPr>
          <w:rFonts w:hint="eastAsia" w:ascii="Times New Roman" w:hAnsi="Times New Roman" w:cs="Times New Roman"/>
          <w:b/>
          <w:bCs/>
          <w:highlight w:val="yellow"/>
          <w:lang w:val="en-US" w:eastAsia="zh-CN"/>
        </w:rPr>
        <w:t>16.中国人力资本报告2025</w:t>
      </w:r>
    </w:p>
    <w:p w14:paraId="690D5FF1">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期刊名称及级别：研究报告（中央财经大学人力资本与劳动经济研究中心，权威研究报告，A类水准）</w:t>
      </w:r>
    </w:p>
    <w:p w14:paraId="68B82D68">
      <w:pPr>
        <w:spacing w:line="300" w:lineRule="auto"/>
        <w:ind w:firstLine="480"/>
        <w:rPr>
          <w:rFonts w:hint="eastAsia" w:ascii="Times New Roman" w:hAnsi="Times New Roman" w:cs="Times New Roman"/>
          <w:lang w:val="en-US" w:eastAsia="zh-CN"/>
        </w:rPr>
      </w:pPr>
      <w:r>
        <w:rPr>
          <w:rFonts w:hint="eastAsia" w:ascii="Times New Roman" w:hAnsi="Times New Roman" w:cs="Times New Roman"/>
          <w:lang w:val="en-US" w:eastAsia="zh-CN"/>
        </w:rPr>
        <w:t>采用国际广泛应用的Jorgenson-Fraumeni（J-F）终生收入法测度中国人力资本存量，以1985-2023年为时间跨度，覆盖全国及31个省（自治区、直辖市）及香港、台湾地区。构建了基于终生收入的人力资本测算模型，包含存活率、升学率、就业率、收入增长率、折现率等关键参数。运用Mincer收入方程估算当前收入，通过倒推法计算0-59岁（女性0-54岁）各年龄段的预期未来终生收入，汇总得到人力资本总量。同时提供基于受教育程度的传统人力资本度量指标（平均受教育年限、高中及以上占比、大专及以上占比等），并建立跨省生活成本比较指数（LCI）用于购买力平价调整。测算结果表明，2023年中国人力资本总量按当年价值计算为4375.63万亿元，人均人力资本为402.22万元。提供了人力资本综合指数的完整计算方法，包括微观收入估算、宏观总量加总、跨期可比调整（CPI平减）、跨省可比调整（LCI）的全套技术方案，其“总量—人均—结构—区域”的多层次指数框架可直接迁移至各类综合发展指数的构建。</w:t>
      </w:r>
    </w:p>
    <w:p w14:paraId="200365F6">
      <w:pPr>
        <w:spacing w:line="300" w:lineRule="auto"/>
        <w:ind w:firstLine="0" w:firstLineChars="0"/>
        <w:rPr>
          <w:rFonts w:hint="eastAsia" w:ascii="Times New Roman" w:hAnsi="Times New Roman" w:cs="Times New Roman"/>
          <w:b w:val="0"/>
          <w:bCs w:val="0"/>
          <w:highlight w:val="none"/>
          <w:lang w:val="en-US" w:eastAsia="zh-CN"/>
        </w:rPr>
      </w:pPr>
      <w:r>
        <w:rPr>
          <w:rFonts w:hint="eastAsia" w:ascii="Times New Roman" w:hAnsi="Times New Roman" w:cs="Times New Roman"/>
          <w:b/>
          <w:bCs/>
          <w:highlight w:val="yellow"/>
          <w:lang w:val="en-US" w:eastAsia="zh-CN"/>
        </w:rPr>
        <w:t>17.2025城市综合发展指数报告</w:t>
      </w:r>
    </w:p>
    <w:p w14:paraId="64D3DEF7">
      <w:pPr>
        <w:spacing w:line="300" w:lineRule="auto"/>
        <w:ind w:firstLine="480" w:firstLineChars="200"/>
        <w:rPr>
          <w:rFonts w:hint="eastAsia"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该报告构建了“城市综合发展指数”（CCDI），以联合国2030年可持续发展目标（SDGs）和“创新、宜居、美丽、韧性、文明、智慧”六个城市特征为双重导向，筛选出90个实操指标，形成覆盖17个SDGs的两级指标体系；评价方法上，首先为每个指标设定目标值与最差值（依据SDGs绝对数值、国家政策目标、公认理想值或样本城市最优平均值），然后采用min-max线性标准化将原始数据映射至[0,100]区间，最后以等权重法计算各指标标准化分数的算术平均值作为综合指数，并采用四色指示板（红、橙、黄、绿）展示评估结果。</w:t>
      </w:r>
    </w:p>
    <w:p w14:paraId="755A3ACD">
      <w:pPr>
        <w:spacing w:line="300" w:lineRule="auto"/>
        <w:ind w:firstLine="0" w:firstLineChars="0"/>
        <w:rPr>
          <w:rFonts w:hint="eastAsia" w:ascii="Times New Roman" w:hAnsi="Times New Roman" w:cs="Times New Roman"/>
          <w:b w:val="0"/>
          <w:bCs w:val="0"/>
          <w:highlight w:val="none"/>
          <w:lang w:val="en-US" w:eastAsia="zh-CN"/>
        </w:rPr>
      </w:pPr>
      <w:r>
        <w:rPr>
          <w:rFonts w:hint="eastAsia" w:ascii="Times New Roman" w:hAnsi="Times New Roman" w:cs="Times New Roman"/>
          <w:b/>
          <w:bCs/>
          <w:highlight w:val="yellow"/>
          <w:lang w:val="en-US" w:eastAsia="zh-CN"/>
        </w:rPr>
        <w:t>18.2026全球数智化人才指数报告</w:t>
      </w:r>
    </w:p>
    <w:p w14:paraId="3326F884">
      <w:pPr>
        <w:spacing w:line="300" w:lineRule="auto"/>
        <w:ind w:firstLine="480" w:firstLineChars="200"/>
        <w:rPr>
          <w:rFonts w:hint="default"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该报告构建了“AI人才能力指数模型”，包含5个一级维度和20个二级指标。在评分方法上，采用</w:t>
      </w:r>
      <w:r>
        <w:rPr>
          <w:rFonts w:hint="default" w:ascii="Times New Roman" w:hAnsi="Times New Roman" w:cs="Times New Roman"/>
          <w:b w:val="0"/>
          <w:bCs w:val="0"/>
          <w:highlight w:val="none"/>
          <w:lang w:val="en-US" w:eastAsia="zh-CN"/>
        </w:rPr>
        <w:t>线性标准化，将每个二级指标0-5分的五级评分通过同一维度下得分总和除以满分再乘以100，换算为百分制维度分；之后运用固定权重加权，按预设权重加权汇总得到0-100分的总指数，并划分A+至D五个等级。此外，报告还采用定性+定量结合的方式，通过全球TOP100数据人才榜单和覆盖产业落地、垂直行业、基础研究、治理安全四大板块的AI1000人才图谱，对全球数智化人才结构进行了系统性观察与呈现。</w:t>
      </w:r>
    </w:p>
    <w:p w14:paraId="0444CD15">
      <w:pPr>
        <w:spacing w:line="300" w:lineRule="auto"/>
        <w:ind w:firstLine="0" w:firstLineChars="0"/>
        <w:rPr>
          <w:rFonts w:hint="eastAsia" w:ascii="Times New Roman" w:hAnsi="Times New Roman" w:cs="Times New Roman"/>
          <w:b/>
          <w:bCs/>
          <w:highlight w:val="yellow"/>
          <w:lang w:val="en-US" w:eastAsia="zh-CN"/>
        </w:rPr>
      </w:pPr>
      <w:r>
        <w:rPr>
          <w:rFonts w:hint="eastAsia" w:ascii="Times New Roman" w:hAnsi="Times New Roman" w:cs="Times New Roman"/>
          <w:b/>
          <w:bCs/>
          <w:highlight w:val="yellow"/>
          <w:lang w:val="en-US" w:eastAsia="zh-CN"/>
        </w:rPr>
        <w:t>19.全球城市产业创新指数报告2025</w:t>
      </w:r>
    </w:p>
    <w:p w14:paraId="1DB7B84F">
      <w:pPr>
        <w:spacing w:line="300" w:lineRule="auto"/>
        <w:ind w:firstLine="480" w:firstLineChars="200"/>
        <w:rPr>
          <w:rFonts w:hint="default"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该报告构建了“全球城市产业创新指数”，包含4个一级指标和11个二级指标。在指数计算方法上，采用</w:t>
      </w:r>
      <w:r>
        <w:rPr>
          <w:rFonts w:hint="default" w:ascii="Times New Roman" w:hAnsi="Times New Roman" w:cs="Times New Roman"/>
          <w:b w:val="0"/>
          <w:bCs w:val="0"/>
          <w:highlight w:val="none"/>
          <w:lang w:val="en-US" w:eastAsia="zh-CN"/>
        </w:rPr>
        <w:t>线性标准化将各指标原始数据映射至统一量纲，然后运用固定权重加权</w:t>
      </w:r>
      <w:r>
        <w:rPr>
          <w:rFonts w:hint="eastAsia" w:ascii="Times New Roman" w:hAnsi="Times New Roman" w:cs="Times New Roman"/>
          <w:b w:val="0"/>
          <w:bCs w:val="0"/>
          <w:highlight w:val="none"/>
          <w:lang w:val="en-US" w:eastAsia="zh-CN"/>
        </w:rPr>
        <w:t>，</w:t>
      </w:r>
      <w:r>
        <w:rPr>
          <w:rFonts w:hint="default" w:ascii="Times New Roman" w:hAnsi="Times New Roman" w:cs="Times New Roman"/>
          <w:b w:val="0"/>
          <w:bCs w:val="0"/>
          <w:highlight w:val="none"/>
          <w:lang w:val="en-US" w:eastAsia="zh-CN"/>
        </w:rPr>
        <w:t>汇总得到各城市产业创新总分（0-100分），还结合了定性分析——比如用东京的“产官学联合体”、深圳的“逆向创新”等案例来解读排名背后的逻辑</w:t>
      </w:r>
      <w:r>
        <w:rPr>
          <w:rFonts w:hint="eastAsia" w:ascii="Times New Roman" w:hAnsi="Times New Roman" w:cs="Times New Roman"/>
          <w:b w:val="0"/>
          <w:bCs w:val="0"/>
          <w:highlight w:val="none"/>
          <w:lang w:val="en-US" w:eastAsia="zh-CN"/>
        </w:rPr>
        <w:t>，</w:t>
      </w:r>
      <w:r>
        <w:rPr>
          <w:rFonts w:hint="default" w:ascii="Times New Roman" w:hAnsi="Times New Roman" w:cs="Times New Roman"/>
          <w:b w:val="0"/>
          <w:bCs w:val="0"/>
          <w:highlight w:val="none"/>
          <w:lang w:val="en-US" w:eastAsia="zh-CN"/>
        </w:rPr>
        <w:t>最终给出了27个全球城市的产业创新能力排名，并分析了排名变化背后的区域格局演变。</w:t>
      </w:r>
    </w:p>
    <w:p w14:paraId="77A3C765">
      <w:pPr>
        <w:spacing w:line="300" w:lineRule="auto"/>
        <w:ind w:firstLine="0" w:firstLineChars="0"/>
        <w:rPr>
          <w:rFonts w:hint="eastAsia" w:ascii="Times New Roman" w:hAnsi="Times New Roman" w:cs="Times New Roman"/>
          <w:b/>
          <w:bCs/>
          <w:highlight w:val="none"/>
          <w:lang w:val="en-US" w:eastAsia="zh-CN"/>
        </w:rPr>
      </w:pPr>
      <w:r>
        <w:rPr>
          <w:rFonts w:hint="eastAsia" w:ascii="Times New Roman" w:hAnsi="Times New Roman" w:cs="Times New Roman"/>
          <w:b/>
          <w:bCs/>
          <w:highlight w:val="yellow"/>
          <w:lang w:val="en-US" w:eastAsia="zh-CN"/>
        </w:rPr>
        <w:t>20.中国低空经济发展指数报告（2026）</w:t>
      </w:r>
    </w:p>
    <w:p w14:paraId="232AE9C8">
      <w:pPr>
        <w:spacing w:line="300" w:lineRule="auto"/>
        <w:ind w:firstLine="480" w:firstLineChars="200"/>
        <w:rPr>
          <w:rFonts w:hint="default"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该报告构建了包含创新效力、产业实力、场景活力、发展潜力、保障能力5个一级指标、19个二级指标和84个三级指标的“五力”低空经济发展指数评价体系。在方法上，一级指标采用平均赋权，二三级指标结合改进的熵权法与专家咨询综合确定权重；运用爬虫技术自动采集遥感、地理信息、企业运营、政策文本等多源异构数据，实现统计数据与非统计数据的有机融合；采用极值标准化对原始数据进行无量纲化处理，按综合得分将31个省区市划分为四个梯队。报告提供了“全国—省域—维度—案例”的四维低空经济分析框架，包含31个省（区、市）的指数测算与梯队划分，揭示了我国低空经济稳中向好、珠三角长三角引领、区域分化的空间格局。</w:t>
      </w:r>
    </w:p>
    <w:p w14:paraId="753E65DD">
      <w:pPr>
        <w:spacing w:line="300" w:lineRule="auto"/>
        <w:ind w:left="0" w:leftChars="0" w:firstLine="0" w:firstLineChars="0"/>
        <w:rPr>
          <w:rFonts w:hint="eastAsia" w:ascii="Times New Roman" w:hAnsi="Times New Roman" w:cs="Times New Roman"/>
          <w:lang w:val="en-US" w:eastAsia="zh-CN"/>
        </w:rPr>
      </w:pPr>
      <w:bookmarkStart w:id="1" w:name="_GoBack"/>
      <w:bookmarkEnd w:id="1"/>
    </w:p>
    <w:p w14:paraId="0BEE793F">
      <w:pPr>
        <w:spacing w:line="300" w:lineRule="auto"/>
        <w:rPr>
          <w:rFonts w:hint="eastAsia"/>
          <w:sz w:val="24"/>
          <w:szCs w:val="24"/>
        </w:rPr>
      </w:pPr>
    </w:p>
    <w:p w14:paraId="6D235C08">
      <w:pPr>
        <w:spacing w:line="300" w:lineRule="auto"/>
        <w:ind w:left="0" w:leftChars="0" w:firstLine="0" w:firstLineChars="0"/>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C0F57">
    <w:pPr>
      <w:pStyle w:val="11"/>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AE7AA">
    <w:pPr>
      <w:pStyle w:val="11"/>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84BD7">
    <w:pPr>
      <w:pStyle w:val="11"/>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ind w:firstLine="480"/>
      </w:pPr>
      <w:r>
        <w:separator/>
      </w:r>
    </w:p>
  </w:footnote>
  <w:footnote w:type="continuationSeparator" w:id="1">
    <w:p>
      <w:pPr>
        <w:spacing w:before="0" w:after="0" w:line="27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8AE0B">
    <w:pPr>
      <w:pStyle w:val="12"/>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49FBE">
    <w:pPr>
      <w:pStyle w:val="12"/>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E8CD9">
    <w:pPr>
      <w:pStyle w:val="12"/>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A174CB"/>
    <w:rsid w:val="0F143C2E"/>
    <w:rsid w:val="100449E5"/>
    <w:rsid w:val="1AF8344E"/>
    <w:rsid w:val="1E2A3EDD"/>
    <w:rsid w:val="21AF26F2"/>
    <w:rsid w:val="5DAB6E3B"/>
    <w:rsid w:val="68E95C0C"/>
    <w:rsid w:val="732E0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78" w:lineRule="auto"/>
      <w:ind w:firstLine="200" w:firstLineChars="200"/>
    </w:pPr>
    <w:rPr>
      <w:rFonts w:eastAsia="宋体" w:asciiTheme="minorHAnsi" w:hAnsiTheme="minorHAnsi" w:cstheme="minorBidi"/>
      <w:kern w:val="2"/>
      <w:sz w:val="24"/>
      <w:szCs w:val="24"/>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24"/>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5"/>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153"/>
        <w:tab w:val="right" w:pos="8306"/>
      </w:tabs>
      <w:snapToGrid w:val="0"/>
      <w:spacing w:line="240" w:lineRule="auto"/>
    </w:pPr>
    <w:rPr>
      <w:sz w:val="18"/>
      <w:szCs w:val="18"/>
    </w:rPr>
  </w:style>
  <w:style w:type="paragraph" w:styleId="12">
    <w:name w:val="header"/>
    <w:basedOn w:val="1"/>
    <w:link w:val="37"/>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customStyle="1" w:styleId="19">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7"/>
    <w:link w:val="5"/>
    <w:semiHidden/>
    <w:qFormat/>
    <w:uiPriority w:val="9"/>
    <w:rPr>
      <w:rFonts w:cstheme="majorBidi"/>
      <w:color w:val="2F5597" w:themeColor="accent1" w:themeShade="BF"/>
      <w:sz w:val="28"/>
      <w:szCs w:val="28"/>
    </w:rPr>
  </w:style>
  <w:style w:type="character" w:customStyle="1" w:styleId="23">
    <w:name w:val="标题 5 字符"/>
    <w:basedOn w:val="17"/>
    <w:link w:val="6"/>
    <w:semiHidden/>
    <w:qFormat/>
    <w:uiPriority w:val="9"/>
    <w:rPr>
      <w:rFonts w:cstheme="majorBidi"/>
      <w:color w:val="2F5597" w:themeColor="accent1" w:themeShade="BF"/>
      <w:sz w:val="24"/>
    </w:rPr>
  </w:style>
  <w:style w:type="character" w:customStyle="1" w:styleId="24">
    <w:name w:val="标题 6 字符"/>
    <w:basedOn w:val="17"/>
    <w:link w:val="7"/>
    <w:semiHidden/>
    <w:qFormat/>
    <w:uiPriority w:val="9"/>
    <w:rPr>
      <w:rFonts w:cstheme="majorBidi"/>
      <w:b/>
      <w:bCs/>
      <w:color w:val="2F5597" w:themeColor="accent1" w:themeShade="BF"/>
    </w:rPr>
  </w:style>
  <w:style w:type="character" w:customStyle="1" w:styleId="25">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customStyle="1" w:styleId="32">
    <w:name w:val="List Paragraph"/>
    <w:basedOn w:val="1"/>
    <w:qFormat/>
    <w:uiPriority w:val="34"/>
    <w:pPr>
      <w:ind w:left="720"/>
      <w:contextualSpacing/>
    </w:pPr>
  </w:style>
  <w:style w:type="character" w:customStyle="1" w:styleId="33">
    <w:name w:val="Intense Emphasis"/>
    <w:basedOn w:val="17"/>
    <w:qFormat/>
    <w:uiPriority w:val="21"/>
    <w:rPr>
      <w:i/>
      <w:iCs/>
      <w:color w:val="2F5597" w:themeColor="accent1" w:themeShade="BF"/>
    </w:rPr>
  </w:style>
  <w:style w:type="paragraph" w:customStyle="1"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7"/>
    <w:link w:val="34"/>
    <w:uiPriority w:val="30"/>
    <w:rPr>
      <w:i/>
      <w:iCs/>
      <w:color w:val="2F5597" w:themeColor="accent1" w:themeShade="BF"/>
    </w:rPr>
  </w:style>
  <w:style w:type="character" w:customStyle="1" w:styleId="36">
    <w:name w:val="Intense Reference"/>
    <w:basedOn w:val="17"/>
    <w:qFormat/>
    <w:uiPriority w:val="32"/>
    <w:rPr>
      <w:b/>
      <w:bCs/>
      <w:smallCaps/>
      <w:color w:val="2F5597" w:themeColor="accent1" w:themeShade="BF"/>
      <w:spacing w:val="5"/>
    </w:rPr>
  </w:style>
  <w:style w:type="character" w:customStyle="1" w:styleId="37">
    <w:name w:val="页眉 字符"/>
    <w:basedOn w:val="17"/>
    <w:link w:val="12"/>
    <w:qFormat/>
    <w:uiPriority w:val="99"/>
    <w:rPr>
      <w:sz w:val="18"/>
      <w:szCs w:val="18"/>
    </w:rPr>
  </w:style>
  <w:style w:type="character" w:customStyle="1" w:styleId="38">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3835</Words>
  <Characters>4490</Characters>
  <Lines>57</Lines>
  <Paragraphs>41</Paragraphs>
  <TotalTime>0</TotalTime>
  <ScaleCrop>false</ScaleCrop>
  <LinksUpToDate>false</LinksUpToDate>
  <CharactersWithSpaces>4551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2026-04-27T11:52:00Z</dcterms:created>
  <dc:creator>磊 郑</dc:creator>
  <cp:lastModifiedBy>归零</cp:lastModifiedBy>
  <dcterms:modified xsi:type="dcterms:W3CDTF">2026-05-18T05:44:18Z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eyJoZGlkIjoiN2IwYWRlNmE2MjE4MDc3MjU4NTI0M2RmOWQxMTI2YjAiLCJ1c2VySWQiOiIxMjc2OTc0NTc1In0=</vt:lpwstr>
  </property>
  <property fmtid="{D5CDD505-2E9C-101B-9397-08002B2CF9AE}" pid="3" name="KSOProductBuildVer">
    <vt:lpwstr>2052-12.1.0.26375</vt:lpwstr>
  </property>
  <property fmtid="{D5CDD505-2E9C-101B-9397-08002B2CF9AE}" pid="4" name="ICV">
    <vt:lpwstr>58C54A3F905E4AEE81725E484275E049_13</vt:lpwstr>
  </property>
</Properties>
</file>