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pPr>
        <w:keepLines w:val="0"/>
      </w:pPr>
      <w:r>
        <w:t>Dear Editor,</w:t>
      </w:r>
    </w:p>
    <w:p>
      <w:pPr>
        <w:keepLines w:val="0"/>
      </w:pPr>
      <w:r>
        <w:t xml:space="preserve">Please consider my manuscript, </w:t>
      </w:r>
      <w:r>
        <w:rPr>
          <w:b/>
        </w:rPr>
        <w:t>Shrinkage linear replicate supervision recovers perturbation identity and pharmacological relationships across LINCS contexts</w:t>
      </w:r>
      <w:r>
        <w:t>, for publication as a methods and benchmarking article.</w:t>
      </w:r>
    </w:p>
    <w:p>
      <w:pPr>
        <w:keepLines w:val="0"/>
      </w:pPr>
      <w:r>
        <w:t>The study addresses a practical question in perturbational transcriptomics: when replicate identity supervises a retrieval representation, does a neural metric learner or a classical shrinkage estimator transfer more reliably? The core idea of replicate-supervised L1000 representation learning was established by Filzen and colleagues in 2017, which I cite and reconstruct directly. My contribution is a stricter compound-disjoint and no-retraining transfer benchmark that identifies a different practical conclusion.</w:t>
      </w:r>
    </w:p>
    <w:p>
      <w:pPr>
        <w:keepLines w:val="0"/>
      </w:pPr>
      <w:r>
        <w:t>Using GSE92742 for training and GSE70138 for frozen transfer, shrinkage linear discriminant analysis outperformed raw expression, PCA, limma weighting, Hallmark ssGSEA, a modern supervised-contrastive encoder, and a faithful reconstruction of the published perturbation-barcode network. The result held in five new cell lines comprising 390 unseen compound-contexts and 2,593 plate-level profiles. The same frozen geometry also improved retrieval of shared mechanisms of action and protein targets between distinct unseen compounds. Training and held-out generalized covariance analyses, together with a 20-point scaling grid, were consistent with a sample-efficiency advantage for shrinkage LDA. A longer-schedule audit improved both neural comparators but left LDA first at the full 100-compound point and throughout the 20-compound row.</w:t>
      </w:r>
    </w:p>
    <w:p>
      <w:pPr>
        <w:keepLines w:val="0"/>
      </w:pPr>
      <w:r>
        <w:t>The manuscript is deliberately bounded. It does not claim invention of replicate supervision, therapeutic equivalence, platform-independent validation, or prospective biological confirmation. It presents an honest benchmark showing that a well-regularized classical model can be more transferable than the tested one-hidden-layer neural alternatives at a scale of approximately 100 training compounds.</w:t>
      </w:r>
    </w:p>
    <w:p>
      <w:pPr>
        <w:keepLines w:val="0"/>
      </w:pPr>
      <w:r>
        <w:t>All data are public. The submission package contains frozen analysis contracts, exact compound splits, executable code, compact derived data, model checkpoints, query-level results, and artifact hashes. The 25-artifact core replay and a separate two-artifact reviewer-response replay were both byte exact. The work received no external funding, and the author declares no competing interests.</w:t>
      </w:r>
    </w:p>
    <w:p>
      <w:pPr>
        <w:keepLines w:val="0"/>
      </w:pPr>
      <w:r>
        <w:t>Thank you for your consideration.</w:t>
      </w:r>
    </w:p>
    <w:p>
      <w:pPr>
        <w:keepLines w:val="0"/>
      </w:pPr>
      <w:r>
        <w:t>Sincerely,</w:t>
      </w:r>
    </w:p>
    <w:p>
      <w:pPr>
        <w:keepLines w:val="0"/>
      </w:pPr>
      <w:r>
        <w:t>Mark Barsoum Markarian</w:t>
      </w:r>
    </w:p>
    <w:p>
      <w:pPr>
        <w:keepLines w:val="0"/>
      </w:pPr>
      <w:r>
        <w:t>Independent Researcher</w:t>
      </w:r>
    </w:p>
    <w:p>
      <w:pPr>
        <w:keepLines w:val="0"/>
      </w:pPr>
      <w:r>
        <w:t>Beirut, Lebanon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 w:updateFields="true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Times New Roman" w:hAnsi="Times New Roman" w:eastAsia="Times New Roman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Arial" w:hAnsi="Arial"/>
      <w:b/>
      <w:bCs/>
      <w:i w:val="0"/>
      <w:color w:val="1F293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Replicate-supervised transcriptomic retrieval across LINCS phases</dc:subject>
  <dc:creator>Mark Barsoum Markarian</dc:creator>
  <cp:keywords/>
  <dc:description/>
  <cp:lastModifiedBy>Mark Barsoum Markarian</cp:lastModifiedBy>
  <cp:revision>1</cp:revision>
  <dcterms:created xsi:type="dcterms:W3CDTF">2013-12-23T23:15:00Z</dcterms:created>
  <dcterms:modified xsi:type="dcterms:W3CDTF">2013-12-23T23:15:00Z</dcterms:modified>
  <cp:category/>
</cp:coreProperties>
</file>