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0089" w14:textId="77777777" w:rsidR="00464DA4" w:rsidRDefault="00464DA4">
      <w:r>
        <w:t>Mark Bishoff</w:t>
      </w:r>
    </w:p>
    <w:p w14:paraId="0926407E" w14:textId="77777777" w:rsidR="00464DA4" w:rsidRDefault="00464DA4">
      <w:r>
        <w:t xml:space="preserve">Assignment 04 </w:t>
      </w:r>
      <w:proofErr w:type="spellStart"/>
      <w:r>
        <w:t>Jupyter</w:t>
      </w:r>
      <w:proofErr w:type="spellEnd"/>
      <w:r>
        <w:t>-Notebook-Pandas</w:t>
      </w:r>
    </w:p>
    <w:p w14:paraId="1B84E882" w14:textId="77777777" w:rsidR="00464DA4" w:rsidRDefault="00464DA4" w:rsidP="00464DA4">
      <w:pPr>
        <w:jc w:val="center"/>
      </w:pPr>
      <w:r>
        <w:t>Analysis</w:t>
      </w:r>
    </w:p>
    <w:p w14:paraId="54D888AF" w14:textId="77777777" w:rsidR="00464DA4" w:rsidRDefault="00464DA4" w:rsidP="00464DA4">
      <w:r>
        <w:tab/>
        <w:t>Comparing the Top-5 performing schools (Cabrera, Thomas, Griffin, Wilson, and Pena) and the Bottom-5 worst performing schools (Rodriguez, Figueroa, Huang, Hernandez, and Johnson) the biggest difference that is immediate between the two is, the total school budget, and per student budget. Where the best schools appear to have a lower budget compared to the worst schools that have a Higher Budget</w:t>
      </w:r>
      <w:r>
        <w:br/>
      </w:r>
      <w:r>
        <w:tab/>
        <w:t xml:space="preserve">When </w:t>
      </w:r>
      <w:proofErr w:type="gramStart"/>
      <w:r>
        <w:t>It</w:t>
      </w:r>
      <w:proofErr w:type="gramEnd"/>
      <w:r>
        <w:t xml:space="preserve"> comes to comparing separate Grades averages in Math and Reading, they are near identically, with no clear patten. It’s safe to say all grade levels are equal in terms of math and reading, but all school students reading skills are equal or better than their math on average.</w:t>
      </w:r>
    </w:p>
    <w:p w14:paraId="12008A07" w14:textId="77777777" w:rsidR="00464DA4" w:rsidRDefault="00464DA4" w:rsidP="00464DA4">
      <w:r>
        <w:tab/>
        <w:t>By going down and comparing the values in the spending summary table, the</w:t>
      </w:r>
      <w:r w:rsidR="00875EE3">
        <w:t xml:space="preserve"> clear pattern in the table is that less funding per student in the school the higher the overall percentage of students are passing,  90.3 percentage of students pass in schools where the per student spending is less than $585 and it goes down to 53.5 percent of students passing in schools where the per student spending is between $645-680. Implying that the more students get per spending, the less students pass both math and reading</w:t>
      </w:r>
    </w:p>
    <w:p w14:paraId="39BBE9F6" w14:textId="77777777" w:rsidR="00875EE3" w:rsidRDefault="00875EE3" w:rsidP="00464DA4">
      <w:r>
        <w:tab/>
        <w:t xml:space="preserve">Now by comparing students by school size, both </w:t>
      </w:r>
      <w:proofErr w:type="gramStart"/>
      <w:r>
        <w:t>small(</w:t>
      </w:r>
      <w:proofErr w:type="gramEnd"/>
      <w:r>
        <w:t>&lt;1000) to medium-sized(1000-2000) schools do fairly well with both of them around 90 percent overall passing, however the large(2000-5000) schools have a massive drop off to around 58.3 Percent overall passing. Implying that once schools reach above a total population threshold, the students begin to fail at a dramatic rate.</w:t>
      </w:r>
    </w:p>
    <w:p w14:paraId="790B5DC7" w14:textId="77777777" w:rsidR="00875EE3" w:rsidRDefault="00875EE3" w:rsidP="00464DA4">
      <w:r>
        <w:tab/>
        <w:t xml:space="preserve">Finally, comparing the school type by there overall passing percentages, Charter schools on average have 90.4 percent of </w:t>
      </w:r>
      <w:proofErr w:type="gramStart"/>
      <w:r>
        <w:t>the their</w:t>
      </w:r>
      <w:proofErr w:type="gramEnd"/>
      <w:r>
        <w:t xml:space="preserve"> students pass and district schools only have 53.6 percent of their student pass. Implying Charter schools help students much better than District schools.</w:t>
      </w:r>
    </w:p>
    <w:p w14:paraId="44198C36" w14:textId="77777777" w:rsidR="00875EE3" w:rsidRDefault="00875EE3" w:rsidP="00464DA4">
      <w:r>
        <w:tab/>
        <w:t xml:space="preserve">Therefore if you were focused on maximizing the number of students passing both </w:t>
      </w:r>
      <w:r w:rsidR="008F1449">
        <w:t xml:space="preserve">math and reading for a new school, you would want to have a charter school </w:t>
      </w:r>
      <w:r w:rsidR="00664566">
        <w:t xml:space="preserve"> with </w:t>
      </w:r>
      <w:r w:rsidR="008F1449">
        <w:t>population less than 2000</w:t>
      </w:r>
      <w:r w:rsidR="00664566">
        <w:t xml:space="preserve"> don’t overspend on it’s school budget</w:t>
      </w:r>
    </w:p>
    <w:sectPr w:rsidR="0087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A4"/>
    <w:rsid w:val="00464DA4"/>
    <w:rsid w:val="00664566"/>
    <w:rsid w:val="00875EE3"/>
    <w:rsid w:val="008F1449"/>
    <w:rsid w:val="00AB5C9B"/>
    <w:rsid w:val="00D3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FD9C"/>
  <w15:chartTrackingRefBased/>
  <w15:docId w15:val="{FDD14BE0-00D9-4464-AB33-F37414F3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DA4"/>
    <w:rPr>
      <w:rFonts w:eastAsiaTheme="majorEastAsia" w:cstheme="majorBidi"/>
      <w:color w:val="272727" w:themeColor="text1" w:themeTint="D8"/>
    </w:rPr>
  </w:style>
  <w:style w:type="paragraph" w:styleId="Title">
    <w:name w:val="Title"/>
    <w:basedOn w:val="Normal"/>
    <w:next w:val="Normal"/>
    <w:link w:val="TitleChar"/>
    <w:uiPriority w:val="10"/>
    <w:qFormat/>
    <w:rsid w:val="00464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DA4"/>
    <w:pPr>
      <w:spacing w:before="160"/>
      <w:jc w:val="center"/>
    </w:pPr>
    <w:rPr>
      <w:i/>
      <w:iCs/>
      <w:color w:val="404040" w:themeColor="text1" w:themeTint="BF"/>
    </w:rPr>
  </w:style>
  <w:style w:type="character" w:customStyle="1" w:styleId="QuoteChar">
    <w:name w:val="Quote Char"/>
    <w:basedOn w:val="DefaultParagraphFont"/>
    <w:link w:val="Quote"/>
    <w:uiPriority w:val="29"/>
    <w:rsid w:val="00464DA4"/>
    <w:rPr>
      <w:i/>
      <w:iCs/>
      <w:color w:val="404040" w:themeColor="text1" w:themeTint="BF"/>
    </w:rPr>
  </w:style>
  <w:style w:type="paragraph" w:styleId="ListParagraph">
    <w:name w:val="List Paragraph"/>
    <w:basedOn w:val="Normal"/>
    <w:uiPriority w:val="34"/>
    <w:qFormat/>
    <w:rsid w:val="00464DA4"/>
    <w:pPr>
      <w:ind w:left="720"/>
      <w:contextualSpacing/>
    </w:pPr>
  </w:style>
  <w:style w:type="character" w:styleId="IntenseEmphasis">
    <w:name w:val="Intense Emphasis"/>
    <w:basedOn w:val="DefaultParagraphFont"/>
    <w:uiPriority w:val="21"/>
    <w:qFormat/>
    <w:rsid w:val="00464DA4"/>
    <w:rPr>
      <w:i/>
      <w:iCs/>
      <w:color w:val="0F4761" w:themeColor="accent1" w:themeShade="BF"/>
    </w:rPr>
  </w:style>
  <w:style w:type="paragraph" w:styleId="IntenseQuote">
    <w:name w:val="Intense Quote"/>
    <w:basedOn w:val="Normal"/>
    <w:next w:val="Normal"/>
    <w:link w:val="IntenseQuoteChar"/>
    <w:uiPriority w:val="30"/>
    <w:qFormat/>
    <w:rsid w:val="00464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A4"/>
    <w:rPr>
      <w:i/>
      <w:iCs/>
      <w:color w:val="0F4761" w:themeColor="accent1" w:themeShade="BF"/>
    </w:rPr>
  </w:style>
  <w:style w:type="character" w:styleId="IntenseReference">
    <w:name w:val="Intense Reference"/>
    <w:basedOn w:val="DefaultParagraphFont"/>
    <w:uiPriority w:val="32"/>
    <w:qFormat/>
    <w:rsid w:val="00464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209975BCB54BABF48AEB80D0C73A" ma:contentTypeVersion="12" ma:contentTypeDescription="Create a new document." ma:contentTypeScope="" ma:versionID="5897229946956288cd5fe99d0e342548">
  <xsd:schema xmlns:xsd="http://www.w3.org/2001/XMLSchema" xmlns:xs="http://www.w3.org/2001/XMLSchema" xmlns:p="http://schemas.microsoft.com/office/2006/metadata/properties" xmlns:ns3="9e825672-3edb-4e05-a3c3-c06c2aa0c2f0" targetNamespace="http://schemas.microsoft.com/office/2006/metadata/properties" ma:root="true" ma:fieldsID="12c299b39c8aa2eb3b79ba2907937e2b" ns3:_="">
    <xsd:import namespace="9e825672-3edb-4e05-a3c3-c06c2aa0c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25672-3edb-4e05-a3c3-c06c2aa0c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e825672-3edb-4e05-a3c3-c06c2aa0c2f0" xsi:nil="true"/>
  </documentManagement>
</p:properties>
</file>

<file path=customXml/itemProps1.xml><?xml version="1.0" encoding="utf-8"?>
<ds:datastoreItem xmlns:ds="http://schemas.openxmlformats.org/officeDocument/2006/customXml" ds:itemID="{17B81B03-DA28-4F4C-AA8E-54337EB85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25672-3edb-4e05-a3c3-c06c2aa0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8F325-B0E7-4DF7-8297-7BA21853EBCE}">
  <ds:schemaRefs>
    <ds:schemaRef ds:uri="http://schemas.microsoft.com/sharepoint/v3/contenttype/forms"/>
  </ds:schemaRefs>
</ds:datastoreItem>
</file>

<file path=customXml/itemProps3.xml><?xml version="1.0" encoding="utf-8"?>
<ds:datastoreItem xmlns:ds="http://schemas.openxmlformats.org/officeDocument/2006/customXml" ds:itemID="{AEA3DA1F-F0AA-4FD3-BBF7-D7DA9011D18B}">
  <ds:schemaRefs>
    <ds:schemaRef ds:uri="http://schemas.microsoft.com/office/2006/metadata/properties"/>
    <ds:schemaRef ds:uri="http://schemas.microsoft.com/office/infopath/2007/PartnerControls"/>
    <ds:schemaRef ds:uri="9e825672-3edb-4e05-a3c3-c06c2aa0c2f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Bishoff</dc:creator>
  <cp:keywords/>
  <dc:description/>
  <cp:lastModifiedBy>Bishoff, Mark</cp:lastModifiedBy>
  <cp:revision>1</cp:revision>
  <dcterms:created xsi:type="dcterms:W3CDTF">2024-07-01T17:33:00Z</dcterms:created>
  <dcterms:modified xsi:type="dcterms:W3CDTF">2024-07-01T17:33:00Z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0x010100FB40209975BCB54BABF48AEB80D0C73A</vt:lpwstr>
  </property>
</Properties>
</file>