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99112" w14:textId="77777777" w:rsidR="00D80677" w:rsidRDefault="00D80677"/>
    <w:p w14:paraId="3A2E9A1E" w14:textId="5C199205" w:rsidR="00C86A62" w:rsidRPr="00B11043" w:rsidRDefault="00C86A62" w:rsidP="00C86A62">
      <w:pPr>
        <w:pStyle w:val="berschrift1"/>
        <w:jc w:val="center"/>
      </w:pPr>
      <w:bookmarkStart w:id="0" w:name="_Toc142902581"/>
      <w:r w:rsidRPr="00B11043">
        <w:t>ARVA Digital – ATM Tornau Webservice</w:t>
      </w:r>
      <w:bookmarkEnd w:id="0"/>
    </w:p>
    <w:p w14:paraId="050EBAC8" w14:textId="77777777" w:rsidR="00C86A62" w:rsidRDefault="00C86A62" w:rsidP="00C86A62"/>
    <w:p w14:paraId="1270B84B" w14:textId="6F667437" w:rsidR="00C86A62" w:rsidRDefault="00C86A62" w:rsidP="00C86A62">
      <w:r w:rsidRPr="00C86A62">
        <w:t>Fun</w:t>
      </w:r>
      <w:r>
        <w:t>ktionen für die Durchführungen von Artikelbewegungen mittels SOAP-Webservice</w:t>
      </w:r>
    </w:p>
    <w:p w14:paraId="6F291B12" w14:textId="77777777" w:rsidR="00C86A62" w:rsidRDefault="00C86A62" w:rsidP="00C86A6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88202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38F65B" w14:textId="022F7172" w:rsidR="00697158" w:rsidRDefault="00697158">
          <w:pPr>
            <w:pStyle w:val="Inhaltsverzeichnisberschrift"/>
          </w:pPr>
          <w:r>
            <w:t>Inhaltsverzeichnis</w:t>
          </w:r>
        </w:p>
        <w:p w14:paraId="6614166E" w14:textId="13F72190" w:rsidR="00E702B8" w:rsidRDefault="006971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02581" w:history="1">
            <w:r w:rsidR="00E702B8" w:rsidRPr="00EA0338">
              <w:rPr>
                <w:rStyle w:val="Hyperlink"/>
                <w:noProof/>
                <w:lang w:val="en-US"/>
              </w:rPr>
              <w:t>ARVA Digital – ATM Tornau Webservice</w:t>
            </w:r>
            <w:r w:rsidR="00E702B8">
              <w:rPr>
                <w:noProof/>
                <w:webHidden/>
              </w:rPr>
              <w:tab/>
            </w:r>
            <w:r w:rsidR="00E702B8">
              <w:rPr>
                <w:noProof/>
                <w:webHidden/>
              </w:rPr>
              <w:fldChar w:fldCharType="begin"/>
            </w:r>
            <w:r w:rsidR="00E702B8">
              <w:rPr>
                <w:noProof/>
                <w:webHidden/>
              </w:rPr>
              <w:instrText xml:space="preserve"> PAGEREF _Toc142902581 \h </w:instrText>
            </w:r>
            <w:r w:rsidR="00E702B8">
              <w:rPr>
                <w:noProof/>
                <w:webHidden/>
              </w:rPr>
            </w:r>
            <w:r w:rsidR="00E702B8">
              <w:rPr>
                <w:noProof/>
                <w:webHidden/>
              </w:rPr>
              <w:fldChar w:fldCharType="separate"/>
            </w:r>
            <w:r w:rsidR="00E702B8">
              <w:rPr>
                <w:noProof/>
                <w:webHidden/>
              </w:rPr>
              <w:t>1</w:t>
            </w:r>
            <w:r w:rsidR="00E702B8">
              <w:rPr>
                <w:noProof/>
                <w:webHidden/>
              </w:rPr>
              <w:fldChar w:fldCharType="end"/>
            </w:r>
          </w:hyperlink>
        </w:p>
        <w:p w14:paraId="2BAD55F9" w14:textId="1E9A3E39" w:rsidR="00E702B8" w:rsidRDefault="007F03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2902582" w:history="1">
            <w:r w:rsidR="00E702B8" w:rsidRPr="00EA0338">
              <w:rPr>
                <w:rStyle w:val="Hyperlink"/>
                <w:noProof/>
              </w:rPr>
              <w:t>Technische Einrichtung Dynamics NAV Webservice</w:t>
            </w:r>
            <w:r w:rsidR="00E702B8">
              <w:rPr>
                <w:noProof/>
                <w:webHidden/>
              </w:rPr>
              <w:tab/>
            </w:r>
            <w:r w:rsidR="00E702B8">
              <w:rPr>
                <w:noProof/>
                <w:webHidden/>
              </w:rPr>
              <w:fldChar w:fldCharType="begin"/>
            </w:r>
            <w:r w:rsidR="00E702B8">
              <w:rPr>
                <w:noProof/>
                <w:webHidden/>
              </w:rPr>
              <w:instrText xml:space="preserve"> PAGEREF _Toc142902582 \h </w:instrText>
            </w:r>
            <w:r w:rsidR="00E702B8">
              <w:rPr>
                <w:noProof/>
                <w:webHidden/>
              </w:rPr>
            </w:r>
            <w:r w:rsidR="00E702B8">
              <w:rPr>
                <w:noProof/>
                <w:webHidden/>
              </w:rPr>
              <w:fldChar w:fldCharType="separate"/>
            </w:r>
            <w:r w:rsidR="00E702B8">
              <w:rPr>
                <w:noProof/>
                <w:webHidden/>
              </w:rPr>
              <w:t>2</w:t>
            </w:r>
            <w:r w:rsidR="00E702B8">
              <w:rPr>
                <w:noProof/>
                <w:webHidden/>
              </w:rPr>
              <w:fldChar w:fldCharType="end"/>
            </w:r>
          </w:hyperlink>
        </w:p>
        <w:p w14:paraId="33C80D65" w14:textId="75555B66" w:rsidR="00E702B8" w:rsidRDefault="007F03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2902583" w:history="1">
            <w:r w:rsidR="00E702B8" w:rsidRPr="00EA0338">
              <w:rPr>
                <w:rStyle w:val="Hyperlink"/>
                <w:noProof/>
              </w:rPr>
              <w:t>Einrichtungen in der Anwendung</w:t>
            </w:r>
            <w:r w:rsidR="00E702B8">
              <w:rPr>
                <w:noProof/>
                <w:webHidden/>
              </w:rPr>
              <w:tab/>
            </w:r>
            <w:r w:rsidR="00E702B8">
              <w:rPr>
                <w:noProof/>
                <w:webHidden/>
              </w:rPr>
              <w:fldChar w:fldCharType="begin"/>
            </w:r>
            <w:r w:rsidR="00E702B8">
              <w:rPr>
                <w:noProof/>
                <w:webHidden/>
              </w:rPr>
              <w:instrText xml:space="preserve"> PAGEREF _Toc142902583 \h </w:instrText>
            </w:r>
            <w:r w:rsidR="00E702B8">
              <w:rPr>
                <w:noProof/>
                <w:webHidden/>
              </w:rPr>
            </w:r>
            <w:r w:rsidR="00E702B8">
              <w:rPr>
                <w:noProof/>
                <w:webHidden/>
              </w:rPr>
              <w:fldChar w:fldCharType="separate"/>
            </w:r>
            <w:r w:rsidR="00E702B8">
              <w:rPr>
                <w:noProof/>
                <w:webHidden/>
              </w:rPr>
              <w:t>2</w:t>
            </w:r>
            <w:r w:rsidR="00E702B8">
              <w:rPr>
                <w:noProof/>
                <w:webHidden/>
              </w:rPr>
              <w:fldChar w:fldCharType="end"/>
            </w:r>
          </w:hyperlink>
        </w:p>
        <w:p w14:paraId="1CB6B0AA" w14:textId="787CD2C2" w:rsidR="00E702B8" w:rsidRDefault="007F033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2902584" w:history="1">
            <w:r w:rsidR="00E702B8" w:rsidRPr="00EA0338">
              <w:rPr>
                <w:rStyle w:val="Hyperlink"/>
                <w:noProof/>
              </w:rPr>
              <w:t>Einrichtung Lagermitarbeiter</w:t>
            </w:r>
            <w:r w:rsidR="00E702B8">
              <w:rPr>
                <w:noProof/>
                <w:webHidden/>
              </w:rPr>
              <w:tab/>
            </w:r>
            <w:r w:rsidR="00E702B8">
              <w:rPr>
                <w:noProof/>
                <w:webHidden/>
              </w:rPr>
              <w:fldChar w:fldCharType="begin"/>
            </w:r>
            <w:r w:rsidR="00E702B8">
              <w:rPr>
                <w:noProof/>
                <w:webHidden/>
              </w:rPr>
              <w:instrText xml:space="preserve"> PAGEREF _Toc142902584 \h </w:instrText>
            </w:r>
            <w:r w:rsidR="00E702B8">
              <w:rPr>
                <w:noProof/>
                <w:webHidden/>
              </w:rPr>
            </w:r>
            <w:r w:rsidR="00E702B8">
              <w:rPr>
                <w:noProof/>
                <w:webHidden/>
              </w:rPr>
              <w:fldChar w:fldCharType="separate"/>
            </w:r>
            <w:r w:rsidR="00E702B8">
              <w:rPr>
                <w:noProof/>
                <w:webHidden/>
              </w:rPr>
              <w:t>2</w:t>
            </w:r>
            <w:r w:rsidR="00E702B8">
              <w:rPr>
                <w:noProof/>
                <w:webHidden/>
              </w:rPr>
              <w:fldChar w:fldCharType="end"/>
            </w:r>
          </w:hyperlink>
        </w:p>
        <w:p w14:paraId="27A41C7C" w14:textId="19A322B5" w:rsidR="00E702B8" w:rsidRDefault="007F033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2902585" w:history="1">
            <w:r w:rsidR="00E702B8" w:rsidRPr="00EA0338">
              <w:rPr>
                <w:rStyle w:val="Hyperlink"/>
                <w:noProof/>
              </w:rPr>
              <w:t>Nummernserie für Buchblatt</w:t>
            </w:r>
            <w:r w:rsidR="00E702B8">
              <w:rPr>
                <w:noProof/>
                <w:webHidden/>
              </w:rPr>
              <w:tab/>
            </w:r>
            <w:r w:rsidR="00E702B8">
              <w:rPr>
                <w:noProof/>
                <w:webHidden/>
              </w:rPr>
              <w:fldChar w:fldCharType="begin"/>
            </w:r>
            <w:r w:rsidR="00E702B8">
              <w:rPr>
                <w:noProof/>
                <w:webHidden/>
              </w:rPr>
              <w:instrText xml:space="preserve"> PAGEREF _Toc142902585 \h </w:instrText>
            </w:r>
            <w:r w:rsidR="00E702B8">
              <w:rPr>
                <w:noProof/>
                <w:webHidden/>
              </w:rPr>
            </w:r>
            <w:r w:rsidR="00E702B8">
              <w:rPr>
                <w:noProof/>
                <w:webHidden/>
              </w:rPr>
              <w:fldChar w:fldCharType="separate"/>
            </w:r>
            <w:r w:rsidR="00E702B8">
              <w:rPr>
                <w:noProof/>
                <w:webHidden/>
              </w:rPr>
              <w:t>3</w:t>
            </w:r>
            <w:r w:rsidR="00E702B8">
              <w:rPr>
                <w:noProof/>
                <w:webHidden/>
              </w:rPr>
              <w:fldChar w:fldCharType="end"/>
            </w:r>
          </w:hyperlink>
        </w:p>
        <w:p w14:paraId="5DE599C3" w14:textId="4B21F2E6" w:rsidR="00E702B8" w:rsidRDefault="007F03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2902586" w:history="1">
            <w:r w:rsidR="00E702B8" w:rsidRPr="00EA0338">
              <w:rPr>
                <w:rStyle w:val="Hyperlink"/>
                <w:noProof/>
              </w:rPr>
              <w:t>Artikel Zu-/Abgangsbuchung</w:t>
            </w:r>
            <w:r w:rsidR="00E702B8">
              <w:rPr>
                <w:noProof/>
                <w:webHidden/>
              </w:rPr>
              <w:tab/>
            </w:r>
            <w:r w:rsidR="00E702B8">
              <w:rPr>
                <w:noProof/>
                <w:webHidden/>
              </w:rPr>
              <w:fldChar w:fldCharType="begin"/>
            </w:r>
            <w:r w:rsidR="00E702B8">
              <w:rPr>
                <w:noProof/>
                <w:webHidden/>
              </w:rPr>
              <w:instrText xml:space="preserve"> PAGEREF _Toc142902586 \h </w:instrText>
            </w:r>
            <w:r w:rsidR="00E702B8">
              <w:rPr>
                <w:noProof/>
                <w:webHidden/>
              </w:rPr>
            </w:r>
            <w:r w:rsidR="00E702B8">
              <w:rPr>
                <w:noProof/>
                <w:webHidden/>
              </w:rPr>
              <w:fldChar w:fldCharType="separate"/>
            </w:r>
            <w:r w:rsidR="00E702B8">
              <w:rPr>
                <w:noProof/>
                <w:webHidden/>
              </w:rPr>
              <w:t>3</w:t>
            </w:r>
            <w:r w:rsidR="00E702B8">
              <w:rPr>
                <w:noProof/>
                <w:webHidden/>
              </w:rPr>
              <w:fldChar w:fldCharType="end"/>
            </w:r>
          </w:hyperlink>
        </w:p>
        <w:p w14:paraId="4C48AA13" w14:textId="68A0EDA3" w:rsidR="00E702B8" w:rsidRDefault="007F03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2902587" w:history="1">
            <w:r w:rsidR="00E702B8" w:rsidRPr="00EA0338">
              <w:rPr>
                <w:rStyle w:val="Hyperlink"/>
                <w:noProof/>
              </w:rPr>
              <w:t>Artikel Umlagerungsbuchungen</w:t>
            </w:r>
            <w:r w:rsidR="00E702B8">
              <w:rPr>
                <w:noProof/>
                <w:webHidden/>
              </w:rPr>
              <w:tab/>
            </w:r>
            <w:r w:rsidR="00E702B8">
              <w:rPr>
                <w:noProof/>
                <w:webHidden/>
              </w:rPr>
              <w:fldChar w:fldCharType="begin"/>
            </w:r>
            <w:r w:rsidR="00E702B8">
              <w:rPr>
                <w:noProof/>
                <w:webHidden/>
              </w:rPr>
              <w:instrText xml:space="preserve"> PAGEREF _Toc142902587 \h </w:instrText>
            </w:r>
            <w:r w:rsidR="00E702B8">
              <w:rPr>
                <w:noProof/>
                <w:webHidden/>
              </w:rPr>
            </w:r>
            <w:r w:rsidR="00E702B8">
              <w:rPr>
                <w:noProof/>
                <w:webHidden/>
              </w:rPr>
              <w:fldChar w:fldCharType="separate"/>
            </w:r>
            <w:r w:rsidR="00E702B8">
              <w:rPr>
                <w:noProof/>
                <w:webHidden/>
              </w:rPr>
              <w:t>4</w:t>
            </w:r>
            <w:r w:rsidR="00E702B8">
              <w:rPr>
                <w:noProof/>
                <w:webHidden/>
              </w:rPr>
              <w:fldChar w:fldCharType="end"/>
            </w:r>
          </w:hyperlink>
        </w:p>
        <w:p w14:paraId="014FABD9" w14:textId="1AB18BBF" w:rsidR="00697158" w:rsidRDefault="00697158">
          <w:r>
            <w:rPr>
              <w:b/>
              <w:bCs/>
            </w:rPr>
            <w:fldChar w:fldCharType="end"/>
          </w:r>
        </w:p>
      </w:sdtContent>
    </w:sdt>
    <w:p w14:paraId="00B24E89" w14:textId="797D5BE6" w:rsidR="00697158" w:rsidRDefault="00697158">
      <w:r>
        <w:br w:type="page"/>
      </w:r>
    </w:p>
    <w:p w14:paraId="30C8E0C3" w14:textId="3DCE9B75" w:rsidR="00BD6A23" w:rsidRDefault="00B12EE9" w:rsidP="00C86A62">
      <w:pPr>
        <w:pStyle w:val="berschrift2"/>
      </w:pPr>
      <w:bookmarkStart w:id="1" w:name="_Toc142902582"/>
      <w:r>
        <w:lastRenderedPageBreak/>
        <w:t>Technische Einrichtung Dynamics NAV Webservice</w:t>
      </w:r>
      <w:bookmarkEnd w:id="1"/>
    </w:p>
    <w:p w14:paraId="5E972A35" w14:textId="5952BE7E" w:rsidR="00214152" w:rsidRDefault="00214152">
      <w:r>
        <w:t xml:space="preserve">Damit die Webservice Funktion über die </w:t>
      </w:r>
      <w:r w:rsidR="00301FFB">
        <w:t>SOAP-Schnittstelle</w:t>
      </w:r>
      <w:r>
        <w:t xml:space="preserve"> erreicht werden können, muss die Codeunit zunächst freigegeben werden. Dazu Windows Client die Maske Webdienste aufrufen und dort die Codeunit wie folgt veröffentlichen.</w:t>
      </w:r>
    </w:p>
    <w:p w14:paraId="1CCF245B" w14:textId="0AD57559" w:rsidR="00214152" w:rsidRDefault="00214152">
      <w:r w:rsidRPr="00BF4D2D">
        <w:rPr>
          <w:b/>
          <w:bCs/>
        </w:rPr>
        <w:t>ObjektType</w:t>
      </w:r>
      <w:r>
        <w:t>: Codeunit</w:t>
      </w:r>
    </w:p>
    <w:p w14:paraId="382FB37F" w14:textId="6C7E5C18" w:rsidR="00214152" w:rsidRDefault="00214152">
      <w:r w:rsidRPr="00BF4D2D">
        <w:rPr>
          <w:b/>
          <w:bCs/>
        </w:rPr>
        <w:t>Objekt</w:t>
      </w:r>
      <w:r w:rsidR="006A0AF1">
        <w:rPr>
          <w:b/>
          <w:bCs/>
        </w:rPr>
        <w:t>-</w:t>
      </w:r>
      <w:r w:rsidRPr="00BF4D2D">
        <w:rPr>
          <w:b/>
          <w:bCs/>
        </w:rPr>
        <w:t>ID</w:t>
      </w:r>
      <w:r>
        <w:t>: 50020</w:t>
      </w:r>
    </w:p>
    <w:p w14:paraId="76011E41" w14:textId="236741A3" w:rsidR="00214152" w:rsidRDefault="00214152">
      <w:r w:rsidRPr="00BF4D2D">
        <w:rPr>
          <w:b/>
          <w:bCs/>
        </w:rPr>
        <w:t>Servicename</w:t>
      </w:r>
      <w:r>
        <w:t>:</w:t>
      </w:r>
      <w:r w:rsidR="00BF4D2D">
        <w:t xml:space="preserve"> </w:t>
      </w:r>
      <w:r w:rsidR="006E780E" w:rsidRPr="006E780E">
        <w:t>A</w:t>
      </w:r>
      <w:r w:rsidR="00266C50">
        <w:t>rva</w:t>
      </w:r>
      <w:r w:rsidR="006E780E" w:rsidRPr="006E780E">
        <w:t>WS</w:t>
      </w:r>
    </w:p>
    <w:p w14:paraId="0522A47C" w14:textId="2EF04AAF" w:rsidR="00214152" w:rsidRDefault="00214152">
      <w:r w:rsidRPr="00BF4D2D">
        <w:rPr>
          <w:b/>
          <w:bCs/>
        </w:rPr>
        <w:t>Alle Tenanten</w:t>
      </w:r>
      <w:r>
        <w:t>: Ja</w:t>
      </w:r>
    </w:p>
    <w:p w14:paraId="3A41EE24" w14:textId="558ED605" w:rsidR="00214152" w:rsidRDefault="00214152">
      <w:r w:rsidRPr="00BF4D2D">
        <w:rPr>
          <w:b/>
          <w:bCs/>
        </w:rPr>
        <w:t>Veröffentlichen</w:t>
      </w:r>
      <w:r>
        <w:t>: Ja</w:t>
      </w:r>
    </w:p>
    <w:p w14:paraId="782A9B91" w14:textId="60FEF505" w:rsidR="00BF4D2D" w:rsidRDefault="00BF4D2D">
      <w:r>
        <w:t>Abbildung:</w:t>
      </w:r>
    </w:p>
    <w:p w14:paraId="39ACF261" w14:textId="59809801" w:rsidR="00214152" w:rsidRDefault="00214152">
      <w:r w:rsidRPr="00214152">
        <w:rPr>
          <w:noProof/>
          <w:lang w:eastAsia="de-DE"/>
        </w:rPr>
        <w:drawing>
          <wp:inline distT="0" distB="0" distL="0" distR="0" wp14:anchorId="35543F65" wp14:editId="0986C073">
            <wp:extent cx="5760720" cy="1127760"/>
            <wp:effectExtent l="0" t="0" r="0" b="0"/>
            <wp:docPr id="1" name="Grafik 1" descr="Ein Bild, das Screenshot, Tex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Screenshot, Tex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6EE7" w14:textId="77777777" w:rsidR="00214152" w:rsidRDefault="00214152"/>
    <w:p w14:paraId="1BBD7889" w14:textId="25DC044D" w:rsidR="00FA242B" w:rsidRDefault="00FA242B">
      <w:r>
        <w:t>URL:</w:t>
      </w:r>
    </w:p>
    <w:p w14:paraId="62D9E1E7" w14:textId="4654B4A3" w:rsidR="00FA242B" w:rsidRDefault="00FA242B" w:rsidP="00FA242B">
      <w:r>
        <w:t>Produktivsystem:</w:t>
      </w:r>
    </w:p>
    <w:p w14:paraId="712A164B" w14:textId="7F5B3EFB" w:rsidR="00FA242B" w:rsidRDefault="007F033A" w:rsidP="00FA242B">
      <w:hyperlink r:id="rId6" w:history="1">
        <w:r w:rsidR="00FA242B" w:rsidRPr="00997DFB">
          <w:rPr>
            <w:rStyle w:val="Hyperlink"/>
          </w:rPr>
          <w:t>http://192.168.178.11:7247/ProdDBWS/WS/ATM%20Tornau%20Motoren/Codeunit/ArvaWS</w:t>
        </w:r>
      </w:hyperlink>
    </w:p>
    <w:p w14:paraId="28D662D2" w14:textId="44D5DD10" w:rsidR="00FA242B" w:rsidRDefault="00FA242B" w:rsidP="00FA242B">
      <w:r>
        <w:t>Sandbox Testsystem:</w:t>
      </w:r>
    </w:p>
    <w:p w14:paraId="080BAA19" w14:textId="43EDC936" w:rsidR="00FA242B" w:rsidRDefault="007F033A" w:rsidP="00FA242B">
      <w:hyperlink r:id="rId7" w:history="1">
        <w:r w:rsidR="00FA242B" w:rsidRPr="00997DFB">
          <w:rPr>
            <w:rStyle w:val="Hyperlink"/>
          </w:rPr>
          <w:t>http://192.168.178.11:7547/TestDBUserPW/WS/ATM%20Tornau%20Motoren/Codeunit/ArvaWS</w:t>
        </w:r>
      </w:hyperlink>
      <w:r w:rsidR="00FA242B">
        <w:t xml:space="preserve"> </w:t>
      </w:r>
    </w:p>
    <w:p w14:paraId="1967E57B" w14:textId="77777777" w:rsidR="00FA242B" w:rsidRDefault="00FA242B"/>
    <w:p w14:paraId="15F93AAA" w14:textId="3491813B" w:rsidR="009B2342" w:rsidRDefault="009B2342" w:rsidP="009B2342">
      <w:pPr>
        <w:pStyle w:val="berschrift2"/>
      </w:pPr>
      <w:bookmarkStart w:id="2" w:name="_Toc142902583"/>
      <w:r>
        <w:t>Einrichtungen in der Anwendung</w:t>
      </w:r>
      <w:bookmarkEnd w:id="2"/>
    </w:p>
    <w:p w14:paraId="794FDEF9" w14:textId="19153B78" w:rsidR="00B12EE9" w:rsidRDefault="00B12EE9" w:rsidP="009B2342">
      <w:pPr>
        <w:pStyle w:val="berschrift3"/>
      </w:pPr>
      <w:bookmarkStart w:id="3" w:name="_Toc142902584"/>
      <w:r>
        <w:t>Einrichtung Lagermitarbeiter</w:t>
      </w:r>
      <w:bookmarkEnd w:id="3"/>
    </w:p>
    <w:p w14:paraId="2E3BB5CC" w14:textId="64371DC7" w:rsidR="00B12EE9" w:rsidRDefault="007B5523">
      <w:r>
        <w:t xml:space="preserve">In der Lagermitarbeiter Einrichtung muss für den Standardlagerort </w:t>
      </w:r>
      <w:r w:rsidR="00457842">
        <w:t>des Mitarbeiters</w:t>
      </w:r>
      <w:r>
        <w:t xml:space="preserve"> die Buchblatt Zuordnung erfolgen. Dazu werden Buchblätter für die Umlagerung und für die Zu- /Abgangslagerbuchung benötigt. Die Buchblätter können mittels Auswahldialog über den Lookup ausgewählt werden. </w:t>
      </w:r>
    </w:p>
    <w:p w14:paraId="7BEDCB57" w14:textId="5AFBA13A" w:rsidR="007B5523" w:rsidRDefault="007B5523">
      <w:r w:rsidRPr="0064087E">
        <w:rPr>
          <w:color w:val="FF0000"/>
        </w:rPr>
        <w:t xml:space="preserve">Hinweis: </w:t>
      </w:r>
      <w:r>
        <w:t>Wird kein Buchblatt angegeben erfolgt die Buchung über das Buchblatt welches in der Sortierung des Namens als erstes gefunden wird.</w:t>
      </w:r>
    </w:p>
    <w:p w14:paraId="07C66B48" w14:textId="77B9E6B7" w:rsidR="00B12EE9" w:rsidRDefault="00D83C5A">
      <w:r w:rsidRPr="00D83C5A">
        <w:rPr>
          <w:noProof/>
          <w:lang w:eastAsia="de-DE"/>
        </w:rPr>
        <w:lastRenderedPageBreak/>
        <w:drawing>
          <wp:inline distT="0" distB="0" distL="0" distR="0" wp14:anchorId="31D4F789" wp14:editId="025A5B47">
            <wp:extent cx="5760720" cy="2425700"/>
            <wp:effectExtent l="0" t="0" r="0" b="0"/>
            <wp:docPr id="4" name="Grafik 4" descr="Ein Bild, das Text, Software, Diagramm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oftware, Diagramm, Computersymbo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5D22" w14:textId="77777777" w:rsidR="005D27CF" w:rsidRDefault="005D27CF"/>
    <w:p w14:paraId="582392C8" w14:textId="23D5839C" w:rsidR="005D27CF" w:rsidRDefault="005D27CF" w:rsidP="0095744E">
      <w:pPr>
        <w:pStyle w:val="berschrift3"/>
      </w:pPr>
      <w:bookmarkStart w:id="4" w:name="_Toc142902585"/>
      <w:r>
        <w:t>Nummernserie für Buchblatt</w:t>
      </w:r>
      <w:bookmarkEnd w:id="4"/>
    </w:p>
    <w:p w14:paraId="21828DDE" w14:textId="19BED780" w:rsidR="000D7F11" w:rsidRDefault="000D7F11">
      <w:r>
        <w:t>Für Artikelumlagerung und Zu- /Abgangsbuchung wird eine Nummernserie benötigt, um die Beleg Nr. automatisch zu setzen. Über die Beleg Nr. erfolgt die Buchung im System.</w:t>
      </w:r>
    </w:p>
    <w:p w14:paraId="55F06669" w14:textId="15CD45B2" w:rsidR="005D27CF" w:rsidRDefault="00D83C5A">
      <w:r w:rsidRPr="00D83C5A">
        <w:rPr>
          <w:noProof/>
          <w:lang w:eastAsia="de-DE"/>
        </w:rPr>
        <w:drawing>
          <wp:inline distT="0" distB="0" distL="0" distR="0" wp14:anchorId="7EF785AB" wp14:editId="05868C11">
            <wp:extent cx="5760720" cy="3675380"/>
            <wp:effectExtent l="0" t="0" r="0" b="1270"/>
            <wp:docPr id="3" name="Grafik 3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Software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E0FC" w14:textId="1C6DFDC3" w:rsidR="000D7F11" w:rsidRDefault="000D7F11">
      <w:r w:rsidRPr="00D83C5A">
        <w:rPr>
          <w:noProof/>
          <w:lang w:eastAsia="de-DE"/>
        </w:rPr>
        <w:lastRenderedPageBreak/>
        <w:drawing>
          <wp:inline distT="0" distB="0" distL="0" distR="0" wp14:anchorId="42ACEFFD" wp14:editId="7F7FA80E">
            <wp:extent cx="5410955" cy="2781688"/>
            <wp:effectExtent l="0" t="0" r="0" b="0"/>
            <wp:docPr id="6" name="Grafik 6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Screenshot, Software, Computersymbo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FC0C" w14:textId="77777777" w:rsidR="008F2E8E" w:rsidRDefault="008F2E8E"/>
    <w:p w14:paraId="6EB5829C" w14:textId="27423459" w:rsidR="00BD6A23" w:rsidRDefault="00BD6A23" w:rsidP="0095744E">
      <w:pPr>
        <w:pStyle w:val="berschrift2"/>
      </w:pPr>
      <w:bookmarkStart w:id="5" w:name="_Toc142902586"/>
      <w:r>
        <w:t>Artikel Zu-/Abgangsbuchung</w:t>
      </w:r>
      <w:bookmarkEnd w:id="5"/>
    </w:p>
    <w:p w14:paraId="5E729B40" w14:textId="52AF4F7A" w:rsidR="00BD6A23" w:rsidRDefault="008F2E8E">
      <w:r>
        <w:t>SOAP</w:t>
      </w:r>
      <w:r w:rsidR="005554FC">
        <w:t>-</w:t>
      </w:r>
      <w:r w:rsidR="00BD6A23">
        <w:t>Fu</w:t>
      </w:r>
      <w:r w:rsidR="00B12EE9">
        <w:t>n</w:t>
      </w:r>
      <w:r w:rsidR="00BD6A23">
        <w:t>ktionsbeschreibung:</w:t>
      </w:r>
    </w:p>
    <w:p w14:paraId="3FEA6E3B" w14:textId="23D41FBF" w:rsidR="005554FC" w:rsidRDefault="005554FC">
      <w:r>
        <w:t>Mit dieser Funktion lassen si</w:t>
      </w:r>
      <w:r w:rsidR="000F2A9C">
        <w:t>ch</w:t>
      </w:r>
      <w:r>
        <w:t xml:space="preserve"> Artikel Zu-</w:t>
      </w:r>
      <w:r w:rsidR="000F2A9C">
        <w:t>/</w:t>
      </w:r>
      <w:r>
        <w:t xml:space="preserve">Abgangsbuchungen </w:t>
      </w:r>
      <w:r w:rsidR="000F2A9C">
        <w:t xml:space="preserve">ähnlich </w:t>
      </w:r>
      <w:r>
        <w:t xml:space="preserve">wie </w:t>
      </w:r>
      <w:r w:rsidR="000F2A9C">
        <w:t>es</w:t>
      </w:r>
      <w:r>
        <w:t xml:space="preserve"> der Anwender auch über das Artikelbuchblatt erfass</w:t>
      </w:r>
      <w:r w:rsidR="000F2A9C">
        <w:t xml:space="preserve">en </w:t>
      </w:r>
      <w:r>
        <w:t>und buch</w:t>
      </w:r>
      <w:r w:rsidR="000F2A9C">
        <w:t>en kann</w:t>
      </w:r>
      <w:r>
        <w:t xml:space="preserve"> mittels Webservice durchführen.</w:t>
      </w:r>
    </w:p>
    <w:p w14:paraId="6D365813" w14:textId="580E83FD" w:rsidR="00BD6A23" w:rsidRDefault="00BD6A2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Funktionsname: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AdjustItemInventory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64"/>
        <w:gridCol w:w="1696"/>
        <w:gridCol w:w="5502"/>
      </w:tblGrid>
      <w:tr w:rsidR="00BD6A23" w14:paraId="5F960096" w14:textId="77777777" w:rsidTr="00782285">
        <w:tc>
          <w:tcPr>
            <w:tcW w:w="1864" w:type="dxa"/>
          </w:tcPr>
          <w:p w14:paraId="61B41CC6" w14:textId="7D3B1286" w:rsidR="00BD6A23" w:rsidRDefault="00BD6A23">
            <w:r>
              <w:t>Parametername</w:t>
            </w:r>
          </w:p>
        </w:tc>
        <w:tc>
          <w:tcPr>
            <w:tcW w:w="1696" w:type="dxa"/>
          </w:tcPr>
          <w:p w14:paraId="7646B628" w14:textId="2515615F" w:rsidR="00BD6A23" w:rsidRDefault="00BD6A23">
            <w:r>
              <w:t>Beispielwert</w:t>
            </w:r>
          </w:p>
        </w:tc>
        <w:tc>
          <w:tcPr>
            <w:tcW w:w="5502" w:type="dxa"/>
          </w:tcPr>
          <w:p w14:paraId="604203BB" w14:textId="72104C29" w:rsidR="00BD6A23" w:rsidRDefault="00BD6A23">
            <w:r>
              <w:t>Bemerkung</w:t>
            </w:r>
          </w:p>
        </w:tc>
      </w:tr>
      <w:tr w:rsidR="000C37AB" w14:paraId="44AEF609" w14:textId="77777777" w:rsidTr="00782285">
        <w:tc>
          <w:tcPr>
            <w:tcW w:w="1864" w:type="dxa"/>
          </w:tcPr>
          <w:p w14:paraId="06AA88A9" w14:textId="7767F341" w:rsidR="000C37AB" w:rsidRDefault="000C37AB" w:rsidP="000C37AB">
            <w:proofErr w:type="spellStart"/>
            <w:r>
              <w:t>userName</w:t>
            </w:r>
            <w:proofErr w:type="spellEnd"/>
          </w:p>
        </w:tc>
        <w:tc>
          <w:tcPr>
            <w:tcW w:w="1696" w:type="dxa"/>
          </w:tcPr>
          <w:p w14:paraId="57495F0F" w14:textId="0A57A3A5" w:rsidR="000C37AB" w:rsidRDefault="000C37AB">
            <w:r>
              <w:t>Scanner</w:t>
            </w:r>
          </w:p>
        </w:tc>
        <w:tc>
          <w:tcPr>
            <w:tcW w:w="5502" w:type="dxa"/>
          </w:tcPr>
          <w:p w14:paraId="34D0ADF9" w14:textId="3DEB4407" w:rsidR="000C37AB" w:rsidRDefault="000C37AB">
            <w:r>
              <w:t xml:space="preserve">BC Username. Darüber wird das Buchblatt selektiert. Buchblattname steht auf den Lagerplatzposten und lässt auf den Benutzer schließen. </w:t>
            </w:r>
          </w:p>
        </w:tc>
      </w:tr>
      <w:tr w:rsidR="00BD6A23" w14:paraId="301AA5B0" w14:textId="77777777" w:rsidTr="00782285">
        <w:tc>
          <w:tcPr>
            <w:tcW w:w="1864" w:type="dxa"/>
          </w:tcPr>
          <w:p w14:paraId="18A16AAA" w14:textId="694EFCFF" w:rsidR="00BD6A23" w:rsidRDefault="00BD6A23">
            <w:proofErr w:type="spellStart"/>
            <w:r>
              <w:t>itemNo</w:t>
            </w:r>
            <w:proofErr w:type="spellEnd"/>
          </w:p>
        </w:tc>
        <w:tc>
          <w:tcPr>
            <w:tcW w:w="1696" w:type="dxa"/>
          </w:tcPr>
          <w:p w14:paraId="1A731A6A" w14:textId="62CF2EB8" w:rsidR="00BD6A23" w:rsidRDefault="00BD6A23">
            <w:r>
              <w:t>XY001</w:t>
            </w:r>
          </w:p>
        </w:tc>
        <w:tc>
          <w:tcPr>
            <w:tcW w:w="5502" w:type="dxa"/>
          </w:tcPr>
          <w:p w14:paraId="3A24C808" w14:textId="2A0C7049" w:rsidR="00BD6A23" w:rsidRDefault="00BD6A23">
            <w:r>
              <w:t xml:space="preserve">Artikel Nr. von Dynamics NAV </w:t>
            </w:r>
            <w:r w:rsidR="00457842">
              <w:t>20-stellig</w:t>
            </w:r>
            <w:r>
              <w:t>, Alphanummerisch</w:t>
            </w:r>
          </w:p>
        </w:tc>
      </w:tr>
      <w:tr w:rsidR="00BD6A23" w14:paraId="4FF19E76" w14:textId="77777777" w:rsidTr="00782285">
        <w:tc>
          <w:tcPr>
            <w:tcW w:w="1864" w:type="dxa"/>
          </w:tcPr>
          <w:p w14:paraId="09530F0F" w14:textId="6F46F12A" w:rsidR="00BD6A23" w:rsidRDefault="00BD6A23">
            <w:r>
              <w:t>fromLocationCode</w:t>
            </w:r>
          </w:p>
        </w:tc>
        <w:tc>
          <w:tcPr>
            <w:tcW w:w="1696" w:type="dxa"/>
          </w:tcPr>
          <w:p w14:paraId="5940E954" w14:textId="59DD676D" w:rsidR="00BD6A23" w:rsidRDefault="00BD6A23">
            <w:r>
              <w:t>HL</w:t>
            </w:r>
          </w:p>
        </w:tc>
        <w:tc>
          <w:tcPr>
            <w:tcW w:w="5502" w:type="dxa"/>
          </w:tcPr>
          <w:p w14:paraId="7608DA1F" w14:textId="349D812C" w:rsidR="00BD6A23" w:rsidRDefault="00BD6A23">
            <w:r>
              <w:t xml:space="preserve">Lagerortcode von Dynamics NAV </w:t>
            </w:r>
            <w:r w:rsidR="00457842">
              <w:t>10-stellig</w:t>
            </w:r>
            <w:r>
              <w:t>, Alphanummerisch.</w:t>
            </w:r>
          </w:p>
          <w:p w14:paraId="7A6A0292" w14:textId="033F6A85" w:rsidR="00BD6A23" w:rsidRDefault="00BD6A23">
            <w:r>
              <w:t xml:space="preserve">Hinweis: Bei Verwendung mit Lagerfächern kann der Lagerortcode auch weggelassen werden. Dann wird anhand des Lagefachs automatisch der Lagerort ermittelt. </w:t>
            </w:r>
            <w:r w:rsidR="0064087E" w:rsidRPr="0064087E">
              <w:rPr>
                <w:color w:val="FF0000"/>
              </w:rPr>
              <w:t>Hinweis:</w:t>
            </w:r>
            <w:r w:rsidR="0064087E">
              <w:t xml:space="preserve"> </w:t>
            </w:r>
            <w:r>
              <w:t xml:space="preserve">Falls das Lagerfach mehrfach vorhanden </w:t>
            </w:r>
            <w:r w:rsidR="0064087E">
              <w:t>ist</w:t>
            </w:r>
            <w:r>
              <w:t xml:space="preserve">, wird der erste zugeordnete Lagerort verwendet. </w:t>
            </w:r>
          </w:p>
        </w:tc>
      </w:tr>
      <w:tr w:rsidR="00BD6A23" w14:paraId="1466CB97" w14:textId="77777777" w:rsidTr="00782285">
        <w:tc>
          <w:tcPr>
            <w:tcW w:w="1864" w:type="dxa"/>
          </w:tcPr>
          <w:p w14:paraId="035905CA" w14:textId="35367C51" w:rsidR="00BD6A23" w:rsidRDefault="00BD6A23">
            <w:r>
              <w:t>fromBinCode</w:t>
            </w:r>
          </w:p>
        </w:tc>
        <w:tc>
          <w:tcPr>
            <w:tcW w:w="1696" w:type="dxa"/>
          </w:tcPr>
          <w:p w14:paraId="10CEB76A" w14:textId="1017824C" w:rsidR="00BD6A23" w:rsidRDefault="00BD6A23">
            <w:r>
              <w:t>H1</w:t>
            </w:r>
          </w:p>
        </w:tc>
        <w:tc>
          <w:tcPr>
            <w:tcW w:w="5502" w:type="dxa"/>
          </w:tcPr>
          <w:p w14:paraId="4841C81B" w14:textId="603EA1F2" w:rsidR="00BD6A23" w:rsidRDefault="00BD6A23">
            <w:r>
              <w:t xml:space="preserve">Der Lagerfachcode von Dynamics NAV </w:t>
            </w:r>
            <w:r w:rsidR="00457842">
              <w:t>20-stellig</w:t>
            </w:r>
            <w:r>
              <w:t>, Alphanummer</w:t>
            </w:r>
            <w:r w:rsidR="00C572E6">
              <w:t>isch</w:t>
            </w:r>
            <w:r>
              <w:t>.</w:t>
            </w:r>
          </w:p>
          <w:p w14:paraId="27EC92FC" w14:textId="6A58C1D4" w:rsidR="00C572E6" w:rsidRDefault="00C572E6">
            <w:r>
              <w:t>Bei Verwendung mit Lagerfächern ein Pflichtfeld.</w:t>
            </w:r>
          </w:p>
          <w:p w14:paraId="23564071" w14:textId="00B2ADD6" w:rsidR="00C572E6" w:rsidRDefault="00C572E6">
            <w:r>
              <w:t xml:space="preserve">Ist der Lagerort nicht </w:t>
            </w:r>
            <w:r w:rsidR="00A27239">
              <w:t>Lagerplatz</w:t>
            </w:r>
            <w:r>
              <w:t xml:space="preserve"> geführt, darf </w:t>
            </w:r>
            <w:r w:rsidR="00A27239">
              <w:t>hier</w:t>
            </w:r>
            <w:r>
              <w:t xml:space="preserve"> Lager</w:t>
            </w:r>
            <w:r w:rsidR="00A27239">
              <w:t>platz</w:t>
            </w:r>
            <w:r>
              <w:t xml:space="preserve"> angegeben werden.</w:t>
            </w:r>
          </w:p>
          <w:p w14:paraId="6DA6004F" w14:textId="551C7C03" w:rsidR="00BD6A23" w:rsidRDefault="00BD6A23"/>
        </w:tc>
      </w:tr>
      <w:tr w:rsidR="00BD6A23" w14:paraId="3841A992" w14:textId="77777777" w:rsidTr="00782285">
        <w:tc>
          <w:tcPr>
            <w:tcW w:w="1864" w:type="dxa"/>
          </w:tcPr>
          <w:p w14:paraId="469D211E" w14:textId="554FAB5D" w:rsidR="00BD6A23" w:rsidRDefault="0089647C">
            <w:r>
              <w:t>q</w:t>
            </w:r>
            <w:r w:rsidR="00BD6A23">
              <w:t>uantity</w:t>
            </w:r>
          </w:p>
        </w:tc>
        <w:tc>
          <w:tcPr>
            <w:tcW w:w="1696" w:type="dxa"/>
          </w:tcPr>
          <w:p w14:paraId="0D51ABBF" w14:textId="7E90FDB6" w:rsidR="00BD6A23" w:rsidRDefault="00BD6A23">
            <w:r>
              <w:t>2</w:t>
            </w:r>
          </w:p>
        </w:tc>
        <w:tc>
          <w:tcPr>
            <w:tcW w:w="5502" w:type="dxa"/>
          </w:tcPr>
          <w:p w14:paraId="1675977F" w14:textId="2608B683" w:rsidR="00BD6A23" w:rsidRDefault="00BD6A23">
            <w:r>
              <w:t>Die Menge die Zu-</w:t>
            </w:r>
            <w:r w:rsidR="006A342B">
              <w:t>/</w:t>
            </w:r>
            <w:r>
              <w:t xml:space="preserve">Abgebucht werden soll. Positive Mengenangaben bedeuten Artikelzugang, Negative Mengen bedeuten Artikelabgang. </w:t>
            </w:r>
          </w:p>
        </w:tc>
      </w:tr>
      <w:tr w:rsidR="00BD6A23" w14:paraId="588E483A" w14:textId="77777777" w:rsidTr="00782285">
        <w:tc>
          <w:tcPr>
            <w:tcW w:w="1864" w:type="dxa"/>
          </w:tcPr>
          <w:p w14:paraId="4A1315FD" w14:textId="01A0DB0B" w:rsidR="00BD6A23" w:rsidRDefault="00BD6A23">
            <w:r>
              <w:t>serialNumber</w:t>
            </w:r>
          </w:p>
        </w:tc>
        <w:tc>
          <w:tcPr>
            <w:tcW w:w="1696" w:type="dxa"/>
          </w:tcPr>
          <w:p w14:paraId="6FBB2877" w14:textId="690888A2" w:rsidR="00BD6A23" w:rsidRDefault="00BD6A23">
            <w:r>
              <w:t>Test001|Test002</w:t>
            </w:r>
          </w:p>
        </w:tc>
        <w:tc>
          <w:tcPr>
            <w:tcW w:w="5502" w:type="dxa"/>
          </w:tcPr>
          <w:p w14:paraId="380B6E20" w14:textId="62E794B7" w:rsidR="00BD6A23" w:rsidRDefault="00BD6A23">
            <w:r>
              <w:t>Seriennummer</w:t>
            </w:r>
            <w:r w:rsidR="00F44C12">
              <w:t>-/</w:t>
            </w:r>
            <w:r>
              <w:t>Chargengeführt</w:t>
            </w:r>
            <w:r w:rsidR="00F44C12">
              <w:t>e Artikel.</w:t>
            </w:r>
            <w:r>
              <w:t xml:space="preserve"> </w:t>
            </w:r>
            <w:r w:rsidR="00F44C12">
              <w:t xml:space="preserve">Hier </w:t>
            </w:r>
            <w:r>
              <w:t xml:space="preserve">muss </w:t>
            </w:r>
            <w:r w:rsidR="00F44C12">
              <w:t xml:space="preserve">eine </w:t>
            </w:r>
            <w:r>
              <w:t>Seriennummer</w:t>
            </w:r>
            <w:r w:rsidR="00F44C12">
              <w:t>/Chargennummer</w:t>
            </w:r>
            <w:r>
              <w:t xml:space="preserve"> angegeben werden. </w:t>
            </w:r>
          </w:p>
          <w:p w14:paraId="6EF217F7" w14:textId="0C1F1DF5" w:rsidR="00BD6A23" w:rsidRDefault="00BD6A23">
            <w:r>
              <w:t>Mehrere Seriennummern können mittels „|“ Zeichen angegeben werden.</w:t>
            </w:r>
          </w:p>
        </w:tc>
      </w:tr>
      <w:tr w:rsidR="007C2736" w14:paraId="6120D97C" w14:textId="77777777" w:rsidTr="00782285">
        <w:tc>
          <w:tcPr>
            <w:tcW w:w="1864" w:type="dxa"/>
          </w:tcPr>
          <w:p w14:paraId="348F14F3" w14:textId="18238A4F" w:rsidR="007C2736" w:rsidRDefault="007C2736">
            <w:r>
              <w:lastRenderedPageBreak/>
              <w:t>causeCode</w:t>
            </w:r>
          </w:p>
        </w:tc>
        <w:tc>
          <w:tcPr>
            <w:tcW w:w="1696" w:type="dxa"/>
          </w:tcPr>
          <w:p w14:paraId="70238770" w14:textId="77777777" w:rsidR="007C2736" w:rsidRDefault="007C2736"/>
        </w:tc>
        <w:tc>
          <w:tcPr>
            <w:tcW w:w="5502" w:type="dxa"/>
          </w:tcPr>
          <w:p w14:paraId="2A66E14A" w14:textId="33ECCE90" w:rsidR="007C2736" w:rsidRDefault="007C2736">
            <w:r>
              <w:t xml:space="preserve">Ursachencode. </w:t>
            </w:r>
            <w:r w:rsidR="00457842">
              <w:t>10-stelliger</w:t>
            </w:r>
            <w:r>
              <w:t xml:space="preserve"> Alphanummerischer Wert. Hierüber kann ein Ursachencode für die Zu- /Abgangsbuchung angegeben werden, um die Buchung zu </w:t>
            </w:r>
            <w:r w:rsidR="00CA015B">
              <w:t>kategorisieren</w:t>
            </w:r>
            <w:r>
              <w:t>, wieso z.B. der Abgang gebucht wurde.</w:t>
            </w:r>
            <w:r w:rsidR="005D3762">
              <w:t xml:space="preserve"> </w:t>
            </w:r>
            <w:r w:rsidR="00622424">
              <w:t>Die möglichen Werte</w:t>
            </w:r>
            <w:r w:rsidR="005D3762">
              <w:t xml:space="preserve"> können in der Liste „Ursachencodes“ im System festgelegt werden.</w:t>
            </w:r>
          </w:p>
          <w:p w14:paraId="1E0FD9BD" w14:textId="157A05D0" w:rsidR="00622424" w:rsidRDefault="00622424">
            <w:r w:rsidRPr="00622424">
              <w:rPr>
                <w:noProof/>
                <w:lang w:eastAsia="de-DE"/>
              </w:rPr>
              <w:drawing>
                <wp:inline distT="0" distB="0" distL="0" distR="0" wp14:anchorId="053DBCC8" wp14:editId="51950023">
                  <wp:extent cx="3294758" cy="1901241"/>
                  <wp:effectExtent l="0" t="0" r="1270" b="381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39" cy="190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23" w14:paraId="19C31017" w14:textId="77777777" w:rsidTr="00782285">
        <w:tc>
          <w:tcPr>
            <w:tcW w:w="1864" w:type="dxa"/>
          </w:tcPr>
          <w:p w14:paraId="6575CFAE" w14:textId="3C872A1B" w:rsidR="00BD6A23" w:rsidRDefault="00BD6A23">
            <w:r>
              <w:t>postNow</w:t>
            </w:r>
          </w:p>
        </w:tc>
        <w:tc>
          <w:tcPr>
            <w:tcW w:w="1696" w:type="dxa"/>
          </w:tcPr>
          <w:p w14:paraId="44D13ADF" w14:textId="76508429" w:rsidR="00BD6A23" w:rsidRDefault="00BD6A23">
            <w:r>
              <w:t>True</w:t>
            </w:r>
          </w:p>
        </w:tc>
        <w:tc>
          <w:tcPr>
            <w:tcW w:w="5502" w:type="dxa"/>
          </w:tcPr>
          <w:p w14:paraId="1539C217" w14:textId="66721182" w:rsidR="00BD6A23" w:rsidRDefault="00BD6A23">
            <w:r>
              <w:t>Werte „true“ oder „false“. Hierüber kann gesteuert werden, ob die Zu- Abgangsbuchung sofort durchgeführt werden soll.</w:t>
            </w:r>
          </w:p>
          <w:p w14:paraId="19D5FE79" w14:textId="38D32151" w:rsidR="00BD6A23" w:rsidRDefault="00BD6A23">
            <w:r>
              <w:t>Bei dem Wert „false“ wird lediglich eine Buchblattzeile erstellt, aber nicht gebucht.</w:t>
            </w:r>
          </w:p>
          <w:p w14:paraId="56C9E0D4" w14:textId="4BB49B0E" w:rsidR="00BD6A23" w:rsidRDefault="00BD6A23"/>
        </w:tc>
      </w:tr>
    </w:tbl>
    <w:p w14:paraId="522FE00E" w14:textId="77777777" w:rsidR="00BD6A23" w:rsidRDefault="00BD6A23"/>
    <w:p w14:paraId="15FC58B2" w14:textId="480A497A" w:rsidR="0095744E" w:rsidRDefault="0095744E" w:rsidP="0095744E">
      <w:pPr>
        <w:pStyle w:val="berschrift2"/>
      </w:pPr>
      <w:bookmarkStart w:id="6" w:name="_Toc142902587"/>
      <w:r>
        <w:t>Artikel Umlagerungsbuchung</w:t>
      </w:r>
      <w:r w:rsidR="00D031F6">
        <w:t>en</w:t>
      </w:r>
      <w:bookmarkEnd w:id="6"/>
    </w:p>
    <w:p w14:paraId="12CAE645" w14:textId="306B0DC7" w:rsidR="00301FFB" w:rsidRDefault="00CE2C71" w:rsidP="00301FFB">
      <w:r>
        <w:t>SOAP</w:t>
      </w:r>
      <w:r w:rsidR="005554FC">
        <w:t>-</w:t>
      </w:r>
      <w:r w:rsidR="00301FFB">
        <w:t>Funktionsbeschreibung:</w:t>
      </w:r>
    </w:p>
    <w:p w14:paraId="19C3541D" w14:textId="6E2A18FF" w:rsidR="00F56CC4" w:rsidRDefault="00143703">
      <w:r>
        <w:t>Mit der Funktion lassen sie Artikelumbuchungen wie sie der Anwender auch über das Artikel Umlagerungsbuchblatt erfasst und bucht mittels Webservice durchführen.</w:t>
      </w:r>
    </w:p>
    <w:p w14:paraId="13CC303D" w14:textId="77777777" w:rsidR="00F56CC4" w:rsidRDefault="00F56CC4"/>
    <w:p w14:paraId="18BCF1F5" w14:textId="2E326AE7" w:rsidR="00F56CC4" w:rsidRDefault="00F56CC4" w:rsidP="00F56CC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Funktionsname: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TransferItemInventory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3"/>
        <w:gridCol w:w="1696"/>
        <w:gridCol w:w="4963"/>
      </w:tblGrid>
      <w:tr w:rsidR="001B59AA" w14:paraId="59F90963" w14:textId="77777777" w:rsidTr="001B59AA">
        <w:tc>
          <w:tcPr>
            <w:tcW w:w="2403" w:type="dxa"/>
          </w:tcPr>
          <w:p w14:paraId="239AF1B6" w14:textId="77777777" w:rsidR="00F56CC4" w:rsidRDefault="00F56CC4" w:rsidP="001603BB">
            <w:r>
              <w:t>Parametername</w:t>
            </w:r>
          </w:p>
        </w:tc>
        <w:tc>
          <w:tcPr>
            <w:tcW w:w="1696" w:type="dxa"/>
          </w:tcPr>
          <w:p w14:paraId="0A37A551" w14:textId="77777777" w:rsidR="00F56CC4" w:rsidRDefault="00F56CC4" w:rsidP="001603BB">
            <w:r>
              <w:t>Beispielwert</w:t>
            </w:r>
          </w:p>
        </w:tc>
        <w:tc>
          <w:tcPr>
            <w:tcW w:w="4963" w:type="dxa"/>
          </w:tcPr>
          <w:p w14:paraId="13CDD1DF" w14:textId="77777777" w:rsidR="00F56CC4" w:rsidRDefault="00F56CC4" w:rsidP="001603BB">
            <w:r>
              <w:t>Bemerkung</w:t>
            </w:r>
          </w:p>
        </w:tc>
      </w:tr>
      <w:tr w:rsidR="007F033A" w14:paraId="39C9561C" w14:textId="77777777" w:rsidTr="001B59AA">
        <w:tc>
          <w:tcPr>
            <w:tcW w:w="2403" w:type="dxa"/>
          </w:tcPr>
          <w:p w14:paraId="1564FFAF" w14:textId="72E91A30" w:rsidR="007F033A" w:rsidRDefault="007F033A" w:rsidP="001603BB">
            <w:proofErr w:type="spellStart"/>
            <w:r>
              <w:t>userName</w:t>
            </w:r>
            <w:proofErr w:type="spellEnd"/>
          </w:p>
        </w:tc>
        <w:tc>
          <w:tcPr>
            <w:tcW w:w="1696" w:type="dxa"/>
          </w:tcPr>
          <w:p w14:paraId="5EB1A8B3" w14:textId="04ACB021" w:rsidR="007F033A" w:rsidRDefault="007F033A" w:rsidP="001603BB">
            <w:r>
              <w:t>Scanner</w:t>
            </w:r>
          </w:p>
        </w:tc>
        <w:tc>
          <w:tcPr>
            <w:tcW w:w="4963" w:type="dxa"/>
          </w:tcPr>
          <w:p w14:paraId="60A1C9D8" w14:textId="4F911C63" w:rsidR="007F033A" w:rsidRDefault="007F033A" w:rsidP="001603BB">
            <w:r>
              <w:t>BC Username. Darüber wird das Buchblatt selektiert. Buchblattname steht auf den Lagerplatzposten und lässt auf den Benutzer schließen.</w:t>
            </w:r>
          </w:p>
        </w:tc>
      </w:tr>
      <w:tr w:rsidR="001B59AA" w14:paraId="74CE6C6A" w14:textId="77777777" w:rsidTr="001B59AA">
        <w:tc>
          <w:tcPr>
            <w:tcW w:w="2403" w:type="dxa"/>
          </w:tcPr>
          <w:p w14:paraId="41EA0FB4" w14:textId="77777777" w:rsidR="00F56CC4" w:rsidRDefault="00F56CC4" w:rsidP="001603BB">
            <w:proofErr w:type="spellStart"/>
            <w:r>
              <w:t>itemNo</w:t>
            </w:r>
            <w:proofErr w:type="spellEnd"/>
          </w:p>
        </w:tc>
        <w:tc>
          <w:tcPr>
            <w:tcW w:w="1696" w:type="dxa"/>
          </w:tcPr>
          <w:p w14:paraId="4B694614" w14:textId="77777777" w:rsidR="00F56CC4" w:rsidRDefault="00F56CC4" w:rsidP="001603BB">
            <w:r>
              <w:t>XY001</w:t>
            </w:r>
          </w:p>
        </w:tc>
        <w:tc>
          <w:tcPr>
            <w:tcW w:w="4963" w:type="dxa"/>
          </w:tcPr>
          <w:p w14:paraId="20B2575E" w14:textId="6684CC50" w:rsidR="00F56CC4" w:rsidRDefault="00F56CC4" w:rsidP="001603BB">
            <w:r>
              <w:t xml:space="preserve">Artikel Nr. von Dynamics NAV </w:t>
            </w:r>
            <w:r w:rsidR="00457842">
              <w:t>20-stellig</w:t>
            </w:r>
            <w:r>
              <w:t>, Alphanummerisch</w:t>
            </w:r>
          </w:p>
        </w:tc>
      </w:tr>
      <w:tr w:rsidR="001B59AA" w14:paraId="073E2B8D" w14:textId="77777777" w:rsidTr="001B59AA">
        <w:tc>
          <w:tcPr>
            <w:tcW w:w="2403" w:type="dxa"/>
          </w:tcPr>
          <w:p w14:paraId="2E221259" w14:textId="77777777" w:rsidR="00F56CC4" w:rsidRDefault="00F56CC4" w:rsidP="001603BB">
            <w:r>
              <w:t>fromLocationCode</w:t>
            </w:r>
          </w:p>
        </w:tc>
        <w:tc>
          <w:tcPr>
            <w:tcW w:w="1696" w:type="dxa"/>
          </w:tcPr>
          <w:p w14:paraId="6C26B346" w14:textId="77777777" w:rsidR="00F56CC4" w:rsidRDefault="00F56CC4" w:rsidP="001603BB">
            <w:r>
              <w:t>HL</w:t>
            </w:r>
            <w:bookmarkStart w:id="7" w:name="_GoBack"/>
            <w:bookmarkEnd w:id="7"/>
          </w:p>
        </w:tc>
        <w:tc>
          <w:tcPr>
            <w:tcW w:w="4963" w:type="dxa"/>
          </w:tcPr>
          <w:p w14:paraId="23B8878E" w14:textId="7B2EBDEC" w:rsidR="00F56CC4" w:rsidRDefault="00F56CC4" w:rsidP="001603BB">
            <w:r>
              <w:t xml:space="preserve">Lagerortcode von Dynamics NAV </w:t>
            </w:r>
            <w:r w:rsidR="00AE68FD">
              <w:t>10-stelliger</w:t>
            </w:r>
            <w:r>
              <w:t>, Alphanummerisch.</w:t>
            </w:r>
          </w:p>
          <w:p w14:paraId="793527A0" w14:textId="06DF5CED" w:rsidR="00F56CC4" w:rsidRDefault="00F56CC4" w:rsidP="001603BB">
            <w:r w:rsidRPr="006A342B">
              <w:rPr>
                <w:color w:val="FF0000"/>
              </w:rPr>
              <w:t xml:space="preserve">Hinweis: </w:t>
            </w:r>
            <w:r>
              <w:t xml:space="preserve">Bei Verwendung mit Lagerfächern kann der Lagerortcode auch weggelassen werden. Dann wird anhand des Lagefachs automatisch der Lagerort ermittelt. Falls das Lagerfach mehrfach vorhanden </w:t>
            </w:r>
            <w:r w:rsidR="006A342B">
              <w:t>ist</w:t>
            </w:r>
            <w:r>
              <w:t xml:space="preserve">, wird der erste zugeordnete Lagerort verwendet. </w:t>
            </w:r>
          </w:p>
        </w:tc>
      </w:tr>
      <w:tr w:rsidR="001B59AA" w14:paraId="171148D6" w14:textId="77777777" w:rsidTr="001B59AA">
        <w:tc>
          <w:tcPr>
            <w:tcW w:w="2403" w:type="dxa"/>
          </w:tcPr>
          <w:p w14:paraId="77196E9A" w14:textId="77777777" w:rsidR="00F56CC4" w:rsidRDefault="00F56CC4" w:rsidP="001603BB">
            <w:r>
              <w:t>fromBinCode</w:t>
            </w:r>
          </w:p>
        </w:tc>
        <w:tc>
          <w:tcPr>
            <w:tcW w:w="1696" w:type="dxa"/>
          </w:tcPr>
          <w:p w14:paraId="25B4F47F" w14:textId="77777777" w:rsidR="00F56CC4" w:rsidRDefault="00F56CC4" w:rsidP="001603BB">
            <w:r>
              <w:t>H1</w:t>
            </w:r>
          </w:p>
        </w:tc>
        <w:tc>
          <w:tcPr>
            <w:tcW w:w="4963" w:type="dxa"/>
          </w:tcPr>
          <w:p w14:paraId="2A146B01" w14:textId="6492A51B" w:rsidR="00F56CC4" w:rsidRDefault="00F56CC4" w:rsidP="001603BB">
            <w:r>
              <w:t>Der Lagerfachcode von Dynamics NAV 20</w:t>
            </w:r>
            <w:r w:rsidR="00AE68FD">
              <w:t>-s</w:t>
            </w:r>
            <w:r>
              <w:t>tellig</w:t>
            </w:r>
            <w:r w:rsidR="00AE68FD">
              <w:t>er</w:t>
            </w:r>
            <w:r>
              <w:t>, Alphanummerisch.</w:t>
            </w:r>
          </w:p>
          <w:p w14:paraId="6C59C80C" w14:textId="77777777" w:rsidR="00F56CC4" w:rsidRDefault="00F56CC4" w:rsidP="001603BB">
            <w:r>
              <w:t>Bei Verwendung mit Lagerfächern ein Pflichtfeld.</w:t>
            </w:r>
          </w:p>
          <w:p w14:paraId="4B5C6786" w14:textId="0BDFF84C" w:rsidR="00F56CC4" w:rsidRDefault="00F56CC4" w:rsidP="001603BB">
            <w:r>
              <w:t xml:space="preserve">Ist der Lagerort nicht </w:t>
            </w:r>
            <w:r w:rsidR="00FD35E4">
              <w:t>Lagerplatz</w:t>
            </w:r>
            <w:r>
              <w:t xml:space="preserve"> geführt, darf kein Lagerfach angegeben werden.</w:t>
            </w:r>
          </w:p>
          <w:p w14:paraId="32FC6090" w14:textId="77777777" w:rsidR="00F56CC4" w:rsidRDefault="00F56CC4" w:rsidP="001603BB"/>
        </w:tc>
      </w:tr>
      <w:tr w:rsidR="00AE68FD" w14:paraId="68FE625C" w14:textId="77777777" w:rsidTr="001B59AA">
        <w:tc>
          <w:tcPr>
            <w:tcW w:w="2403" w:type="dxa"/>
          </w:tcPr>
          <w:p w14:paraId="46A7F7B0" w14:textId="0A59336B" w:rsidR="00AE68FD" w:rsidRDefault="00AE68FD" w:rsidP="001603BB">
            <w:r>
              <w:lastRenderedPageBreak/>
              <w:t>toLocationCode</w:t>
            </w:r>
          </w:p>
        </w:tc>
        <w:tc>
          <w:tcPr>
            <w:tcW w:w="1696" w:type="dxa"/>
          </w:tcPr>
          <w:p w14:paraId="34D5E2CB" w14:textId="491D8EC5" w:rsidR="00AE68FD" w:rsidRDefault="00AE68FD" w:rsidP="001603BB">
            <w:r>
              <w:t>SPERR</w:t>
            </w:r>
          </w:p>
        </w:tc>
        <w:tc>
          <w:tcPr>
            <w:tcW w:w="4963" w:type="dxa"/>
          </w:tcPr>
          <w:p w14:paraId="0C6A6702" w14:textId="48948BF8" w:rsidR="00AE68FD" w:rsidRDefault="00AE68FD" w:rsidP="001603BB">
            <w:r>
              <w:t>Ziellagerort worauf umgebucht werden soll. 10-stelliger Alphanummerischer Wert.</w:t>
            </w:r>
          </w:p>
        </w:tc>
      </w:tr>
      <w:tr w:rsidR="00AE68FD" w14:paraId="5E72FCBD" w14:textId="77777777" w:rsidTr="001B59AA">
        <w:tc>
          <w:tcPr>
            <w:tcW w:w="2403" w:type="dxa"/>
          </w:tcPr>
          <w:p w14:paraId="5E5B5FB1" w14:textId="4ADE0DDA" w:rsidR="00AE68FD" w:rsidRDefault="00AE68FD" w:rsidP="001603BB">
            <w:r>
              <w:t>toBinCode</w:t>
            </w:r>
          </w:p>
        </w:tc>
        <w:tc>
          <w:tcPr>
            <w:tcW w:w="1696" w:type="dxa"/>
          </w:tcPr>
          <w:p w14:paraId="7272F32C" w14:textId="77777777" w:rsidR="00AE68FD" w:rsidRDefault="00AE68FD" w:rsidP="001603BB"/>
        </w:tc>
        <w:tc>
          <w:tcPr>
            <w:tcW w:w="4963" w:type="dxa"/>
          </w:tcPr>
          <w:p w14:paraId="3EE7D213" w14:textId="77777777" w:rsidR="00AE68FD" w:rsidRDefault="00AE68FD" w:rsidP="001603BB"/>
        </w:tc>
      </w:tr>
      <w:tr w:rsidR="00AE68FD" w14:paraId="4702642E" w14:textId="77777777" w:rsidTr="001B59AA">
        <w:tc>
          <w:tcPr>
            <w:tcW w:w="2403" w:type="dxa"/>
          </w:tcPr>
          <w:p w14:paraId="1DF7A68F" w14:textId="6ED26197" w:rsidR="00AE68FD" w:rsidRDefault="00AE68FD" w:rsidP="001603BB">
            <w:r>
              <w:t>makeTargetBinAsDefault</w:t>
            </w:r>
          </w:p>
        </w:tc>
        <w:tc>
          <w:tcPr>
            <w:tcW w:w="1696" w:type="dxa"/>
          </w:tcPr>
          <w:p w14:paraId="40BD7678" w14:textId="278D9CF6" w:rsidR="00AE68FD" w:rsidRDefault="00AE68FD" w:rsidP="001603BB">
            <w:r>
              <w:t>True</w:t>
            </w:r>
          </w:p>
        </w:tc>
        <w:tc>
          <w:tcPr>
            <w:tcW w:w="4963" w:type="dxa"/>
          </w:tcPr>
          <w:p w14:paraId="3F76AE1D" w14:textId="37EB5C46" w:rsidR="00AE68FD" w:rsidRDefault="00AE68FD" w:rsidP="001603BB">
            <w:r>
              <w:t xml:space="preserve">„true“ oder „false“. Hiermit kann gesteuert </w:t>
            </w:r>
            <w:r w:rsidR="00457842">
              <w:t>werden,</w:t>
            </w:r>
            <w:r>
              <w:t xml:space="preserve"> ob das Ziellagerfach als </w:t>
            </w:r>
            <w:r w:rsidR="00750880">
              <w:t>neuer Standardwert</w:t>
            </w:r>
            <w:r>
              <w:t xml:space="preserve"> gesetzt werden soll.</w:t>
            </w:r>
          </w:p>
        </w:tc>
      </w:tr>
      <w:tr w:rsidR="001B59AA" w14:paraId="15AB1258" w14:textId="77777777" w:rsidTr="001B59AA">
        <w:tc>
          <w:tcPr>
            <w:tcW w:w="2403" w:type="dxa"/>
          </w:tcPr>
          <w:p w14:paraId="0D23E906" w14:textId="3690473E" w:rsidR="00F56CC4" w:rsidRDefault="00B11043" w:rsidP="001603BB">
            <w:r>
              <w:t>q</w:t>
            </w:r>
            <w:r w:rsidR="00F56CC4">
              <w:t>uantity</w:t>
            </w:r>
          </w:p>
        </w:tc>
        <w:tc>
          <w:tcPr>
            <w:tcW w:w="1696" w:type="dxa"/>
          </w:tcPr>
          <w:p w14:paraId="35AF5642" w14:textId="77777777" w:rsidR="00F56CC4" w:rsidRDefault="00F56CC4" w:rsidP="001603BB">
            <w:r>
              <w:t>2</w:t>
            </w:r>
          </w:p>
        </w:tc>
        <w:tc>
          <w:tcPr>
            <w:tcW w:w="4963" w:type="dxa"/>
          </w:tcPr>
          <w:p w14:paraId="228CFBF8" w14:textId="16D8AAB8" w:rsidR="00F56CC4" w:rsidRDefault="00F56CC4" w:rsidP="001603BB">
            <w:r>
              <w:t>Die Menge die</w:t>
            </w:r>
            <w:r w:rsidR="00AE68FD">
              <w:t xml:space="preserve"> Umgebucht werden soll</w:t>
            </w:r>
            <w:r>
              <w:t>.</w:t>
            </w:r>
            <w:r w:rsidR="00AE68FD">
              <w:t xml:space="preserve"> Nur Positive Mengen erlaubt.</w:t>
            </w:r>
            <w:r>
              <w:t xml:space="preserve"> </w:t>
            </w:r>
          </w:p>
        </w:tc>
      </w:tr>
      <w:tr w:rsidR="001B59AA" w14:paraId="6DEFEFF6" w14:textId="77777777" w:rsidTr="001B59AA">
        <w:tc>
          <w:tcPr>
            <w:tcW w:w="2403" w:type="dxa"/>
          </w:tcPr>
          <w:p w14:paraId="5EEB64C0" w14:textId="77777777" w:rsidR="00F56CC4" w:rsidRDefault="00F56CC4" w:rsidP="001603BB">
            <w:r>
              <w:t>serialNumber</w:t>
            </w:r>
          </w:p>
        </w:tc>
        <w:tc>
          <w:tcPr>
            <w:tcW w:w="1696" w:type="dxa"/>
          </w:tcPr>
          <w:p w14:paraId="07850F17" w14:textId="77777777" w:rsidR="00F56CC4" w:rsidRDefault="00F56CC4" w:rsidP="001603BB">
            <w:r>
              <w:t>Test001|Test002</w:t>
            </w:r>
          </w:p>
        </w:tc>
        <w:tc>
          <w:tcPr>
            <w:tcW w:w="4963" w:type="dxa"/>
          </w:tcPr>
          <w:p w14:paraId="16A0AA11" w14:textId="77777777" w:rsidR="00F56CC4" w:rsidRDefault="00F56CC4" w:rsidP="001603BB">
            <w:r>
              <w:t xml:space="preserve">Bei Artikel die Seriennummer oder Chargen geführt sind, muss je nachdem wie das System konfiguriert ist, das die Seriennummer bei Zu- oder/und Abgang angegeben werden. </w:t>
            </w:r>
          </w:p>
          <w:p w14:paraId="2CA9174F" w14:textId="77777777" w:rsidR="00F56CC4" w:rsidRDefault="00F56CC4" w:rsidP="001603BB">
            <w:r>
              <w:t>Mehrere Seriennummern können mittels „|“ Zeichen angegeben werden.</w:t>
            </w:r>
          </w:p>
        </w:tc>
      </w:tr>
      <w:tr w:rsidR="001B59AA" w14:paraId="25E8BDA5" w14:textId="77777777" w:rsidTr="001B59AA">
        <w:tc>
          <w:tcPr>
            <w:tcW w:w="2403" w:type="dxa"/>
          </w:tcPr>
          <w:p w14:paraId="42746E99" w14:textId="77777777" w:rsidR="00F56CC4" w:rsidRDefault="00F56CC4" w:rsidP="001603BB">
            <w:r>
              <w:t>postNow</w:t>
            </w:r>
          </w:p>
        </w:tc>
        <w:tc>
          <w:tcPr>
            <w:tcW w:w="1696" w:type="dxa"/>
          </w:tcPr>
          <w:p w14:paraId="07C3BEA0" w14:textId="77777777" w:rsidR="00F56CC4" w:rsidRDefault="00F56CC4" w:rsidP="001603BB">
            <w:r>
              <w:t>True</w:t>
            </w:r>
          </w:p>
        </w:tc>
        <w:tc>
          <w:tcPr>
            <w:tcW w:w="4963" w:type="dxa"/>
          </w:tcPr>
          <w:p w14:paraId="7B74A7D5" w14:textId="77777777" w:rsidR="00F56CC4" w:rsidRDefault="00F56CC4" w:rsidP="001603BB">
            <w:r>
              <w:t>Werte „true“ oder „false“. Hierüber kann gesteuert werden, ob die Zu- Abgangsbuchung sofort durchgeführt werden soll.</w:t>
            </w:r>
          </w:p>
          <w:p w14:paraId="4557A0EC" w14:textId="77777777" w:rsidR="00F56CC4" w:rsidRDefault="00F56CC4" w:rsidP="001603BB">
            <w:r>
              <w:t>Bei dem Wert „false“ wird lediglich eine Buchblattzeile erstellt, aber nicht gebucht.</w:t>
            </w:r>
          </w:p>
          <w:p w14:paraId="4DC55207" w14:textId="77777777" w:rsidR="00F56CC4" w:rsidRDefault="00F56CC4" w:rsidP="001603BB"/>
        </w:tc>
      </w:tr>
    </w:tbl>
    <w:p w14:paraId="4C133AA0" w14:textId="77777777" w:rsidR="00F56CC4" w:rsidRDefault="00F56CC4"/>
    <w:sectPr w:rsidR="00F56C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23"/>
    <w:rsid w:val="000C37AB"/>
    <w:rsid w:val="000D7F11"/>
    <w:rsid w:val="000F2A9C"/>
    <w:rsid w:val="00143703"/>
    <w:rsid w:val="001B59AA"/>
    <w:rsid w:val="00214152"/>
    <w:rsid w:val="00266C50"/>
    <w:rsid w:val="002836A7"/>
    <w:rsid w:val="00301FFB"/>
    <w:rsid w:val="003B6C24"/>
    <w:rsid w:val="00424A9E"/>
    <w:rsid w:val="00457842"/>
    <w:rsid w:val="00495B3C"/>
    <w:rsid w:val="005554FC"/>
    <w:rsid w:val="005A0CF8"/>
    <w:rsid w:val="005B0F3B"/>
    <w:rsid w:val="005D27CF"/>
    <w:rsid w:val="005D3762"/>
    <w:rsid w:val="00622424"/>
    <w:rsid w:val="0064087E"/>
    <w:rsid w:val="00697158"/>
    <w:rsid w:val="006A0AF1"/>
    <w:rsid w:val="006A342B"/>
    <w:rsid w:val="006E780E"/>
    <w:rsid w:val="00750880"/>
    <w:rsid w:val="00782285"/>
    <w:rsid w:val="007B2099"/>
    <w:rsid w:val="007B5523"/>
    <w:rsid w:val="007C2736"/>
    <w:rsid w:val="007F033A"/>
    <w:rsid w:val="0083213B"/>
    <w:rsid w:val="0089647C"/>
    <w:rsid w:val="008F2E8E"/>
    <w:rsid w:val="0095744E"/>
    <w:rsid w:val="009B2342"/>
    <w:rsid w:val="009C6FDD"/>
    <w:rsid w:val="00A27239"/>
    <w:rsid w:val="00AE68FD"/>
    <w:rsid w:val="00B11043"/>
    <w:rsid w:val="00B12EE9"/>
    <w:rsid w:val="00B22320"/>
    <w:rsid w:val="00B62315"/>
    <w:rsid w:val="00B62AA7"/>
    <w:rsid w:val="00BD6A23"/>
    <w:rsid w:val="00BF4D2D"/>
    <w:rsid w:val="00C047EA"/>
    <w:rsid w:val="00C572E6"/>
    <w:rsid w:val="00C86A62"/>
    <w:rsid w:val="00CA015B"/>
    <w:rsid w:val="00CE2C71"/>
    <w:rsid w:val="00D031F6"/>
    <w:rsid w:val="00D7263F"/>
    <w:rsid w:val="00D80677"/>
    <w:rsid w:val="00D83C5A"/>
    <w:rsid w:val="00E702B8"/>
    <w:rsid w:val="00F44C12"/>
    <w:rsid w:val="00F56CC4"/>
    <w:rsid w:val="00FA242B"/>
    <w:rsid w:val="00FB60D3"/>
    <w:rsid w:val="00FD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A212"/>
  <w15:chartTrackingRefBased/>
  <w15:docId w15:val="{8BDA68F5-BE37-4BF3-A5FF-9BD42BE7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1FFB"/>
  </w:style>
  <w:style w:type="paragraph" w:styleId="berschrift1">
    <w:name w:val="heading 1"/>
    <w:basedOn w:val="Standard"/>
    <w:next w:val="Standard"/>
    <w:link w:val="berschrift1Zchn"/>
    <w:uiPriority w:val="9"/>
    <w:qFormat/>
    <w:rsid w:val="00C8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6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57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6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86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6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7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7158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69715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9715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9715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97158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FA2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178.11:7547/TestDBUserPW/WS/ATM%20Tornau%20Motoren/Codeunit/Arva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78.11:7247/ProdDBWS/WS/ATM%20Tornau%20Motoren/Codeunit/ArvaW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34EB7-BFB7-4A6E-A342-5EB5AA7D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841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Albrecht</dc:creator>
  <cp:keywords/>
  <dc:description/>
  <cp:lastModifiedBy>Markus Albrecht</cp:lastModifiedBy>
  <cp:revision>4</cp:revision>
  <dcterms:created xsi:type="dcterms:W3CDTF">2023-09-05T09:54:00Z</dcterms:created>
  <dcterms:modified xsi:type="dcterms:W3CDTF">2023-09-15T11:16:00Z</dcterms:modified>
</cp:coreProperties>
</file>