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X7220488785237e32a6c766191cbbbdae7ca9f70"/>
    <w:p>
      <w:pPr>
        <w:pStyle w:val="Heading1"/>
      </w:pPr>
      <w:r>
        <w:t xml:space="preserve">810 Invoice: Flat File → Orderful Mosaic JSON Mapping</w:t>
      </w:r>
    </w:p>
    <w:p>
      <w:pPr>
        <w:pStyle w:val="FirstParagraph"/>
      </w:pPr>
      <w:r>
        <w:t xml:space="preserve">Status legend: ✅ Confirmed  |  🟡 Working guess, untested against Orderful  |  ❓ Unresolved</w:t>
      </w:r>
    </w:p>
    <w:bookmarkStart w:id="22" w:name="X921c11f2cf7dc8640d1d0d783b982688c10aaa0"/>
    <w:p>
      <w:pPr>
        <w:pStyle w:val="Heading2"/>
      </w:pPr>
      <w:r>
        <w:t xml:space="preserve">🎯 MAJOR UPDATE: Real confirmed Orderful invoice sample obtained</w:t>
      </w:r>
    </w:p>
    <w:p>
      <w:pPr>
        <w:pStyle w:val="FirstParagraph"/>
      </w:pPr>
      <w:r>
        <w:t xml:space="preserve">A real, valid, populated sample Invoice payload (plus the full JSON Schema) was obtained directly — not scraped documentation. This resolves several long-standing open questions with certainty, and surfaces new gaps.</w:t>
      </w:r>
    </w:p>
    <w:bookmarkStart w:id="20" w:name="resolved"/>
    <w:p>
      <w:pPr>
        <w:pStyle w:val="Heading3"/>
      </w:pPr>
      <w:r>
        <w:t xml:space="preserve">Resolved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Line-level allowances/discounts MUST flatten to invoice-level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allowances[]</w:t>
      </w:r>
      <w:r>
        <w:rPr>
          <w:bCs/>
          <w:b/>
        </w:rPr>
        <w:t xml:space="preserve">.</w:t>
      </w:r>
      <w:r>
        <w:t xml:space="preserve"> </w:t>
      </w:r>
      <w:r>
        <w:t xml:space="preserve">The real sample’s allowance entry is flat:</w:t>
      </w:r>
      <w:r>
        <w:t xml:space="preserve"> </w:t>
      </w:r>
      <w:r>
        <w:rPr>
          <w:rStyle w:val="VerbatimChar"/>
        </w:rPr>
        <w:t xml:space="preserve">{"type": "discount", "amount": "165.75", "description": "Discount"}</w:t>
      </w:r>
      <w:r>
        <w:t xml:space="preserve"> </w:t>
      </w:r>
      <w:r>
        <w:t xml:space="preserve">— no line-item reference field exists anywhere in the schema. The earlier</w:t>
      </w:r>
      <w:r>
        <w:t xml:space="preserve"> </w:t>
      </w:r>
      <w:r>
        <w:t xml:space="preserve">“</w:t>
      </w:r>
      <w:r>
        <w:t xml:space="preserve">attach LAL to</w:t>
      </w:r>
      <w:r>
        <w:t xml:space="preserve"> </w:t>
      </w:r>
      <w:r>
        <w:rPr>
          <w:rStyle w:val="VerbatimChar"/>
        </w:rPr>
        <w:t xml:space="preserve">_lineLevelAllowances</w:t>
      </w:r>
      <w:r>
        <w:t xml:space="preserve"> </w:t>
      </w:r>
      <w:r>
        <w:t xml:space="preserve">on the line item</w:t>
      </w:r>
      <w:r>
        <w:t xml:space="preserve">”</w:t>
      </w:r>
      <w:r>
        <w:t xml:space="preserve"> </w:t>
      </w:r>
      <w:r>
        <w:t xml:space="preserve">architecture was correct about the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data’s structure, but the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schema has no way to preserve that association.</w:t>
      </w:r>
      <w:r>
        <w:t xml:space="preserve"> </w:t>
      </w:r>
      <w:r>
        <w:rPr>
          <w:bCs/>
          <w:b/>
        </w:rPr>
        <w:t xml:space="preserve">Fixed:</w:t>
      </w:r>
      <w:r>
        <w:t xml:space="preserve"> </w:t>
      </w:r>
      <w:r>
        <w:t xml:space="preserve">the parser now tracks the line association internally (for future rate×quantity computation) but always pushes the entry into the invoice-level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array, since that’s the only place Orderful will accept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amount</w:t>
      </w:r>
      <w:r>
        <w:rPr>
          <w:bCs/>
          <w:b/>
        </w:rPr>
        <w:t xml:space="preserve"> </w:t>
      </w:r>
      <w:r>
        <w:rPr>
          <w:bCs/>
          <w:b/>
        </w:rPr>
        <w:t xml:space="preserve">is a final computed total, not a rate.</w:t>
      </w:r>
      <w:r>
        <w:t xml:space="preserve"> </w:t>
      </w:r>
      <w:r>
        <w:t xml:space="preserve">Confirms per-case/per-unit rate fields (</w:t>
      </w:r>
      <w:r>
        <w:rPr>
          <w:rStyle w:val="VerbatimChar"/>
        </w:rPr>
        <w:t xml:space="preserve">@AC</w:t>
      </w:r>
      <w:r>
        <w:t xml:space="preserve">,</w:t>
      </w:r>
      <w:r>
        <w:t xml:space="preserve"> </w:t>
      </w:r>
      <w:r>
        <w:rPr>
          <w:rStyle w:val="VerbatimChar"/>
        </w:rPr>
        <w:t xml:space="preserve">@AU</w:t>
      </w:r>
      <w:r>
        <w:t xml:space="preserve">,</w:t>
      </w:r>
      <w:r>
        <w:t xml:space="preserve"> </w:t>
      </w:r>
      <w:r>
        <w:rPr>
          <w:rStyle w:val="VerbatimChar"/>
        </w:rPr>
        <w:t xml:space="preserve">@ACN</w:t>
      </w:r>
      <w:r>
        <w:t xml:space="preserve">,</w:t>
      </w:r>
      <w:r>
        <w:t xml:space="preserve"> </w:t>
      </w:r>
      <w:r>
        <w:rPr>
          <w:rStyle w:val="VerbatimChar"/>
        </w:rPr>
        <w:t xml:space="preserve">@AUI</w:t>
      </w:r>
      <w:r>
        <w:t xml:space="preserve">) still require multiplication logic on our side before reaching this field. The sample does not do this math for us — it only confirms the destination shape.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Freight routes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charges[]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allowances[]</w:t>
      </w:r>
      <w:r>
        <w:rPr>
          <w:bCs/>
          <w:b/>
        </w:rPr>
        <w:t xml:space="preserve">.</w:t>
      </w:r>
      <w:r>
        <w:t xml:space="preserve"> </w:t>
      </w:r>
      <w:r>
        <w:t xml:space="preserve">The real sample’s charge entry:</w:t>
      </w:r>
      <w:r>
        <w:t xml:space="preserve"> </w:t>
      </w:r>
      <w:r>
        <w:rPr>
          <w:rStyle w:val="VerbatimChar"/>
        </w:rPr>
        <w:t xml:space="preserve">{"type": "freight", "amount": "784.99", "description": "Freight Charge"}</w:t>
      </w:r>
      <w:r>
        <w:t xml:space="preserve"> </w:t>
      </w:r>
      <w:r>
        <w:t xml:space="preserve">— a completely separate array from discounts. Retroactively validates never having wired the SAC02 code table (</w:t>
      </w:r>
      <w:r>
        <w:rPr>
          <w:rStyle w:val="VerbatimChar"/>
        </w:rPr>
        <w:t xml:space="preserve">D220</w:t>
      </w:r>
      <w:r>
        <w:t xml:space="preserve">/</w:t>
      </w:r>
      <w:r>
        <w:rPr>
          <w:rStyle w:val="VerbatimChar"/>
        </w:rPr>
        <w:t xml:space="preserve">D230</w:t>
      </w:r>
      <w:r>
        <w:t xml:space="preserve">/</w:t>
      </w:r>
      <w:r>
        <w:rPr>
          <w:rStyle w:val="VerbatimChar"/>
        </w:rPr>
        <w:t xml:space="preserve">D240</w:t>
      </w:r>
      <w:r>
        <w:t xml:space="preserve"> </w:t>
      </w:r>
      <w:r>
        <w:t xml:space="preserve">= Freight) into the generic HMC dispatch, which currently defaults everything to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.</w:t>
      </w:r>
      <w:r>
        <w:t xml:space="preserve"> </w:t>
      </w:r>
      <w:r>
        <w:rPr>
          <w:bCs/>
          <w:b/>
        </w:rPr>
        <w:t xml:space="preserve">Still needed:</w:t>
      </w:r>
      <w:r>
        <w:t xml:space="preserve"> </w:t>
      </w:r>
      <w:r>
        <w:t xml:space="preserve">teach</w:t>
      </w:r>
      <w:r>
        <w:t xml:space="preserve"> </w:t>
      </w:r>
      <w:r>
        <w:rPr>
          <w:rStyle w:val="VerbatimChar"/>
        </w:rPr>
        <w:t xml:space="preserve">parse_hmc_generic()</w:t>
      </w:r>
      <w:r>
        <w:t xml:space="preserve"> </w:t>
      </w:r>
      <w:r>
        <w:t xml:space="preserve">to route freight-type codes to</w:t>
      </w:r>
      <w:r>
        <w:t xml:space="preserve"> </w:t>
      </w:r>
      <w:r>
        <w:rPr>
          <w:rStyle w:val="VerbatimChar"/>
        </w:rPr>
        <w:t xml:space="preserve">charges[]</w:t>
      </w:r>
      <w:r>
        <w:t xml:space="preserve"> </w:t>
      </w:r>
      <w:r>
        <w:t xml:space="preserve">instead.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methodOfHandling</w:t>
      </w:r>
      <w:r>
        <w:rPr>
          <w:bCs/>
          <w:b/>
        </w:rPr>
        <w:t xml:space="preserve"> </w:t>
      </w:r>
      <w:r>
        <w:rPr>
          <w:bCs/>
          <w:b/>
        </w:rPr>
        <w:t xml:space="preserve">is simply omitted when not applicable</w:t>
      </w:r>
      <w:r>
        <w:t xml:space="preserve">, not forced into one of the four enum values. Neither the sample’s allowance nor its charge populates this field. Resolves the earlier</w:t>
      </w:r>
      <w:r>
        <w:t xml:space="preserve"> </w:t>
      </w:r>
      <w:r>
        <w:t xml:space="preserve">“</w:t>
      </w:r>
      <w:r>
        <w:t xml:space="preserve">off-invoice has no clean enum match</w:t>
      </w:r>
      <w:r>
        <w:t xml:space="preserve">”</w:t>
      </w:r>
      <w:r>
        <w:t xml:space="preserve"> </w:t>
      </w:r>
      <w:r>
        <w:t xml:space="preserve">problem — the answer is to leave the field out entirely.</w:t>
      </w:r>
    </w:p>
    <w:bookmarkEnd w:id="20"/>
    <w:bookmarkStart w:id="21" w:name="new-gaps-surfaced"/>
    <w:p>
      <w:pPr>
        <w:pStyle w:val="Heading3"/>
      </w:pPr>
      <w:r>
        <w:t xml:space="preserve">New gaps surfaced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termsOfSale</w:t>
      </w:r>
      <w:r>
        <w:rPr>
          <w:bCs/>
          <w:b/>
        </w:rPr>
        <w:t xml:space="preserve"> </w:t>
      </w:r>
      <w:r>
        <w:rPr>
          <w:bCs/>
          <w:b/>
        </w:rPr>
        <w:t xml:space="preserve">— real field name confirmed, now implemented.</w:t>
      </w:r>
      <w:r>
        <w:t xml:space="preserve"> </w:t>
      </w:r>
      <w:r>
        <w:t xml:space="preserve">The correct object name is</w:t>
      </w:r>
      <w:r>
        <w:t xml:space="preserve"> </w:t>
      </w:r>
      <w:r>
        <w:rPr>
          <w:rStyle w:val="VerbatimChar"/>
        </w:rPr>
        <w:t xml:space="preserve">termsOfSale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termsOfSaleDeferredTermsOfSale</w:t>
      </w:r>
      <w:r>
        <w:t xml:space="preserve">, an incorrect early guess from the NetSuite mapping doc). Mapped using HDR Field 20 (discount percent), Field 32 (discount days due), Field 35 (description) — positions we’d identified months ago but never wired into the output.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basisDate</w:t>
      </w:r>
      <w:r>
        <w:t xml:space="preserve"> </w:t>
      </w:r>
      <w:r>
        <w:t xml:space="preserve">are still guesses (</w:t>
      </w:r>
      <w:r>
        <w:rPr>
          <w:rStyle w:val="VerbatimChar"/>
        </w:rPr>
        <w:t xml:space="preserve">"basic"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"deliveryDate"</w:t>
      </w:r>
      <w:r>
        <w:t xml:space="preserve">), since no source field cleanly maps to either.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parties.buyer</w:t>
      </w:r>
      <w:r>
        <w:rPr>
          <w:bCs/>
          <w:b/>
        </w:rPr>
        <w:t xml:space="preserve"> </w:t>
      </w:r>
      <w:r>
        <w:rPr>
          <w:bCs/>
          <w:b/>
        </w:rPr>
        <w:t xml:space="preserve">— a distinct party we never populated.</w:t>
      </w:r>
      <w:r>
        <w:t xml:space="preserve"> </w:t>
      </w:r>
      <w:r>
        <w:t xml:space="preserve">The real sample shows it as structurally separate from</w:t>
      </w:r>
      <w:r>
        <w:t xml:space="preserve"> </w:t>
      </w:r>
      <w:r>
        <w:rPr>
          <w:rStyle w:val="VerbatimChar"/>
        </w:rPr>
        <w:t xml:space="preserve">shipTo</w:t>
      </w:r>
      <w:r>
        <w:t xml:space="preserve">/</w:t>
      </w:r>
      <w:r>
        <w:rPr>
          <w:rStyle w:val="VerbatimChar"/>
        </w:rPr>
        <w:t xml:space="preserve">billTo</w:t>
      </w:r>
      <w:r>
        <w:t xml:space="preserve"> </w:t>
      </w:r>
      <w:r>
        <w:t xml:space="preserve">(though identical values in this example). No source mapping identified yet.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carrierDetails</w:t>
      </w:r>
      <w:r>
        <w:rPr>
          <w:bCs/>
          <w:b/>
        </w:rPr>
        <w:t xml:space="preserve"> </w:t>
      </w:r>
      <w:r>
        <w:rPr>
          <w:bCs/>
          <w:b/>
        </w:rPr>
        <w:t xml:space="preserve">— RESOLVED, not a flat-file gap for the common case.</w:t>
      </w:r>
      <w:r>
        <w:t xml:space="preserve"> </w:t>
      </w:r>
      <w:r>
        <w:t xml:space="preserve">Confirmed: this account self-delivers most product, so</w:t>
      </w:r>
      <w:r>
        <w:t xml:space="preserve"> </w:t>
      </w:r>
      <w:r>
        <w:rPr>
          <w:rStyle w:val="VerbatimChar"/>
        </w:rPr>
        <w:t xml:space="preserve">carrierDetails</w:t>
      </w:r>
      <w:r>
        <w:t xml:space="preserve"> </w:t>
      </w:r>
      <w:r>
        <w:t xml:space="preserve">is typically hardcoded at the mapping/integration level rather than sourced per-shipment from the flat file. Interesting note: the real Mosaic sample payload happened to show FedEx/third-party carrier values (trailer ID, etc.) — this may represent the minority-case exception (non-self-delivered shipments) rather than the typical pattern, worth confirming. ⚠️ Open: does that minority case need real per-shipment carrier sourcing, distinct from the</w:t>
      </w:r>
      <w:r>
        <w:t xml:space="preserve"> </w:t>
      </w:r>
      <w:r>
        <w:t xml:space="preserve">“</w:t>
      </w:r>
      <w:r>
        <w:t xml:space="preserve">hardcode self</w:t>
      </w:r>
      <w:r>
        <w:t xml:space="preserve">”</w:t>
      </w:r>
      <w:r>
        <w:t xml:space="preserve"> </w:t>
      </w:r>
      <w:r>
        <w:t xml:space="preserve">approach for the common case?</w:t>
      </w:r>
    </w:p>
    <w:bookmarkEnd w:id="21"/>
    <w:bookmarkEnd w:id="22"/>
    <w:bookmarkStart w:id="23" w:name="hdr-header-invoice-level-fields"/>
    <w:p>
      <w:pPr>
        <w:pStyle w:val="Heading2"/>
      </w:pPr>
      <w:r>
        <w:t xml:space="preserve">HDR (Header) → Invoice-level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(flat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(Mosaic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 (Delivery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4 (Ticket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(PO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purchaseOrderNumber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 (Order 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purchaseOrderDate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27 (Debit/Credit indicator)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blank/no value →</w:t>
            </w:r>
            <w:r>
              <w:t xml:space="preserve"> </w:t>
            </w:r>
            <w:r>
              <w:rPr>
                <w:rStyle w:val="VerbatimChar"/>
              </w:rPr>
              <w:t xml:space="preserve">"invoice"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"creditMemo"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"DI"</w:t>
            </w:r>
            <w:r>
              <w:t xml:space="preserve"> </w:t>
            </w:r>
            <w:r>
              <w:t xml:space="preserve">(real account-specific override,</w:t>
            </w:r>
            <w:r>
              <w:t xml:space="preserve"> </w:t>
            </w:r>
            <w:r>
              <w:t xml:space="preserve">“</w:t>
            </w:r>
            <w:r>
              <w:t xml:space="preserve">Debit Invoice</w:t>
            </w:r>
            <w:r>
              <w:t xml:space="preserve">”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"invoice"</w:t>
            </w:r>
            <w:r>
              <w:t xml:space="preserve">. Other custom</w:t>
            </w:r>
            <w:r>
              <w:t xml:space="preserve"> </w:t>
            </w:r>
            <w:r>
              <w:rPr>
                <w:rStyle w:val="VerbatimChar"/>
              </w:rPr>
              <w:t xml:space="preserve">XX/YY</w:t>
            </w:r>
            <w:r>
              <w:t xml:space="preserve"> </w:t>
            </w:r>
            <w:r>
              <w:t xml:space="preserve">overrides are NOT auto-mapped — script flags as</w:t>
            </w:r>
            <w:r>
              <w:t xml:space="preserve"> </w:t>
            </w:r>
            <w:r>
              <w:rPr>
                <w:rStyle w:val="VerbatimChar"/>
              </w:rPr>
              <w:t xml:space="preserve">UNKNOWN_OVERRIDE</w:t>
            </w:r>
            <w:r>
              <w:t xml:space="preserve"> </w:t>
            </w:r>
            <w:r>
              <w:t xml:space="preserve">rather than guessing polarity. Note:</w:t>
            </w:r>
            <w:r>
              <w:t xml:space="preserve"> </w:t>
            </w:r>
            <w:r>
              <w:rPr>
                <w:rStyle w:val="VerbatimChar"/>
              </w:rPr>
              <w:t xml:space="preserve">"DI"</w:t>
            </w:r>
            <w:r>
              <w:t xml:space="preserve">’s credit-side counterpart for this account has not been observed — confirmed for the debit case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(not in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buyersCurrency.currencyCode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"USD"</w:t>
            </w:r>
            <w:r>
              <w:t xml:space="preserve"> </w:t>
            </w:r>
            <w:r>
              <w:t xml:space="preserve">— confirmed domestic-only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(not in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sellersCurrency.currencyCode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"USD"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(PO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references.customerOrderNumber.value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 PO number; unconfirmed this is the right reference type</w:t>
            </w:r>
          </w:p>
        </w:tc>
      </w:tr>
    </w:tbl>
    <w:bookmarkEnd w:id="23"/>
    <w:bookmarkStart w:id="24" w:name="hst-ship-to-parties.shipto"/>
    <w:p>
      <w:pPr>
        <w:pStyle w:val="Heading2"/>
      </w:pPr>
      <w:r>
        <w:t xml:space="preserve">HST (Ship-To) →</w:t>
      </w:r>
      <w:r>
        <w:t xml:space="preserve"> </w:t>
      </w:r>
      <w:r>
        <w:rPr>
          <w:rStyle w:val="VerbatimChar"/>
        </w:rPr>
        <w:t xml:space="preserve">parties.shipTo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addressLine1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addressLine2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stateOrProvinceCode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postalCode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4"/>
    <w:bookmarkStart w:id="25" w:name="hbt-bill-to-parties.billto"/>
    <w:p>
      <w:pPr>
        <w:pStyle w:val="Heading2"/>
      </w:pPr>
      <w:r>
        <w:t xml:space="preserve">HBT (Bill-To) →</w:t>
      </w:r>
      <w:r>
        <w:t xml:space="preserve"> </w:t>
      </w:r>
      <w:r>
        <w:rPr>
          <w:rStyle w:val="VerbatimChar"/>
        </w:rPr>
        <w:t xml:space="preserve">parties.billTo</w:t>
      </w:r>
    </w:p>
    <w:p>
      <w:pPr>
        <w:pStyle w:val="FirstParagraph"/>
      </w:pPr>
      <w:r>
        <w:t xml:space="preserve">Same field layout and mapping as HST above. ✅</w:t>
      </w:r>
    </w:p>
    <w:bookmarkEnd w:id="25"/>
    <w:bookmarkStart w:id="26" w:name="hrt-sold-by-parties.accountsreceivable"/>
    <w:p>
      <w:pPr>
        <w:pStyle w:val="Heading2"/>
      </w:pPr>
      <w:r>
        <w:t xml:space="preserve">HRT (Sold-By) →</w:t>
      </w:r>
      <w:r>
        <w:t xml:space="preserve"> </w:t>
      </w:r>
      <w:r>
        <w:rPr>
          <w:rStyle w:val="VerbatimChar"/>
        </w:rPr>
        <w:t xml:space="preserve">parties.accountsReceivable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Business-confirmed</w:t>
      </w:r>
      <w:r>
        <w:t xml:space="preserve"> </w:t>
      </w:r>
      <w:r>
        <w:t xml:space="preserve">(via the 894 mapping work, same HRT record tag from the same ERP): HRT represents</w:t>
      </w:r>
      <w:r>
        <w:t xml:space="preserve"> </w:t>
      </w:r>
      <w:r>
        <w:rPr>
          <w:bCs/>
          <w:b/>
        </w:rPr>
        <w:t xml:space="preserve">remit-to/shipper information — i.e., us, the supplier.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accountsReceivable</w:t>
      </w:r>
      <w:r>
        <w:t xml:space="preserve"> </w:t>
      </w:r>
      <w:r>
        <w:t xml:space="preserve">mapping below is correct, not just a guess.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 (Sold-by 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 (Supplier DUNS)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identificationCode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identificationCodeType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Hardcoded</w:t>
            </w:r>
            <w:r>
              <w:t xml:space="preserve"> </w:t>
            </w:r>
            <w:r>
              <w:rPr>
                <w:rStyle w:val="VerbatimChar"/>
              </w:rPr>
              <w:t xml:space="preserve">"duns"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8–13 (address)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addressLine1/2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stateOrProvinceCode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postalCode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14 (Country)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strike/>
        </w:rPr>
        <w:t xml:space="preserve">Open question: whether HRT belongs under accountsReceivable at all</w:t>
      </w:r>
      <w:r>
        <w:t xml:space="preserve"> </w:t>
      </w:r>
      <w:r>
        <w:t xml:space="preserve">— resolved. Still worth a final sanity check with Orderful on whether this needs to be sent explicitly or whether it’s already known via ISA ID/Relationship config, but the field-level mapping itself is no longer in doubt.</w:t>
      </w:r>
    </w:p>
    <w:bookmarkEnd w:id="26"/>
    <w:bookmarkStart w:id="27" w:name="ldt-line-item-lineitems"/>
    <w:p>
      <w:pPr>
        <w:pStyle w:val="Heading2"/>
      </w:pPr>
      <w:r>
        <w:t xml:space="preserve">LDT (Line Item) →</w:t>
      </w:r>
      <w:r>
        <w:t xml:space="preserve"> </w:t>
      </w:r>
      <w:r>
        <w:rPr>
          <w:rStyle w:val="VerbatimChar"/>
        </w:rPr>
        <w:t xml:space="preserve">lineItems[]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 (eRMS Item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productIds.vendorItemNumber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25 (External Item Number)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productIds.buyerItemNumber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populated if loaded in source system — falls back to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 UPC (</w:t>
            </w:r>
            <w:r>
              <w:rPr>
                <w:rStyle w:val="VerbatimChar"/>
              </w:rPr>
              <w:t xml:space="preserve">gtin12</w:t>
            </w:r>
            <w:r>
              <w:t xml:space="preserve">) is captured independently, so no data is lost when this is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 (UPC)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productIds.gtin12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gtin13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 by string length (12 vs 13 digits) — reasonable heuristic, not guaranteed correct for every partner’s UPC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14 (Units shipped)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quantityInvoiced.value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(UOM)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quantityInvoiced.unitOfMeasure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</w:t>
            </w:r>
            <w:r>
              <w:t xml:space="preserve">→</w:t>
            </w:r>
            <w:r>
              <w:rPr>
                <w:rStyle w:val="VerbatimChar"/>
              </w:rPr>
              <w:t xml:space="preserve">each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</w:t>
            </w:r>
            <w:r>
              <w:t xml:space="preserve">→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via lookup table. Extend</w:t>
            </w:r>
            <w:r>
              <w:t xml:space="preserve"> </w:t>
            </w:r>
            <w:r>
              <w:rPr>
                <w:rStyle w:val="VerbatimChar"/>
              </w:rPr>
              <w:t xml:space="preserve">UOM_MAP</w:t>
            </w:r>
            <w:r>
              <w:t xml:space="preserve"> </w:t>
            </w:r>
            <w:r>
              <w:t xml:space="preserve">if new codes appear.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21 (Net Unit Price)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 (Item Description)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productAttributes.description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32 (Brand 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productAttributes.brand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33 (Brand Description)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 found)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matching field identified in Mosaic’s</w:t>
            </w:r>
            <w:r>
              <w:t xml:space="preserve"> </w:t>
            </w:r>
            <w:r>
              <w:rPr>
                <w:rStyle w:val="VerbatimChar"/>
              </w:rPr>
              <w:t xml:space="preserve">productAttributes</w:t>
            </w:r>
            <w:r>
              <w:t xml:space="preserve"> </w:t>
            </w:r>
            <w:r>
              <w:t xml:space="preserve">— may not have a home, or may live elsewhere in the schema not yet located</w:t>
            </w:r>
          </w:p>
        </w:tc>
      </w:tr>
    </w:tbl>
    <w:bookmarkEnd w:id="27"/>
    <w:bookmarkStart w:id="28" w:name="tot-totals-invoice-level"/>
    <w:p>
      <w:pPr>
        <w:pStyle w:val="Heading2"/>
      </w:pPr>
      <w:r>
        <w:t xml:space="preserve">TOT (Totals) → invoice-level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2 (Invoice 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 (Total Units)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 — lives per-line, not at total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N/A</w:t>
            </w:r>
          </w:p>
        </w:tc>
      </w:tr>
    </w:tbl>
    <w:bookmarkEnd w:id="28"/>
    <w:bookmarkStart w:id="33" w:name="Xa508cab3e2c2d045cf7dddbc517554d4ca3b5d5"/>
    <w:p>
      <w:pPr>
        <w:pStyle w:val="Heading2"/>
      </w:pPr>
      <w:r>
        <w:t xml:space="preserve">LAL (Line Discount) → line-item-level, NOT invoice-level (major correction)</w:t>
      </w:r>
    </w:p>
    <w:bookmarkStart w:id="29" w:name="architecture-correction"/>
    <w:p>
      <w:pPr>
        <w:pStyle w:val="Heading3"/>
      </w:pPr>
      <w:r>
        <w:t xml:space="preserve">⚠️ ARCHITECTURE CORRECTION</w:t>
      </w:r>
    </w:p>
    <w:p>
      <w:pPr>
        <w:pStyle w:val="FirstParagraph"/>
      </w:pPr>
      <w:r>
        <w:t xml:space="preserve">Source notes confirm:</w:t>
      </w:r>
      <w:r>
        <w:t xml:space="preserve"> </w:t>
      </w:r>
      <w:r>
        <w:rPr>
          <w:bCs/>
          <w:b/>
        </w:rPr>
        <w:t xml:space="preserve">HMC is header/invoice-level; LAL is line-level.</w:t>
      </w:r>
      <w:r>
        <w:t xml:space="preserve"> </w:t>
      </w:r>
      <w:r>
        <w:t xml:space="preserve">Earlier versions of this document rolled LAL up into the invoice-level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array alongside HMC — that was wrong. The parser now attaches each LAL entry to the</w:t>
      </w:r>
      <w:r>
        <w:t xml:space="preserve"> </w:t>
      </w:r>
      <w:r>
        <w:rPr>
          <w:bCs/>
          <w:b/>
        </w:rPr>
        <w:t xml:space="preserve">most recently seen line 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current["lineItems"][-1]</w:t>
      </w:r>
      <w:r>
        <w:t xml:space="preserve">), on the assumption that a LAL record follows its associated LDT in file order.</w:t>
      </w:r>
    </w:p>
    <w:p>
      <w:pPr>
        <w:pStyle w:val="BodyText"/>
      </w:pPr>
      <w:r>
        <w:rPr>
          <w:bCs/>
          <w:b/>
        </w:rPr>
        <w:t xml:space="preserve">This file-ordering assumption is UNCONFIRMED.</w:t>
      </w:r>
      <w:r>
        <w:t xml:space="preserve"> </w:t>
      </w:r>
      <w:r>
        <w:t xml:space="preserve">It needs verification against a real multi-line invoice containing several LDT + LAL pairs, to confirm LAL always immediately follows the line item it applies to (rather than, say, all LALs being grouped together after all LDTs). If a LAL appears before any LDT has been seen, the parser stores it under</w:t>
      </w:r>
      <w:r>
        <w:t xml:space="preserve"> </w:t>
      </w:r>
      <w:r>
        <w:rPr>
          <w:rStyle w:val="VerbatimChar"/>
        </w:rPr>
        <w:t xml:space="preserve">_unattached_lal</w:t>
      </w:r>
      <w:r>
        <w:t xml:space="preserve"> </w:t>
      </w:r>
      <w:r>
        <w:t xml:space="preserve">at the invoice level instead of guessing — a visible signal that the ordering assumption broke, rather than a silent misattachment.</w:t>
      </w:r>
    </w:p>
    <w:p>
      <w:pPr>
        <w:pStyle w:val="BodyText"/>
      </w:pPr>
      <w:r>
        <w:rPr>
          <w:bCs/>
          <w:b/>
        </w:rPr>
        <w:t xml:space="preserve">Still open:</w:t>
      </w:r>
      <w:r>
        <w:t xml:space="preserve"> </w:t>
      </w:r>
      <w:r>
        <w:t xml:space="preserve">Mosaic’s</w:t>
      </w:r>
      <w:r>
        <w:t xml:space="preserve"> </w:t>
      </w:r>
      <w:r>
        <w:rPr>
          <w:rStyle w:val="VerbatimChar"/>
        </w:rPr>
        <w:t xml:space="preserve">lineItems[]</w:t>
      </w:r>
      <w:r>
        <w:t xml:space="preserve"> </w:t>
      </w:r>
      <w:r>
        <w:t xml:space="preserve">schema (as extracted earlier) didn’t show a nested allowances field within a line item — so line items currently carry</w:t>
      </w:r>
      <w:r>
        <w:t xml:space="preserve"> </w:t>
      </w:r>
      <w:r>
        <w:rPr>
          <w:rStyle w:val="VerbatimChar"/>
        </w:rPr>
        <w:t xml:space="preserve">_lineLevelAllowances</w:t>
      </w:r>
      <w:r>
        <w:t xml:space="preserve"> </w:t>
      </w:r>
      <w:r>
        <w:t xml:space="preserve">(underscore-prefixed, diagnostic) rather than a confirmed Mosaic target field. This needs one of:</w:t>
      </w:r>
      <w:r>
        <w:t xml:space="preserve"> </w:t>
      </w:r>
      <w:r>
        <w:t xml:space="preserve">1. A deeper look at Mosaic’s schema for a per-line-item allowances field not yet located, or</w:t>
      </w:r>
      <w:r>
        <w:t xml:space="preserve"> </w:t>
      </w:r>
      <w:r>
        <w:t xml:space="preserve">2. Confirmation from Orderful that line-level discounts must be represented differently (e.g., netted directly into the line’s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, rather than as a separate allowance object)</w:t>
      </w:r>
    </w:p>
    <w:bookmarkEnd w:id="29"/>
    <w:bookmarkStart w:id="30" w:name="X00b5e409e9a0a4d40f811c1eeced0dfe0da2cf7"/>
    <w:p>
      <w:pPr>
        <w:pStyle w:val="Heading3"/>
      </w:pPr>
      <w:r>
        <w:t xml:space="preserve">School account — unified LAL/HMC layout, confirmed via ERP note-table</w:t>
      </w:r>
    </w:p>
    <w:p>
      <w:pPr>
        <w:pStyle w:val="FirstParagraph"/>
      </w:pPr>
      <w:r>
        <w:t xml:space="preserve">Real ERP note-table templates:</w:t>
      </w:r>
    </w:p>
    <w:p>
      <w:pPr>
        <w:pStyle w:val="SourceCode"/>
      </w:pPr>
      <w:r>
        <w:rPr>
          <w:rStyle w:val="VerbatimChar"/>
        </w:rPr>
        <w:t xml:space="preserve">LAL||Off Invoice Promotion||@AC|5|02||    (@AC = per-case rate)</w:t>
      </w:r>
      <w:r>
        <w:br/>
      </w:r>
      <w:r>
        <w:rPr>
          <w:rStyle w:val="VerbatimChar"/>
        </w:rPr>
        <w:t xml:space="preserve">LAL||||@AU|A||ZZZZ|                        (@AU = per-unit rate)</w:t>
      </w:r>
    </w:p>
    <w:p>
      <w:pPr>
        <w:pStyle w:val="FirstParagraph"/>
      </w:pPr>
      <w:r>
        <w:t xml:space="preserve">School’s LAL uses the</w:t>
      </w:r>
      <w:r>
        <w:t xml:space="preserve"> </w:t>
      </w:r>
      <w:r>
        <w:rPr>
          <w:bCs/>
          <w:b/>
        </w:rPr>
        <w:t xml:space="preserve">same field layout as School’s HMC</w:t>
      </w:r>
      <w:r>
        <w:t xml:space="preserve">: idx4=rate, idx5=SAC01 indicator, idx7=SAC02 code. The only structural difference between LAL and HMC for this account is the record tag (line-level vs header-level attachment), not the field positions.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Real risk, not just an open question:</w:t>
      </w:r>
      <w:r>
        <w:t xml:space="preserve"> </w:t>
      </w:r>
      <w:r>
        <w:rPr>
          <w:rStyle w:val="VerbatimChar"/>
        </w:rPr>
        <w:t xml:space="preserve">@AC</w:t>
      </w:r>
      <w:r>
        <w:t xml:space="preserve"> </w:t>
      </w:r>
      <w:r>
        <w:t xml:space="preserve">(per-case) and</w:t>
      </w:r>
      <w:r>
        <w:t xml:space="preserve"> </w:t>
      </w:r>
      <w:r>
        <w:rPr>
          <w:rStyle w:val="VerbatimChar"/>
        </w:rPr>
        <w:t xml:space="preserve">@AU</w:t>
      </w:r>
      <w:r>
        <w:t xml:space="preserve"> </w:t>
      </w:r>
      <w:r>
        <w:t xml:space="preserve">(per-unit) render</w:t>
      </w:r>
      <w:r>
        <w:t xml:space="preserve"> </w:t>
      </w:r>
      <w:r>
        <w:rPr>
          <w:bCs/>
          <w:b/>
        </w:rPr>
        <w:t xml:space="preserve">identically</w:t>
      </w:r>
      <w:r>
        <w:t xml:space="preserve"> </w:t>
      </w:r>
      <w:r>
        <w:t xml:space="preserve">in live data — both substitute to a plain decimal (e.g. </w:t>
      </w:r>
      <w:r>
        <w:rPr>
          <w:rStyle w:val="VerbatimChar"/>
        </w:rPr>
        <w:t xml:space="preserve">"0.1"</w:t>
      </w:r>
      <w:r>
        <w:t xml:space="preserve">), with no distinguishing marker in the file itself. This means the per-case-vs-per-unit basis is</w:t>
      </w:r>
      <w:r>
        <w:t xml:space="preserve"> </w:t>
      </w:r>
      <w:r>
        <w:rPr>
          <w:bCs/>
          <w:b/>
        </w:rPr>
        <w:t xml:space="preserve">not recoverable from a live invoice alone</w:t>
      </w:r>
      <w:r>
        <w:t xml:space="preserve"> </w:t>
      </w:r>
      <w:r>
        <w:t xml:space="preserve">— it only exists in the ERP’s note-table configuration for that specific SAC02 code.</w:t>
      </w:r>
      <w:r>
        <w:t xml:space="preserve"> </w:t>
      </w:r>
      <w:r>
        <w:rPr>
          <w:rStyle w:val="VerbatimChar"/>
        </w:rPr>
        <w:t xml:space="preserve">parse_lal_school()</w:t>
      </w:r>
      <w:r>
        <w:t xml:space="preserve"> </w:t>
      </w:r>
      <w:r>
        <w:t xml:space="preserve">explicitly flags this as</w:t>
      </w:r>
      <w:r>
        <w:t xml:space="preserve"> </w:t>
      </w:r>
      <w:r>
        <w:rPr>
          <w:rStyle w:val="VerbatimChar"/>
        </w:rPr>
        <w:t xml:space="preserve">"UNKNOWN -- check ERMS note-table config"</w:t>
      </w:r>
      <w:r>
        <w:t xml:space="preserve"> </w:t>
      </w:r>
      <w:r>
        <w:t xml:space="preserve">rather than guessing, and</w:t>
      </w:r>
      <w:r>
        <w:t xml:space="preserve"> </w:t>
      </w:r>
      <w:r>
        <w:rPr>
          <w:rStyle w:val="VerbatimChar"/>
        </w:rPr>
        <w:t xml:space="preserve">SCHOOL_ALLOWANCE_RATE_BASIS</w:t>
      </w:r>
      <w:r>
        <w:t xml:space="preserve"> </w:t>
      </w:r>
      <w:r>
        <w:t xml:space="preserve">needs to be populated per SAC02 code from the note-table pull to resolve it.</w:t>
      </w:r>
    </w:p>
    <w:p>
      <w:pPr>
        <w:pStyle w:val="BodyText"/>
      </w:pPr>
      <w:r>
        <w:t xml:space="preserve">Parser implemented as</w:t>
      </w:r>
      <w:r>
        <w:t xml:space="preserve"> </w:t>
      </w:r>
      <w:r>
        <w:rPr>
          <w:rStyle w:val="VerbatimChar"/>
        </w:rPr>
        <w:t xml:space="preserve">parse_lal_school()</w:t>
      </w:r>
      <w:r>
        <w:t xml:space="preserve">, registered in</w:t>
      </w:r>
      <w:r>
        <w:t xml:space="preserve"> </w:t>
      </w:r>
      <w:r>
        <w:rPr>
          <w:rStyle w:val="VerbatimChar"/>
        </w:rPr>
        <w:t xml:space="preserve">LAL_PARTNER_PARSERS["school"]</w:t>
      </w:r>
      <w:r>
        <w:t xml:space="preserve">.</w:t>
      </w:r>
    </w:p>
    <w:bookmarkEnd w:id="30"/>
    <w:bookmarkStart w:id="31" w:name="box-store-a-account-ac-confirmed-meaning"/>
    <w:p>
      <w:pPr>
        <w:pStyle w:val="Heading3"/>
      </w:pPr>
      <w:r>
        <w:t xml:space="preserve">Box Store A account —</w:t>
      </w:r>
      <w:r>
        <w:t xml:space="preserve"> </w:t>
      </w:r>
      <w:r>
        <w:rPr>
          <w:rStyle w:val="VerbatimChar"/>
        </w:rPr>
        <w:t xml:space="preserve">@AC</w:t>
      </w:r>
      <w:r>
        <w:t xml:space="preserve"> </w:t>
      </w:r>
      <w:r>
        <w:t xml:space="preserve">confirmed meaning</w:t>
      </w:r>
    </w:p>
    <w:p>
      <w:pPr>
        <w:pStyle w:val="FirstParagraph"/>
      </w:pPr>
      <w:r>
        <w:rPr>
          <w:rStyle w:val="VerbatimChar"/>
        </w:rPr>
        <w:t xml:space="preserve">@AC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Allowance in Case EQ</w:t>
      </w:r>
      <w:r>
        <w:rPr>
          <w:bCs/>
          <w:b/>
        </w:rPr>
        <w:t xml:space="preserve">”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per-case dollar rate</w:t>
      </w:r>
      <w:r>
        <w:t xml:space="preserve"> </w:t>
      </w:r>
      <w:r>
        <w:t xml:space="preserve">(e.g. real value</w:t>
      </w:r>
      <w:r>
        <w:t xml:space="preserve"> </w:t>
      </w:r>
      <w:r>
        <w:rPr>
          <w:rStyle w:val="VerbatimChar"/>
        </w:rPr>
        <w:t xml:space="preserve">.75</w:t>
      </w:r>
      <w:r>
        <w:t xml:space="preserve"> </w:t>
      </w:r>
      <w:r>
        <w:t xml:space="preserve">= 75¢/case), not a flat total amount. This confirms Field 5 (idx4) is a genuine rate field for this account too, but computing an actual dollar allowance almost certainly requires multiplying this rate by a case-quantity.</w:t>
      </w:r>
    </w:p>
    <w:p>
      <w:pPr>
        <w:pStyle w:val="BodyText"/>
      </w:pPr>
      <w:r>
        <w:rPr>
          <w:bCs/>
          <w:b/>
        </w:rPr>
        <w:t xml:space="preserve">Unresolved:</w:t>
      </w:r>
      <w:r>
        <w:t xml:space="preserve"> </w:t>
      </w:r>
      <w:r>
        <w:t xml:space="preserve">whether that case-quantity is Field 6 (idx5, e.g. </w:t>
      </w:r>
      <w:r>
        <w:rPr>
          <w:rStyle w:val="VerbatimChar"/>
        </w:rPr>
        <w:t xml:space="preserve">"5"</w:t>
      </w:r>
      <w:r>
        <w:t xml:space="preserve"> </w:t>
      </w:r>
      <w:r>
        <w:t xml:space="preserve">in the example) or comes from the associated line item’s own case-quantity (LDT Field 17,</w:t>
      </w:r>
      <w:r>
        <w:t xml:space="preserve"> </w:t>
      </w:r>
      <w:r>
        <w:t xml:space="preserve">“</w:t>
      </w:r>
      <w:r>
        <w:t xml:space="preserve">Units per Case</w:t>
      </w:r>
      <w:r>
        <w:t xml:space="preserve">”</w:t>
      </w:r>
      <w:r>
        <w:t xml:space="preserve">). Do not compute or send a final dollar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for Box Store A’s LAL until this is confirmed — sending a raw per-case rate as if it were a total, or vice versa, would silently misstate the allowance.</w:t>
      </w:r>
    </w:p>
    <w:bookmarkEnd w:id="31"/>
    <w:bookmarkStart w:id="32" w:name="corrected-status-box-store-a"/>
    <w:p>
      <w:pPr>
        <w:pStyle w:val="Heading3"/>
      </w:pPr>
      <w:r>
        <w:t xml:space="preserve">Corrected status (Box Store 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e.g. </w:t>
            </w:r>
            <w:r>
              <w:t xml:space="preserve">“</w:t>
            </w:r>
            <w:r>
              <w:t xml:space="preserve">OFF INVOICE PROMOTION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Off Invoice Promotion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Per-case allowance rate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@AC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(unresolved — needs multiplication logic before it has a final Mosaic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Rate confirmed; total-amount calculation still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Possibly a case-quantity multiplier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(unresolved)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"02"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(unresolved)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Likely off-invoice qualifier, consistent with other partners’ specs, but not confirmed against Mosaic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"promotionalAllowance"</w:t>
            </w:r>
            <w:r>
              <w:t xml:space="preserve"> </w:t>
            </w:r>
            <w:r>
              <w:t xml:space="preserve">— still solid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Practical effect: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can be trusted for Box Store A; the line-item attachment logic is now structurally correct (confirmed line-level, not invoice-level) but relies on an unconfirmed file-ordering assumption; the actual dollar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still cannot be computed or sent for either account until the rate-basis and multiplier questions above are resolved.</w:t>
      </w:r>
    </w:p>
    <w:bookmarkEnd w:id="32"/>
    <w:bookmarkEnd w:id="33"/>
    <w:bookmarkStart w:id="40" w:name="X5109d4692b537cfcb26a113f45790e03e1fc92a"/>
    <w:p>
      <w:pPr>
        <w:pStyle w:val="Heading2"/>
      </w:pPr>
      <w:r>
        <w:t xml:space="preserve">HMC — Structural Dispatch (validated against full ERMS note-table export)</w:t>
      </w:r>
    </w:p>
    <w:bookmarkStart w:id="34" w:name="X92eb771dfc0df8f766a1026ce7ee7a68d166d78"/>
    <w:p>
      <w:pPr>
        <w:pStyle w:val="Heading3"/>
      </w:pPr>
      <w:r>
        <w:t xml:space="preserve">Major finding: one structural rule replaces per-partner guessing</w:t>
      </w:r>
    </w:p>
    <w:p>
      <w:pPr>
        <w:pStyle w:val="FirstParagraph"/>
      </w:pPr>
      <w:r>
        <w:t xml:space="preserve">A full pull of every distinct LAL/HMC note template across all customers (via</w:t>
      </w:r>
      <w:r>
        <w:t xml:space="preserve"> </w:t>
      </w:r>
      <w:r>
        <w:rPr>
          <w:rStyle w:val="VerbatimChar"/>
        </w:rPr>
        <w:t xml:space="preserve">RMNTEP</w:t>
      </w:r>
      <w:r>
        <w:t xml:space="preserve"> </w:t>
      </w:r>
      <w:r>
        <w:t xml:space="preserve">joined to</w:t>
      </w:r>
      <w:r>
        <w:t xml:space="preserve"> </w:t>
      </w:r>
      <w:r>
        <w:rPr>
          <w:rStyle w:val="VerbatimChar"/>
        </w:rPr>
        <w:t xml:space="preserve">RMNTXP</w:t>
      </w:r>
      <w:r>
        <w:t xml:space="preserve">) revealed a clean, validated rule for HMC —</w:t>
      </w:r>
      <w:r>
        <w:t xml:space="preserve"> </w:t>
      </w:r>
      <w:r>
        <w:rPr>
          <w:bCs/>
          <w:b/>
        </w:rPr>
        <w:t xml:space="preserve">every row in the real dataset fits it, with zero exceptions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idx5</w:t>
      </w:r>
      <w:r>
        <w:rPr>
          <w:bCs/>
          <w:b/>
        </w:rPr>
        <w:t xml:space="preserve"> </w:t>
      </w:r>
      <w:r>
        <w:rPr>
          <w:bCs/>
          <w:b/>
        </w:rPr>
        <w:t xml:space="preserve">alphabetic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=Allowance,</w:t>
      </w:r>
      <w:r>
        <w:t xml:space="preserve"> </w:t>
      </w:r>
      <w:r>
        <w:rPr>
          <w:rStyle w:val="VerbatimChar"/>
        </w:rPr>
        <w:t xml:space="preserve">C</w:t>
      </w:r>
      <w:r>
        <w:t xml:space="preserve">=Charge) → the SAC02-style type code sits at</w:t>
      </w:r>
      <w:r>
        <w:t xml:space="preserve"> </w:t>
      </w:r>
      <w:r>
        <w:rPr>
          <w:bCs/>
          <w:b/>
        </w:rPr>
        <w:t xml:space="preserve">idx7</w:t>
      </w:r>
      <w:r>
        <w:t xml:space="preserve"> </w:t>
      </w:r>
      <w:r>
        <w:t xml:space="preserve">(4 characters, e.g. </w:t>
      </w:r>
      <w:r>
        <w:rPr>
          <w:rStyle w:val="VerbatimChar"/>
        </w:rPr>
        <w:t xml:space="preserve">C310</w:t>
      </w:r>
      <w:r>
        <w:t xml:space="preserve">,</w:t>
      </w:r>
      <w:r>
        <w:t xml:space="preserve"> </w:t>
      </w:r>
      <w:r>
        <w:rPr>
          <w:rStyle w:val="VerbatimChar"/>
        </w:rPr>
        <w:t xml:space="preserve">F800</w:t>
      </w:r>
      <w:r>
        <w:t xml:space="preserve">,</w:t>
      </w:r>
      <w:r>
        <w:t xml:space="preserve"> </w:t>
      </w:r>
      <w:r>
        <w:rPr>
          <w:rStyle w:val="VerbatimChar"/>
        </w:rPr>
        <w:t xml:space="preserve">A170</w:t>
      </w:r>
      <w:r>
        <w:t xml:space="preserve">,</w:t>
      </w:r>
      <w:r>
        <w:t xml:space="preserve"> </w:t>
      </w:r>
      <w:r>
        <w:rPr>
          <w:rStyle w:val="VerbatimChar"/>
        </w:rPr>
        <w:t xml:space="preserve">ZZZZ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idx5</w:t>
      </w:r>
      <w:r>
        <w:rPr>
          <w:bCs/>
          <w:b/>
        </w:rPr>
        <w:t xml:space="preserve"> </w:t>
      </w:r>
      <w:r>
        <w:rPr>
          <w:bCs/>
          <w:b/>
        </w:rPr>
        <w:t xml:space="preserve">numeric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"02"</w:t>
      </w:r>
      <w:r>
        <w:t xml:space="preserve"> </w:t>
      </w:r>
      <w:r>
        <w:t xml:space="preserve">= off-invoice method code) → the type code sits at</w:t>
      </w:r>
      <w:r>
        <w:t xml:space="preserve"> </w:t>
      </w:r>
      <w:r>
        <w:rPr>
          <w:bCs/>
          <w:b/>
        </w:rPr>
        <w:t xml:space="preserve">idx6</w:t>
      </w:r>
      <w:r>
        <w:t xml:space="preserve"> </w:t>
      </w:r>
      <w:r>
        <w:t xml:space="preserve">instead (2 digits, e.g. </w:t>
      </w:r>
      <w:r>
        <w:rPr>
          <w:rStyle w:val="VerbatimChar"/>
        </w:rPr>
        <w:t xml:space="preserve">54</w:t>
      </w:r>
      <w:r>
        <w:t xml:space="preserve">,</w:t>
      </w:r>
      <w:r>
        <w:t xml:space="preserve"> </w:t>
      </w:r>
      <w:r>
        <w:rPr>
          <w:rStyle w:val="VerbatimChar"/>
        </w:rPr>
        <w:t xml:space="preserve">53</w:t>
      </w:r>
      <w:r>
        <w:t xml:space="preserve">)</w:t>
      </w:r>
    </w:p>
    <w:p>
      <w:pPr>
        <w:pStyle w:val="FirstParagraph"/>
      </w:pPr>
      <w:r>
        <w:t xml:space="preserve">This is implemented as</w:t>
      </w:r>
      <w:r>
        <w:t xml:space="preserve"> </w:t>
      </w:r>
      <w:r>
        <w:rPr>
          <w:rStyle w:val="VerbatimChar"/>
        </w:rPr>
        <w:t xml:space="preserve">parse_hmc_generic()</w:t>
      </w:r>
      <w:r>
        <w:t xml:space="preserve">, now the default HMC parser for any customer not otherwise special-cased.</w:t>
      </w:r>
    </w:p>
    <w:bookmarkEnd w:id="34"/>
    <w:bookmarkStart w:id="35" w:name="Xf066a30836bc75a9613faceb45df539309c4f3f"/>
    <w:p>
      <w:pPr>
        <w:pStyle w:val="Heading3"/>
      </w:pPr>
      <w:r>
        <w:t xml:space="preserve">Resolved: why idx5 shows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02</w:t>
      </w:r>
      <w:r>
        <w:t xml:space="preserve">”</w:t>
      </w:r>
      <w:r>
        <w:t xml:space="preserve"> </w:t>
      </w:r>
      <w:r>
        <w:t xml:space="preserve">for the same Backhaul concept</w:t>
      </w:r>
    </w:p>
    <w:p>
      <w:pPr>
        <w:pStyle w:val="FirstParagraph"/>
      </w:pPr>
      <w:r>
        <w:t xml:space="preserve">Simpler explanation than the earlier runtime-conditional theory:</w:t>
      </w:r>
      <w:r>
        <w:t xml:space="preserve"> </w:t>
      </w:r>
      <w:r>
        <w:rPr>
          <w:rStyle w:val="VerbatimChar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02</w:t>
      </w:r>
      <w:r>
        <w:rPr>
          <w:bCs/>
          <w:b/>
        </w:rPr>
        <w:t xml:space="preserve"> </w:t>
      </w:r>
      <w:r>
        <w:rPr>
          <w:bCs/>
          <w:b/>
        </w:rPr>
        <w:t xml:space="preserve">are different elements of the SAC segment, not competing values for the same slot.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SAC01 (Allowance/Charge indicator), while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is SAC12 (Method of Handling: off-invoice) — different pieces of information that happen to both imply the same practical outcome (this reduces the invoice). A given note template can surface either one in this flat-file position depending on which SAC element its author chose to expose, without either being wrong.</w:t>
      </w:r>
    </w:p>
    <w:p>
      <w:pPr>
        <w:pStyle w:val="BodyText"/>
      </w:pPr>
      <w:r>
        <w:t xml:space="preserve">This also explains the broader pattern already seen across many customers (some show alpha values at idx5, some show numeric) — it’s the same overloading, just also occurring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 single concept (Backhaul) across different real examples, not only across different customers.</w:t>
      </w:r>
    </w:p>
    <w:p>
      <w:pPr>
        <w:pStyle w:val="BodyText"/>
      </w:pPr>
      <w:r>
        <w:rPr>
          <w:bCs/>
          <w:b/>
        </w:rPr>
        <w:t xml:space="preserve">No code change needed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parse_hmc_generic()</w:t>
      </w:r>
      <w:r>
        <w:t xml:space="preserve"> </w:t>
      </w:r>
      <w:r>
        <w:t xml:space="preserve">already routes both cases to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correctly, since either SAC element is consistent with a reduction. This resolves the</w:t>
      </w:r>
      <w:r>
        <w:t xml:space="preserve"> </w:t>
      </w:r>
      <w:r>
        <w:t xml:space="preserve">“</w:t>
      </w:r>
      <w:r>
        <w:t xml:space="preserve">why,</w:t>
      </w:r>
      <w:r>
        <w:t xml:space="preserve">”</w:t>
      </w:r>
      <w:r>
        <w:t xml:space="preserve"> </w:t>
      </w:r>
      <w:r>
        <w:t xml:space="preserve">not the routing, which was already correct.</w:t>
      </w:r>
    </w:p>
    <w:bookmarkEnd w:id="35"/>
    <w:bookmarkStart w:id="36" w:name="confirmed-type-codes"/>
    <w:p>
      <w:pPr>
        <w:pStyle w:val="Heading3"/>
      </w:pPr>
      <w:r>
        <w:t xml:space="preserve">Confirmed type codes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(idx7)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School’s SAC02 list + overwhelming majority of customers (~100 of ~115 sampled)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(idx7)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promotionalAllowance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text</w:t>
            </w:r>
            <w:r>
              <w:t xml:space="preserve"> </w:t>
            </w:r>
            <w:r>
              <w:t xml:space="preserve">“</w:t>
            </w:r>
            <w:r>
              <w:t xml:space="preserve">PROMOTIONAL ALLOWANCE</w:t>
            </w:r>
            <w:r>
              <w:t xml:space="preserve">”</w:t>
            </w:r>
            <w:r>
              <w:t xml:space="preserve"> </w:t>
            </w:r>
            <w:r>
              <w:t xml:space="preserve">on 8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(idx6)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text</w:t>
            </w:r>
            <w:r>
              <w:t xml:space="preserve"> </w:t>
            </w:r>
            <w:r>
              <w:t xml:space="preserve">“</w:t>
            </w:r>
            <w:r>
              <w:t xml:space="preserve">BACKHAUL</w:t>
            </w:r>
            <w:r>
              <w:t xml:space="preserve">”</w:t>
            </w:r>
            <w:r>
              <w:t xml:space="preserve">, confirmed dollar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(idx7)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description text in note table; customer</w:t>
            </w:r>
            <w:r>
              <w:t xml:space="preserve"> </w:t>
            </w:r>
            <w:r>
              <w:rPr>
                <w:rStyle w:val="VerbatimChar"/>
              </w:rPr>
              <w:t xml:space="preserve">185006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(idx6)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description text in note table; 4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ZZZZ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(idx7)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documentation placeholder, not a real production code</w:t>
            </w:r>
          </w:p>
        </w:tc>
      </w:tr>
    </w:tbl>
    <w:bookmarkEnd w:id="36"/>
    <w:bookmarkStart w:id="37" w:name="open-assumption-flagged-in-code"/>
    <w:p>
      <w:pPr>
        <w:pStyle w:val="Heading3"/>
      </w:pPr>
      <w:r>
        <w:t xml:space="preserve">Open assumption flagged in code</w:t>
      </w:r>
    </w:p>
    <w:p>
      <w:pPr>
        <w:pStyle w:val="FirstParagraph"/>
      </w:pPr>
      <w:r>
        <w:t xml:space="preserve">For numeric-style rows (idx5 is a digit), there’s no true Allowance/Charge indicator field at all in the data seen so far — every example encountered represents a reduction (Backhaul, unknown code 53), so the parser defaults to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bucket for this style. This is an assumption, not a confirmed rule — if a numeric-style charge (not allowance) is ever found, this default needs revisiting.</w:t>
      </w:r>
    </w:p>
    <w:bookmarkEnd w:id="37"/>
    <w:bookmarkStart w:id="38" w:name="Xd2f2f9d4620f51f7973509a2a179db47fcb08f4"/>
    <w:p>
      <w:pPr>
        <w:pStyle w:val="Heading3"/>
      </w:pPr>
      <w:r>
        <w:t xml:space="preserve">Correction to earlier</w:t>
      </w:r>
      <w:r>
        <w:t xml:space="preserve"> </w:t>
      </w:r>
      <w:r>
        <w:t xml:space="preserve">“</w:t>
      </w:r>
      <w:r>
        <w:t xml:space="preserve">Off Invoice Promotion = Box Store A</w:t>
      </w:r>
      <w:r>
        <w:t xml:space="preserve">”</w:t>
      </w:r>
      <w:r>
        <w:t xml:space="preserve"> </w:t>
      </w:r>
      <w:r>
        <w:t xml:space="preserve">framing</w:t>
      </w:r>
    </w:p>
    <w:p>
      <w:pPr>
        <w:pStyle w:val="FirstParagraph"/>
      </w:pPr>
      <w:r>
        <w:t xml:space="preserve">“</w:t>
      </w:r>
      <w:r>
        <w:t xml:space="preserve">Off Invoice Promotion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 exclusive to one account</w:t>
      </w:r>
      <w:r>
        <w:t xml:space="preserve">. Four distinct customers (</w:t>
      </w:r>
      <w:r>
        <w:rPr>
          <w:rStyle w:val="VerbatimChar"/>
        </w:rPr>
        <w:t xml:space="preserve">2052809</w:t>
      </w:r>
      <w:r>
        <w:t xml:space="preserve">,</w:t>
      </w:r>
      <w:r>
        <w:t xml:space="preserve"> </w:t>
      </w:r>
      <w:r>
        <w:rPr>
          <w:rStyle w:val="VerbatimChar"/>
        </w:rPr>
        <w:t xml:space="preserve">2098000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2099627</w:t>
      </w:r>
      <w:r>
        <w:t xml:space="preserve">,</w:t>
      </w:r>
      <w:r>
        <w:t xml:space="preserve"> </w:t>
      </w:r>
      <w:r>
        <w:rPr>
          <w:rStyle w:val="VerbatimChar"/>
        </w:rPr>
        <w:t xml:space="preserve">2201330</w:t>
      </w:r>
      <w:r>
        <w:t xml:space="preserve">) use this identical LAL template independently. Only customer</w:t>
      </w:r>
      <w:r>
        <w:t xml:space="preserve"> </w:t>
      </w:r>
      <w:r>
        <w:rPr>
          <w:rStyle w:val="VerbatimChar"/>
        </w:rPr>
        <w:t xml:space="preserve">2052809</w:t>
      </w:r>
      <w:r>
        <w:t xml:space="preserve"> </w:t>
      </w:r>
      <w:r>
        <w:t xml:space="preserve">specifically combines it with the Backhaul HMC — that combination, not the LAL template alone, is what should be thought of as the specific</w:t>
      </w:r>
      <w:r>
        <w:t xml:space="preserve"> </w:t>
      </w:r>
      <w:r>
        <w:t xml:space="preserve">“</w:t>
      </w:r>
      <w:r>
        <w:t xml:space="preserve">Box Store A</w:t>
      </w:r>
      <w:r>
        <w:t xml:space="preserve">”</w:t>
      </w:r>
      <w:r>
        <w:t xml:space="preserve"> </w:t>
      </w:r>
      <w:r>
        <w:t xml:space="preserve">case.</w:t>
      </w:r>
    </w:p>
    <w:bookmarkEnd w:id="38"/>
    <w:bookmarkStart w:id="39" w:name="Xf4836b075e033393c79ec135c7c6566e2a42f7f"/>
    <w:p>
      <w:pPr>
        <w:pStyle w:val="Heading3"/>
      </w:pPr>
      <w:r>
        <w:t xml:space="preserve">LAL’s structural picture (partial — still needs its own validated rule)</w:t>
      </w:r>
    </w:p>
    <w:p>
      <w:pPr>
        <w:pStyle w:val="FirstParagraph"/>
      </w:pPr>
      <w:r>
        <w:t xml:space="preserve">LAL doesn’t cleanly fit the same two-state rule as HMC: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LAL\|\|\|\|@AUI\|A\|\|ZZZZ\|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(alpha)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idx7 (</w:t>
            </w:r>
            <w:r>
              <w:rPr>
                <w:rStyle w:val="VerbatimChar"/>
              </w:rPr>
              <w:t xml:space="preserve">ZZZZ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the alpha/idx7 pattern, same as HMC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LAL\|\|OFF INVOICE PROMOTION\|\|@ACN\|5\|02\|\|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numeric, but not the method code itself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idx6 (</w:t>
            </w:r>
            <w:r>
              <w:rPr>
                <w:rStyle w:val="VerbatimChar"/>
              </w:rPr>
              <w:t xml:space="preserve">02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third variant — idx5 holds an unidentified digit, and the true method code sits at idx6, unlike HMC’s numeric-style where idx5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method code</w:t>
            </w:r>
          </w:p>
        </w:tc>
      </w:tr>
    </w:tbl>
    <w:p>
      <w:pPr>
        <w:pStyle w:val="BodyText"/>
      </w:pPr>
      <w:r>
        <w:t xml:space="preserve">This third shape (</w:t>
      </w:r>
      <w:r>
        <w:rPr>
          <w:rStyle w:val="VerbatimChar"/>
        </w:rPr>
        <w:t xml:space="preserve">idx5="5"</w:t>
      </w:r>
      <w:r>
        <w:t xml:space="preserve">, still unresolved) is why LAL retains its own dedicated parser rather than being folded into</w:t>
      </w:r>
      <w:r>
        <w:t xml:space="preserve"> </w:t>
      </w:r>
      <w:r>
        <w:rPr>
          <w:rStyle w:val="VerbatimChar"/>
        </w:rPr>
        <w:t xml:space="preserve">parse_hmc_generic()</w:t>
      </w:r>
      <w:r>
        <w:t xml:space="preserve">’s logic.</w:t>
      </w:r>
    </w:p>
    <w:bookmarkEnd w:id="39"/>
    <w:bookmarkEnd w:id="40"/>
    <w:bookmarkStart w:id="41" w:name="X8b7053a35b6fe5db56c8003347ef0d12bc5de41"/>
    <w:p>
      <w:pPr>
        <w:pStyle w:val="Heading2"/>
      </w:pPr>
      <w:r>
        <w:t xml:space="preserve">SAC02 Code → Mosaic Bucket Reference (this partner’s code list)</w:t>
      </w:r>
    </w:p>
    <w:p>
      <w:pPr>
        <w:pStyle w:val="FirstParagraph"/>
      </w:pPr>
      <w:r>
        <w:rPr>
          <w:bCs/>
          <w:b/>
        </w:rPr>
        <w:t xml:space="preserve">Key structural finding:</w:t>
      </w:r>
      <w:r>
        <w:t xml:space="preserve"> </w:t>
      </w:r>
      <w:r>
        <w:t xml:space="preserve">not every SAC02 code is an allowance or charge — several are taxes, which belong in Mosaic’s separate</w:t>
      </w:r>
      <w:r>
        <w:t xml:space="preserve"> </w:t>
      </w:r>
      <w:r>
        <w:rPr>
          <w:rStyle w:val="VerbatimChar"/>
        </w:rPr>
        <w:t xml:space="preserve">taxes</w:t>
      </w:r>
      <w:r>
        <w:t xml:space="preserve"> </w:t>
      </w:r>
      <w:r>
        <w:t xml:space="preserve">object, not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/</w:t>
      </w:r>
      <w:r>
        <w:rPr>
          <w:rStyle w:val="VerbatimChar"/>
        </w:rPr>
        <w:t xml:space="preserve">charges[]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SAC02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Mosaic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Package Charge (Beer/Wine)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allowances[]</w:t>
            </w:r>
            <w:r>
              <w:t xml:space="preserve"> </w:t>
            </w:r>
            <w:r>
              <w:t xml:space="preserve">(uses SAC13 ref = original invoice 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 </w:t>
            </w:r>
            <w:r>
              <w:t xml:space="preserve">or a dedicated deposit field (not yet 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in Lieu of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Deposits (Beer/Wine)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EOP Tax (CA)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CRV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D220/D230/D240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Freight 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"freight"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Charge (Cigarettes)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Restocking Charge (Cigarettes)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"restocking"</w:t>
            </w:r>
            <w:r>
              <w:t xml:space="preserve"> </w:t>
            </w:r>
            <w:r>
              <w:t xml:space="preserve">(matches Orderful 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enum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Beverage 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taxes.localTax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taxes.stateProvincialTax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Excise Tax (Cigarettes)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</w:t>
            </w:r>
            <w:r>
              <w:t xml:space="preserve"> </w:t>
            </w:r>
            <w:r>
              <w:t xml:space="preserve">object — needs its own sub-field, not yet 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Cuyahoga Excise Tax (OH)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taxes.localTax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H720/H730/H740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Tax (various states)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Airgas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— no obvious tax/allowance/charge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</w:tbl>
    <w:p>
      <w:pPr>
        <w:pStyle w:val="BodyText"/>
      </w:pPr>
      <w:r>
        <w:t xml:space="preserve">This table is</w:t>
      </w:r>
      <w:r>
        <w:t xml:space="preserve"> </w:t>
      </w:r>
      <w:r>
        <w:rPr>
          <w:bCs/>
          <w:b/>
        </w:rPr>
        <w:t xml:space="preserve">not yet wired into the parser</w:t>
      </w:r>
      <w:r>
        <w:t xml:space="preserve"> </w:t>
      </w:r>
      <w:r>
        <w:t xml:space="preserve">— it’s a reference to build from once a live (non-placeholder) example using one of these codes is available. Building the routing logic before that risks encoding a guess as if it were confirmed.</w:t>
      </w:r>
    </w:p>
    <w:bookmarkEnd w:id="41"/>
    <w:bookmarkStart w:id="44" w:name="X4316ded166f920c2ce49e5dd4b4e30c71c73674"/>
    <w:p>
      <w:pPr>
        <w:pStyle w:val="Heading2"/>
      </w:pPr>
      <w:r>
        <w:t xml:space="preserve">School Account — HMC Spec (separate from Box Store A’s HMC layout)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this spec’s SAC02 codes are specified as exactly 4 characters (</w:t>
      </w:r>
      <w:r>
        <w:rPr>
          <w:rStyle w:val="VerbatimChar"/>
        </w:rPr>
        <w:t xml:space="preserve">G821</w:t>
      </w:r>
      <w:r>
        <w:t xml:space="preserve">,</w:t>
      </w:r>
      <w:r>
        <w:t xml:space="preserve"> </w:t>
      </w:r>
      <w:r>
        <w:rPr>
          <w:rStyle w:val="VerbatimChar"/>
        </w:rPr>
        <w:t xml:space="preserve">C310</w:t>
      </w:r>
      <w:r>
        <w:t xml:space="preserve">, etc.), which doesn’t match either raw value seen in Box Store A’s real</w:t>
      </w:r>
      <w:r>
        <w:t xml:space="preserve"> </w:t>
      </w:r>
      <w:r>
        <w:t xml:space="preserve">“</w:t>
      </w:r>
      <w:r>
        <w:t xml:space="preserve">BACKHAUL</w:t>
      </w:r>
      <w:r>
        <w:t xml:space="preserve">”</w:t>
      </w:r>
      <w:r>
        <w:t xml:space="preserve"> </w:t>
      </w:r>
      <w:r>
        <w:t xml:space="preserve">example (</w:t>
      </w:r>
      <w:r>
        <w:rPr>
          <w:rStyle w:val="VerbatimChar"/>
        </w:rPr>
        <w:t xml:space="preserve">"02"</w:t>
      </w:r>
      <w:r>
        <w:t xml:space="preserve">,</w:t>
      </w:r>
      <w:r>
        <w:t xml:space="preserve"> </w:t>
      </w:r>
      <w:r>
        <w:rPr>
          <w:rStyle w:val="VerbatimChar"/>
        </w:rPr>
        <w:t xml:space="preserve">"54"</w:t>
      </w:r>
      <w:r>
        <w:t xml:space="preserve"> </w:t>
      </w:r>
      <w:r>
        <w:t xml:space="preserve">— 2 characters each). This confirms HMC, like LAL, needs</w:t>
      </w:r>
      <w:r>
        <w:t xml:space="preserve"> </w:t>
      </w:r>
      <w:r>
        <w:rPr>
          <w:bCs/>
          <w:b/>
        </w:rPr>
        <w:t xml:space="preserve">partner-specific field-position mapping</w:t>
      </w:r>
      <w:r>
        <w:t xml:space="preserve">, not a shared layout — the code below is a reference for the values/categories, not yet a confirmed field-position map for this account.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SAC02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Mosaic 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Bottle Deposit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 </w:t>
            </w:r>
            <w:r>
              <w:t xml:space="preserve">or dedicated deposit field (not yet 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"freight"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enum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 Tax (CAD)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taxes.goodsAndServicesTax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direct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HST Tax (CAD)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taxes.harmonizedSalesTax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direct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PST Tax (CAD)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 Tax (CAD)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taxes.stateProvincialTax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goodsAndServicesTax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(generic)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taxes</w:t>
            </w:r>
            <w:r>
              <w:t xml:space="preserve"> </w:t>
            </w:r>
            <w:r>
              <w:t xml:space="preserve">— unclear which sub-field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"shipping"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enum match — validates earlier</w:t>
            </w:r>
            <w:r>
              <w:t xml:space="preserve"> </w:t>
            </w:r>
            <w:r>
              <w:t xml:space="preserve">“</w:t>
            </w:r>
            <w:r>
              <w:t xml:space="preserve">BACKHAUL</w:t>
            </w:r>
            <w:r>
              <w:t xml:space="preserve">”</w:t>
            </w:r>
            <w:r>
              <w:t xml:space="preserve"> </w:t>
            </w:r>
            <w:r>
              <w:t xml:space="preserve">guess conceptually, though that was a different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allowances[]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type: "discount"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enum match</w:t>
            </w:r>
          </w:p>
        </w:tc>
      </w:tr>
    </w:tbl>
    <w:p>
      <w:pPr>
        <w:pStyle w:val="BodyText"/>
      </w:pPr>
      <w:r>
        <w:t xml:space="preserve">Also note: this spec’s example shows</w:t>
      </w:r>
      <w:r>
        <w:t xml:space="preserve"> </w:t>
      </w:r>
      <w:r>
        <w:rPr>
          <w:rStyle w:val="VerbatimChar"/>
        </w:rPr>
        <w:t xml:space="preserve">SAC01 = "C"</w:t>
      </w:r>
      <w:r>
        <w:t xml:space="preserve"> </w:t>
      </w:r>
      <w:r>
        <w:t xml:space="preserve">(Charge), while Box Store A’s real LAL example used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(Allowance) — the indicator convention itself, not just the codes, varies by account.</w:t>
      </w:r>
    </w:p>
    <w:bookmarkStart w:id="42" w:name="confirmed-via-erp-note-table-template"/>
    <w:p>
      <w:pPr>
        <w:pStyle w:val="Heading3"/>
      </w:pPr>
      <w:r>
        <w:t xml:space="preserve">CONFIRMED via ERP note-table template</w:t>
      </w:r>
    </w:p>
    <w:p>
      <w:pPr>
        <w:pStyle w:val="FirstParagraph"/>
      </w:pPr>
      <w:r>
        <w:rPr>
          <w:rStyle w:val="VerbatimChar"/>
        </w:rPr>
        <w:t xml:space="preserve">HMC||||@AT|A||C310|</w:t>
      </w:r>
      <w:r>
        <w:t xml:space="preserve"> </w:t>
      </w:r>
      <w:r>
        <w:t xml:space="preserve">(School account —</w:t>
      </w:r>
      <w:r>
        <w:t xml:space="preserve"> </w:t>
      </w:r>
      <w:r>
        <w:rPr>
          <w:bCs/>
          <w:b/>
        </w:rPr>
        <w:t xml:space="preserve">a specific subset of schools, not necessarily all</w:t>
      </w:r>
      <w:r>
        <w:t xml:space="preserve"> </w:t>
      </w:r>
      <w:r>
        <w:t xml:space="preserve">— scope this per-account, not category-wide)</w:t>
      </w:r>
    </w:p>
    <w:p>
      <w:pPr>
        <w:pStyle w:val="BodyText"/>
      </w:pPr>
      <w:r>
        <w:rPr>
          <w:rStyle w:val="VerbatimChar"/>
        </w:rPr>
        <w:t xml:space="preserve">@AT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Allowance Total</w:t>
      </w:r>
      <w:r>
        <w:rPr>
          <w:bCs/>
          <w:b/>
        </w:rPr>
        <w:t xml:space="preserve">”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signals an ERP accumulation token, meaning this value is a</w:t>
      </w:r>
      <w:r>
        <w:t xml:space="preserve"> </w:t>
      </w:r>
      <w:r>
        <w:rPr>
          <w:bCs/>
          <w:b/>
        </w:rPr>
        <w:t xml:space="preserve">summed total across all occurrences of this allowance type for the invoice</w:t>
      </w:r>
      <w:r>
        <w:t xml:space="preserve">, not a single discrete line’s amount. Confirmed with a real live-style value:</w:t>
      </w:r>
      <w:r>
        <w:t xml:space="preserve"> </w:t>
      </w:r>
      <w:r>
        <w:rPr>
          <w:rStyle w:val="VerbatimChar"/>
        </w:rPr>
        <w:t xml:space="preserve">HMC||||10.00|A||C310|</w:t>
      </w:r>
      <w:r>
        <w:t xml:space="preserve"> </w:t>
      </w:r>
      <w:r>
        <w:t xml:space="preserve">represents a $10.00 total discount across the invoice. This resolves an earlier open question in this account’s favor: rolling HMC into invoice-level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isn’t just the safest available fallback — it’s the</w:t>
      </w:r>
      <w:r>
        <w:t xml:space="preserve"> </w:t>
      </w:r>
      <w:r>
        <w:rPr>
          <w:iCs/>
          <w:i/>
        </w:rPr>
        <w:t xml:space="preserve">structurally correct</w:t>
      </w:r>
      <w:r>
        <w:t xml:space="preserve"> </w:t>
      </w:r>
      <w:r>
        <w:t xml:space="preserve">target here, since the ERP itself generates this as an invoice-level accumulated figure, matching Mosaic’s</w:t>
      </w:r>
      <w:r>
        <w:t xml:space="preserve"> </w:t>
      </w:r>
      <w:r>
        <w:rPr>
          <w:rStyle w:val="VerbatimChar"/>
        </w:rPr>
        <w:t xml:space="preserve">allowances[]</w:t>
      </w:r>
      <w:r>
        <w:t xml:space="preserve"> </w:t>
      </w:r>
      <w:r>
        <w:t xml:space="preserve">shape directly. No further math (e.g. multiplying a per-unit rate by quantity) is needed for this field.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Confirmed (not just suspected) risk:</w:t>
      </w:r>
      <w:r>
        <w:t xml:space="preserve"> </w:t>
      </w:r>
      <w:r>
        <w:t xml:space="preserve">the live output file</w:t>
      </w:r>
      <w:r>
        <w:t xml:space="preserve"> </w:t>
      </w:r>
      <w:r>
        <w:rPr>
          <w:bCs/>
          <w:b/>
        </w:rPr>
        <w:t xml:space="preserve">only ever shows the substituted 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@AT</w:t>
      </w:r>
      <w:r>
        <w:t xml:space="preserve">,</w:t>
      </w:r>
      <w:r>
        <w:t xml:space="preserve"> </w:t>
      </w:r>
      <w:r>
        <w:rPr>
          <w:rStyle w:val="VerbatimChar"/>
        </w:rPr>
        <w:t xml:space="preserve">@AU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@AC</w:t>
      </w:r>
      <w:r>
        <w:t xml:space="preserve"> </w:t>
      </w:r>
      <w:r>
        <w:t xml:space="preserve">are never visible in real data, only in the ERP’s note-table configuration. This means the per-case/per-unit/total-invoice basis of any given real HMC or LAL line</w:t>
      </w:r>
      <w:r>
        <w:t xml:space="preserve"> </w:t>
      </w:r>
      <w:r>
        <w:rPr>
          <w:bCs/>
          <w:b/>
        </w:rPr>
        <w:t xml:space="preserve">cannot be determined from the live file alone, ever</w:t>
      </w:r>
      <w:r>
        <w:t xml:space="preserve"> </w:t>
      </w:r>
      <w:r>
        <w:t xml:space="preserve">— it must be tracked separately from the note-table pull.</w:t>
      </w:r>
      <w:r>
        <w:t xml:space="preserve"> </w:t>
      </w:r>
      <w:r>
        <w:rPr>
          <w:rStyle w:val="VerbatimChar"/>
        </w:rPr>
        <w:t xml:space="preserve">SCHOOL_ALLOWANCE_RATE_BASIS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_rate_basis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flag in the code reflect this as a permanent architectural constraint, not a temporary gap to be filled in later from live examples.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 (idx4)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— accumulated allowance total, real number substituted at invoice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position and meaning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 (idx5)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SAC01 indicator —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=Allowance routes to</w:t>
            </w:r>
            <w:r>
              <w:t xml:space="preserve"> </w:t>
            </w:r>
            <w:r>
              <w:rPr>
                <w:rStyle w:val="VerbatimChar"/>
              </w:rPr>
              <w:t xml:space="preserve">allowances[]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=Charge routes to</w:t>
            </w:r>
            <w:r>
              <w:t xml:space="preserve"> </w:t>
            </w:r>
            <w:r>
              <w:rPr>
                <w:rStyle w:val="VerbatimChar"/>
              </w:rPr>
              <w:t xml:space="preserve">charges[]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 (idx7)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SAC02 code =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direct match to School’s own code list</w:t>
            </w:r>
          </w:p>
        </w:tc>
      </w:tr>
    </w:tbl>
    <w:p>
      <w:pPr>
        <w:pStyle w:val="BodyText"/>
      </w:pPr>
      <w:r>
        <w:t xml:space="preserve">Parser implemented as</w:t>
      </w:r>
      <w:r>
        <w:t xml:space="preserve"> </w:t>
      </w:r>
      <w:r>
        <w:rPr>
          <w:rStyle w:val="VerbatimChar"/>
        </w:rPr>
        <w:t xml:space="preserve">parse_hmc_school()</w:t>
      </w:r>
      <w:r>
        <w:t xml:space="preserve">, dispatched via the same partner-key architecture as LAL. Needs School’s Ship-To Location Number (HST Field 2) added to</w:t>
      </w:r>
      <w:r>
        <w:t xml:space="preserve"> </w:t>
      </w:r>
      <w:r>
        <w:rPr>
          <w:rStyle w:val="VerbatimChar"/>
        </w:rPr>
        <w:t xml:space="preserve">PARTNER_ALIASES</w:t>
      </w:r>
      <w:r>
        <w:t xml:space="preserve"> </w:t>
      </w:r>
      <w:r>
        <w:t xml:space="preserve">to activate automatically.</w:t>
      </w:r>
    </w:p>
    <w:bookmarkEnd w:id="42"/>
    <w:bookmarkStart w:id="43" w:name="X1bd1f97bcd776ce2dbb480b363f5b7021224f75"/>
    <w:p>
      <w:pPr>
        <w:pStyle w:val="Heading3"/>
      </w:pPr>
      <w:r>
        <w:t xml:space="preserve">🎯 Better path forward: query the ERMS note table directly</w:t>
      </w:r>
    </w:p>
    <w:p>
      <w:pPr>
        <w:pStyle w:val="FirstParagraph"/>
      </w:pPr>
      <w:r>
        <w:t xml:space="preserve">Rather than waiting for live invoices to surface each discount/charge type one at a time,</w:t>
      </w:r>
      <w:r>
        <w:t xml:space="preserve"> </w:t>
      </w:r>
      <w:r>
        <w:rPr>
          <w:bCs/>
          <w:b/>
        </w:rPr>
        <w:t xml:space="preserve">querying the note table in ERMS for all distinct notes and their mapping values gives the full set of templates at once</w:t>
      </w:r>
      <w:r>
        <w:t xml:space="preserve"> </w:t>
      </w:r>
      <w:r>
        <w:t xml:space="preserve">— this is the actual source-of-truth configuration, not a sample of its output. Each distinct note/config row should reveal:</w:t>
      </w:r>
      <w:r>
        <w:t xml:space="preserve"> </w:t>
      </w:r>
      <w:r>
        <w:t xml:space="preserve">- Which SAC02 code it corresponds to</w:t>
      </w:r>
      <w:r>
        <w:t xml:space="preserve"> </w:t>
      </w:r>
      <w:r>
        <w:t xml:space="preserve">- Which field position holds the amount token (confirming whether it’s always idx4, or varies by note type)</w:t>
      </w:r>
      <w:r>
        <w:t xml:space="preserve"> </w:t>
      </w:r>
      <w:r>
        <w:t xml:space="preserve">- The SAC01 indicator for that note type (Allowance vs Charge)</w:t>
      </w:r>
    </w:p>
    <w:p>
      <w:pPr>
        <w:pStyle w:val="BodyText"/>
      </w:pPr>
      <w:r>
        <w:t xml:space="preserve">This is the recommended way to build out a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School mapping (and potentially cross-check Box Store A’s LAL/HMC config the same way, if an equivalent note-table exists for that account) rather than continuing to map one discovered example at a time.</w:t>
      </w:r>
    </w:p>
    <w:bookmarkEnd w:id="43"/>
    <w:bookmarkEnd w:id="44"/>
    <w:bookmarkStart w:id="45" w:name="implied-decimal-open-risk"/>
    <w:p>
      <w:pPr>
        <w:pStyle w:val="Heading2"/>
      </w:pPr>
      <w:r>
        <w:t xml:space="preserve">Implied Decimal — Open Risk</w:t>
      </w:r>
    </w:p>
    <w:p>
      <w:pPr>
        <w:pStyle w:val="FirstParagraph"/>
      </w:pPr>
      <w:r>
        <w:t xml:space="preserve">SAC05 per this partner’s spec uses an</w:t>
      </w:r>
      <w:r>
        <w:t xml:space="preserve"> </w:t>
      </w:r>
      <w:r>
        <w:rPr>
          <w:bCs/>
          <w:b/>
        </w:rPr>
        <w:t xml:space="preserve">implied decimal</w:t>
      </w:r>
      <w:r>
        <w:t xml:space="preserve"> </w:t>
      </w:r>
      <w:r>
        <w:t xml:space="preserve">convention (a raw digit string with no decimal point, where the decimal position is fixed by convention — commonly 2 places for USD, e.g. raw</w:t>
      </w:r>
      <w:r>
        <w:t xml:space="preserve"> </w:t>
      </w:r>
      <w:r>
        <w:rPr>
          <w:rStyle w:val="VerbatimChar"/>
        </w:rPr>
        <w:t xml:space="preserve">"500"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$5.00</w:t>
      </w:r>
      <w:r>
        <w:t xml:space="preserve">). This has NOT been confirmed for any specific field in this flat file format yet. Before trusting any amount field pulled from a SAC-derived record (LAL, HMC, or similar), check whether the source value already has a literal decimal point (as seen in LDT/TOT, e.g. </w:t>
      </w:r>
      <w:r>
        <w:rPr>
          <w:rStyle w:val="VerbatimChar"/>
        </w:rPr>
        <w:t xml:space="preserve">"2400.00"</w:t>
      </w:r>
      <w:r>
        <w:t xml:space="preserve">) or is a raw implied-decimal integer — these require different handling, and assuming the wrong one produces a silently wrong dollar amount, not a visible error.</w:t>
      </w:r>
    </w:p>
    <w:p>
      <w:pPr>
        <w:pStyle w:val="BodyText"/>
      </w:pPr>
      <w:r>
        <w:t xml:space="preserve">Real example:</w:t>
      </w:r>
      <w:r>
        <w:t xml:space="preserve"> </w:t>
      </w:r>
      <w:r>
        <w:rPr>
          <w:rStyle w:val="VerbatimChar"/>
        </w:rPr>
        <w:t xml:space="preserve">HMC||BACKHAUL||0|02|54||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Doc’s guess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"BACKHAUL"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"shipping"</w:t>
            </w:r>
            <w:r>
              <w:t xml:space="preserve"> </w:t>
            </w:r>
            <w:r>
              <w:t xml:space="preserve">— confirmed: BACKHAUL is a credit extended to the customer for handling their own pickup/return logistics, which fits Orderful’s shipping-allowance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Positive magnitude — the</w:t>
            </w:r>
            <w:r>
              <w:t xml:space="preserve"> </w:t>
            </w:r>
            <w:r>
              <w:rPr>
                <w:rStyle w:val="VerbatimChar"/>
              </w:rPr>
              <w:t xml:space="preserve">allowances[]</w:t>
            </w:r>
            <w:r>
              <w:t xml:space="preserve"> </w:t>
            </w:r>
            <w:r>
              <w:t xml:space="preserve">array itself signals this reduces the invoice total, no sign flip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</w:t>
            </w:r>
            <w:r>
              <w:t xml:space="preserve"> </w:t>
            </w:r>
            <w:r>
              <w:rPr>
                <w:rStyle w:val="VerbatimChar"/>
              </w:rPr>
              <w:t xml:space="preserve">"A"</w:t>
            </w:r>
            <w:r>
              <w:t xml:space="preserve"> </w:t>
            </w:r>
            <w:r>
              <w:t xml:space="preserve">(one 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"02"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Doc’s guess was wrong; still an unresolved qualifier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"54"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Doc’s guess was wrong; still an unresolved qualifier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 sort of number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populated in this example</w:t>
            </w:r>
          </w:p>
        </w:tc>
      </w:tr>
    </w:tbl>
    <w:p>
      <w:pPr>
        <w:pStyle w:val="BodyText"/>
      </w:pPr>
      <w:r>
        <w:t xml:space="preserve">Interesting note:</w:t>
      </w:r>
      <w:r>
        <w:t xml:space="preserve"> </w:t>
      </w:r>
      <w:r>
        <w:rPr>
          <w:rStyle w:val="VerbatimChar"/>
        </w:rPr>
        <w:t xml:space="preserve">"02"</w:t>
      </w:r>
      <w:r>
        <w:t xml:space="preserve"> </w:t>
      </w:r>
      <w:r>
        <w:t xml:space="preserve">appears in the same relative position in both the LAL and HMC examples seen so far — possibly a shared qualifier/type code across discount-type records, but this is a hypothesis, not confirmed.</w:t>
      </w:r>
    </w:p>
    <w:bookmarkEnd w:id="45"/>
    <w:bookmarkStart w:id="46" w:name="Xfc60e15ca7a2421dad8ab6f247464b314cfe1df"/>
    <w:p>
      <w:pPr>
        <w:pStyle w:val="Heading2"/>
      </w:pPr>
      <w:r>
        <w:t xml:space="preserve">Partner-Specific Discount Mapping (LAL / HMC)</w:t>
      </w:r>
    </w:p>
    <w:p>
      <w:pPr>
        <w:pStyle w:val="FirstParagraph"/>
      </w:pPr>
      <w:r>
        <w:rPr>
          <w:bCs/>
          <w:b/>
        </w:rPr>
        <w:t xml:space="preserve">Confirmed architectural finding:</w:t>
      </w:r>
      <w:r>
        <w:t xml:space="preserve"> </w:t>
      </w:r>
      <w:r>
        <w:t xml:space="preserve">LAL’s field layout is NOT universal across trading partners — each partner’s own EDI guideline can populate the underlying SAC segment elements differently, even though the flat file tag (</w:t>
      </w:r>
      <w:r>
        <w:rPr>
          <w:rStyle w:val="VerbatimChar"/>
        </w:rPr>
        <w:t xml:space="preserve">LAL</w:t>
      </w:r>
      <w:r>
        <w:t xml:space="preserve">) and general shape look the same. Box store A’s spec confirms this explicitly: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SAC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Store A’s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Allowance/Charge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present in some layouts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Allowance/Charge Method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"02"</w:t>
            </w:r>
            <w:r>
              <w:t xml:space="preserve"> </w:t>
            </w:r>
            <w:r>
              <w:t xml:space="preserve">= off-invoice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Allowance/Charge – Total (signed)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dollar amount, with +/- sign</w:t>
            </w:r>
          </w:p>
        </w:tc>
      </w:tr>
    </w:tbl>
    <w:p>
      <w:pPr>
        <w:pStyle w:val="BodyText"/>
      </w:pPr>
      <w:r>
        <w:t xml:space="preserve">Because of this, the parser now uses a</w:t>
      </w:r>
      <w:r>
        <w:t xml:space="preserve"> </w:t>
      </w:r>
      <w:r>
        <w:rPr>
          <w:bCs/>
          <w:b/>
        </w:rPr>
        <w:t xml:space="preserve">partner-keyed dispatch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LAL_PARTNER_PARSERS</w:t>
      </w:r>
      <w:r>
        <w:t xml:space="preserve">) rather than one universal field map:</w:t>
      </w:r>
    </w:p>
    <w:p>
      <w:pPr>
        <w:numPr>
          <w:ilvl w:val="0"/>
          <w:numId w:val="1004"/>
        </w:numPr>
        <w:pStyle w:val="Compact"/>
      </w:pPr>
      <w:r>
        <w:t xml:space="preserve">The partner key is resolved from the Ship-To Location Number (HST Field 2) via</w:t>
      </w:r>
      <w:r>
        <w:t xml:space="preserve"> </w:t>
      </w:r>
      <w:r>
        <w:rPr>
          <w:rStyle w:val="VerbatimChar"/>
        </w:rPr>
        <w:t xml:space="preserve">PARTNER_ALIASES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Known partners (currently just</w:t>
      </w:r>
      <w:r>
        <w:t xml:space="preserve"> </w:t>
      </w:r>
      <w:r>
        <w:rPr>
          <w:rStyle w:val="VerbatimChar"/>
        </w:rPr>
        <w:t xml:space="preserve">boxstore_a</w:t>
      </w:r>
      <w:r>
        <w:t xml:space="preserve">) get a dedicated parser confirmed against real data.</w:t>
      </w:r>
    </w:p>
    <w:p>
      <w:pPr>
        <w:numPr>
          <w:ilvl w:val="0"/>
          <w:numId w:val="1004"/>
        </w:numPr>
        <w:pStyle w:val="Compact"/>
      </w:pPr>
      <w:r>
        <w:t xml:space="preserve">Unknown partners fall back to</w:t>
      </w:r>
      <w:r>
        <w:t xml:space="preserve"> </w:t>
      </w:r>
      <w:r>
        <w:rPr>
          <w:rStyle w:val="VerbatimChar"/>
        </w:rPr>
        <w:t xml:space="preserve">parse_lal_default</w:t>
      </w:r>
      <w:r>
        <w:t xml:space="preserve">, which captures raw field values under</w:t>
      </w:r>
      <w:r>
        <w:t xml:space="preserve"> </w:t>
      </w:r>
      <w:r>
        <w:rPr>
          <w:rStyle w:val="VerbatimChar"/>
        </w:rPr>
        <w:t xml:space="preserve">_field5_raw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_field6_raw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_field7_raw</w:t>
      </w:r>
      <w:r>
        <w:t xml:space="preserve"> </w:t>
      </w:r>
      <w:r>
        <w:t xml:space="preserve">and flags</w:t>
      </w:r>
      <w:r>
        <w:t xml:space="preserve"> </w:t>
      </w:r>
      <w:r>
        <w:rPr>
          <w:rStyle w:val="VerbatimChar"/>
        </w:rPr>
        <w:t xml:space="preserve">_unmapped_partner: true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this output must never be sent to Orderful as-is</w:t>
      </w:r>
      <w:r>
        <w:t xml:space="preserve">; it exists so new partners are visibly caught rather than silently mis-mapped using another partner’s rules.</w:t>
      </w:r>
    </w:p>
    <w:p>
      <w:pPr>
        <w:pStyle w:val="FirstParagraph"/>
      </w:pPr>
      <w:r>
        <w:rPr>
          <w:bCs/>
          <w:b/>
        </w:rPr>
        <w:t xml:space="preserve">To onboard a new partner’s LAL layout:</w:t>
      </w:r>
      <w:r>
        <w:t xml:space="preserve"> </w:t>
      </w:r>
      <w:r>
        <w:t xml:space="preserve">1. Get a real (redacted) LAL example from that partner, ideally with a nonzero amount.</w:t>
      </w:r>
      <w:r>
        <w:t xml:space="preserve"> </w:t>
      </w:r>
      <w:r>
        <w:t xml:space="preserve">2. Get that partner’s own EDI/SAC guideline if available (as box store A provided).</w:t>
      </w:r>
      <w:r>
        <w:t xml:space="preserve"> </w:t>
      </w:r>
      <w:r>
        <w:t xml:space="preserve">3. Write a</w:t>
      </w:r>
      <w:r>
        <w:t xml:space="preserve"> </w:t>
      </w:r>
      <w:r>
        <w:rPr>
          <w:rStyle w:val="VerbatimChar"/>
        </w:rPr>
        <w:t xml:space="preserve">parse_lal_&lt;partner&gt;()</w:t>
      </w:r>
      <w:r>
        <w:t xml:space="preserve"> </w:t>
      </w:r>
      <w:r>
        <w:t xml:space="preserve">function following the</w:t>
      </w:r>
      <w:r>
        <w:t xml:space="preserve"> </w:t>
      </w:r>
      <w:r>
        <w:rPr>
          <w:rStyle w:val="VerbatimChar"/>
        </w:rPr>
        <w:t xml:space="preserve">parse_lal_boxstore_a()</w:t>
      </w:r>
      <w:r>
        <w:t xml:space="preserve"> </w:t>
      </w:r>
      <w:r>
        <w:t xml:space="preserve">pattern.</w:t>
      </w:r>
      <w:r>
        <w:t xml:space="preserve"> </w:t>
      </w:r>
      <w:r>
        <w:t xml:space="preserve">4. Register it in</w:t>
      </w:r>
      <w:r>
        <w:t xml:space="preserve"> </w:t>
      </w:r>
      <w:r>
        <w:rPr>
          <w:rStyle w:val="VerbatimChar"/>
        </w:rPr>
        <w:t xml:space="preserve">LAL_PARTNER_PARSERS</w:t>
      </w:r>
      <w:r>
        <w:t xml:space="preserve">, and map their Ship-To Location Number(s) in</w:t>
      </w:r>
      <w:r>
        <w:t xml:space="preserve"> </w:t>
      </w:r>
      <w:r>
        <w:rPr>
          <w:rStyle w:val="VerbatimChar"/>
        </w:rPr>
        <w:t xml:space="preserve">PARTNER_ALIASES</w:t>
      </w:r>
      <w:r>
        <w:t xml:space="preserve">.</w:t>
      </w:r>
      <w:r>
        <w:t xml:space="preserve"> </w:t>
      </w:r>
      <w:r>
        <w:t xml:space="preserve">5. Test against real data before trusting it.</w:t>
      </w:r>
    </w:p>
    <w:p>
      <w:pPr>
        <w:pStyle w:val="BodyText"/>
      </w:pPr>
      <w:r>
        <w:t xml:space="preserve">HMC has the same suspected partner-dependency (confirmed the underlying nomenclature differs —</w:t>
      </w:r>
      <w:r>
        <w:t xml:space="preserve"> </w:t>
      </w:r>
      <w:r>
        <w:rPr>
          <w:rStyle w:val="VerbatimChar"/>
        </w:rPr>
        <w:t xml:space="preserve">"BACKHAUL"</w:t>
      </w:r>
      <w:r>
        <w:t xml:space="preserve"> </w:t>
      </w:r>
      <w:r>
        <w:t xml:space="preserve">vs whatever the second box store uses) but does not yet have the partner-dispatch scaffolding built, since only one partner’s HMC example exists so far. Apply the same pattern once a second example is available.</w:t>
      </w:r>
    </w:p>
    <w:bookmarkEnd w:id="46"/>
    <w:bookmarkStart w:id="47" w:name="multi-invoice-batch-files"/>
    <w:p>
      <w:pPr>
        <w:pStyle w:val="Heading2"/>
      </w:pPr>
      <w:r>
        <w:t xml:space="preserve">Multi-Invoice Batch Files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.810</w:t>
      </w:r>
      <w:r>
        <w:t xml:space="preserve"> </w:t>
      </w:r>
      <w:r>
        <w:t xml:space="preserve">files can contain multiple invoices concatenated together, each starting at</w:t>
      </w:r>
      <w:r>
        <w:t xml:space="preserve"> </w:t>
      </w:r>
      <w:r>
        <w:rPr>
          <w:rStyle w:val="VerbatimChar"/>
        </w:rPr>
        <w:t xml:space="preserve">HDR</w:t>
      </w:r>
      <w:r>
        <w:t xml:space="preserve"> </w:t>
      </w:r>
      <w:r>
        <w:t xml:space="preserve">and closing at</w:t>
      </w:r>
      <w:r>
        <w:t xml:space="preserve"> </w:t>
      </w:r>
      <w:r>
        <w:rPr>
          <w:rStyle w:val="VerbatimChar"/>
        </w:rPr>
        <w:t xml:space="preserve">TOT</w:t>
      </w:r>
      <w:r>
        <w:t xml:space="preserve">. The parser splits on this boundary and returns one JSON object per invoice — confirmed against a real 6-invoice batch file.</w:t>
      </w:r>
    </w:p>
    <w:bookmarkEnd w:id="47"/>
    <w:bookmarkStart w:id="48" w:name="X736e4c20e446e95858e9103789d50b67795d87d"/>
    <w:p>
      <w:pPr>
        <w:pStyle w:val="Heading2"/>
      </w:pPr>
      <w:r>
        <w:t xml:space="preserve">How to extend this template for other transaction types (856, 850, 875, 880, 832)</w:t>
      </w:r>
    </w:p>
    <w:p>
      <w:pPr>
        <w:numPr>
          <w:ilvl w:val="0"/>
          <w:numId w:val="1005"/>
        </w:numPr>
        <w:pStyle w:val="Compact"/>
      </w:pPr>
      <w:r>
        <w:t xml:space="preserve">Get your internal flat-file layout doc for that transaction type (same as the</w:t>
      </w:r>
      <w:r>
        <w:t xml:space="preserve"> </w:t>
      </w:r>
      <w:r>
        <w:t xml:space="preserve">“</w:t>
      </w:r>
      <w:r>
        <w:t xml:space="preserve">IN 810 file layout</w:t>
      </w:r>
      <w:r>
        <w:t xml:space="preserve">”</w:t>
      </w:r>
      <w:r>
        <w:t xml:space="preserve"> </w:t>
      </w:r>
      <w:r>
        <w:t xml:space="preserve">doc).</w:t>
      </w:r>
    </w:p>
    <w:p>
      <w:pPr>
        <w:numPr>
          <w:ilvl w:val="0"/>
          <w:numId w:val="1005"/>
        </w:numPr>
        <w:pStyle w:val="Compact"/>
      </w:pPr>
      <w:r>
        <w:t xml:space="preserve">Get Orderful’s Mosaic schema for that transaction type from</w:t>
      </w:r>
      <w:r>
        <w:t xml:space="preserve"> </w:t>
      </w:r>
      <w:r>
        <w:rPr>
          <w:rStyle w:val="VerbatimChar"/>
        </w:rPr>
        <w:t xml:space="preserve">docs.orderful.com/reference/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shipping-notice.md</w:t>
      </w:r>
      <w:r>
        <w:t xml:space="preserve"> </w:t>
      </w:r>
      <w:r>
        <w:t xml:space="preserve">for 856,</w:t>
      </w:r>
      <w:r>
        <w:t xml:space="preserve"> </w:t>
      </w:r>
      <w:r>
        <w:rPr>
          <w:rStyle w:val="VerbatimChar"/>
        </w:rPr>
        <w:t xml:space="preserve">purchase-order-no-table.md</w:t>
      </w:r>
      <w:r>
        <w:t xml:space="preserve"> </w:t>
      </w:r>
      <w:r>
        <w:t xml:space="preserve">for 850).</w:t>
      </w:r>
    </w:p>
    <w:p>
      <w:pPr>
        <w:numPr>
          <w:ilvl w:val="0"/>
          <w:numId w:val="1005"/>
        </w:numPr>
        <w:pStyle w:val="Compact"/>
      </w:pPr>
      <w:r>
        <w:t xml:space="preserve">Pair fields one at a time, marking each ✅/🟡/❓ as you go — don’t guess silently on anything financial or identity-related (pricing, quantities, party IDs).</w:t>
      </w:r>
    </w:p>
    <w:p>
      <w:pPr>
        <w:numPr>
          <w:ilvl w:val="0"/>
          <w:numId w:val="1005"/>
        </w:numPr>
        <w:pStyle w:val="Compact"/>
      </w:pPr>
      <w:r>
        <w:t xml:space="preserve">Test against a real (redacted) sample file before trusting any mapping, since field-position assumptions are easy to get subtly wrong and hard to catch without real data.</w:t>
      </w:r>
    </w:p>
    <w:bookmarkEnd w:id="48"/>
    <w:bookmarkStart w:id="49" w:name="Xb9983c8f1baa090c1465c2746c227709cdbced9"/>
    <w:p>
      <w:pPr>
        <w:pStyle w:val="Heading2"/>
      </w:pPr>
      <w:r>
        <w:t xml:space="preserve">Cross-transaction findings (confirmed via 894 and direct 810 data)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Store Number confirmed at HDR Field 28 (idx27)</w:t>
      </w:r>
      <w:r>
        <w:t xml:space="preserve"> </w:t>
      </w:r>
      <w:r>
        <w:t xml:space="preserve">— same position confirmed independently for 894. Real 810 data:</w:t>
      </w:r>
      <w:r>
        <w:t xml:space="preserve"> </w:t>
      </w:r>
      <w:r>
        <w:rPr>
          <w:rStyle w:val="VerbatimChar"/>
        </w:rPr>
        <w:t xml:space="preserve">'1574'</w:t>
      </w:r>
      <w:r>
        <w:t xml:space="preserve">, also redundantly embedded in the Customer Name field itself (</w:t>
      </w:r>
      <w:r>
        <w:rPr>
          <w:rStyle w:val="VerbatimChar"/>
        </w:rPr>
        <w:t xml:space="preserve">'CUS STORE 1574'</w:t>
      </w:r>
      <w:r>
        <w:t xml:space="preserve">) on the same record.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HDR Field 27 (idx26) can hold a custom debit/credit override code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'DI'</w:t>
      </w:r>
      <w:r>
        <w:t xml:space="preserve">), not just the blank/</w:t>
      </w:r>
      <w:r>
        <w:rPr>
          <w:rStyle w:val="VerbatimChar"/>
        </w:rPr>
        <w:t xml:space="preserve">T</w:t>
      </w:r>
      <w:r>
        <w:t xml:space="preserve"> </w:t>
      </w:r>
      <w:r>
        <w:t xml:space="preserve">pattern originally documented. Consistent with the doc’s own note about custom</w:t>
      </w:r>
      <w:r>
        <w:t xml:space="preserve"> </w:t>
      </w:r>
      <w:r>
        <w:rPr>
          <w:rStyle w:val="VerbatimChar"/>
        </w:rPr>
        <w:t xml:space="preserve">XX/YY</w:t>
      </w:r>
      <w:r>
        <w:t xml:space="preserve"> </w:t>
      </w:r>
      <w:r>
        <w:t xml:space="preserve">overrides.</w:t>
      </w:r>
      <w:r>
        <w:t xml:space="preserve"> </w:t>
      </w:r>
      <w:r>
        <w:rPr>
          <w:rStyle w:val="VerbatimChar"/>
        </w:rPr>
        <w:t xml:space="preserve">parse_810_header.py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invoiceType</w:t>
      </w:r>
      <w:r>
        <w:t xml:space="preserve"> </w:t>
      </w:r>
      <w:r>
        <w:t xml:space="preserve">logic already handles this correctly — flags it as</w:t>
      </w:r>
      <w:r>
        <w:t xml:space="preserve"> </w:t>
      </w:r>
      <w:r>
        <w:rPr>
          <w:rStyle w:val="VerbatimChar"/>
        </w:rPr>
        <w:t xml:space="preserve">UNKNOWN_OVERRIDE:DI</w:t>
      </w:r>
      <w:r>
        <w:t xml:space="preserve"> </w:t>
      </w:r>
      <w:r>
        <w:t xml:space="preserve">rather than guessing a polarity.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Address Line 2 is not reliably a pure address field.</w:t>
      </w:r>
      <w:r>
        <w:t xml:space="preserve"> </w:t>
      </w:r>
      <w:r>
        <w:t xml:space="preserve">Real data shows</w:t>
      </w:r>
      <w:r>
        <w:t xml:space="preserve"> </w:t>
      </w:r>
      <w:r>
        <w:rPr>
          <w:rStyle w:val="VerbatimChar"/>
        </w:rPr>
        <w:t xml:space="preserve">'VENDOR  825211 900'</w:t>
      </w:r>
      <w:r>
        <w:t xml:space="preserve"> </w:t>
      </w:r>
      <w:r>
        <w:t xml:space="preserve">sitting in Ship-To’s Address Line 2 position — a vendor reference string, not address content. This is the same overloading behavior confirmed in 856’s</w:t>
      </w:r>
      <w:r>
        <w:t xml:space="preserve"> </w:t>
      </w:r>
      <w:r>
        <w:t xml:space="preserve">“</w:t>
      </w:r>
      <w:r>
        <w:t xml:space="preserve">fake</w:t>
      </w:r>
      <w:r>
        <w:t xml:space="preserve">”</w:t>
      </w:r>
      <w:r>
        <w:t xml:space="preserve"> </w:t>
      </w:r>
      <w:r>
        <w:t xml:space="preserve">program (</w:t>
      </w:r>
      <w:r>
        <w:rPr>
          <w:rStyle w:val="VerbatimChar"/>
        </w:rPr>
        <w:t xml:space="preserve">HS</w:t>
      </w:r>
      <w:r>
        <w:t xml:space="preserve"> </w:t>
      </w:r>
      <w:r>
        <w:t xml:space="preserve">Address Line 2 also carrying a vendor string). Anyone consuming this JSON downstream should be aware Address Line 2 can contain non-address data for certain accounts, rather than assuming it’s always safe to treat as a literal address line.</w:t>
      </w:r>
    </w:p>
    <w:bookmarkEnd w:id="49"/>
    <w:bookmarkStart w:id="53" w:name="X9a1276bb7f59f57c91e82b5de48e0fc4db5e99f"/>
    <w:p>
      <w:pPr>
        <w:pStyle w:val="Heading2"/>
      </w:pPr>
      <w:r>
        <w:t xml:space="preserve">🎯 Raw X12 cross-validation (two real orders: Park City/Costco and Umpqua/Costco)</w:t>
      </w:r>
    </w:p>
    <w:p>
      <w:pPr>
        <w:pStyle w:val="FirstParagraph"/>
      </w:pPr>
      <w:r>
        <w:t xml:space="preserve">Two complete real orders — one routed through Park City Group, one direct via SPS Commerce — were each matched against their actual transmitted X12 810. This is the first time 810 has been cross-validated against real raw EDI in this project (previously this level of validation only existed for 850, 894, and others).</w:t>
      </w:r>
    </w:p>
    <w:bookmarkStart w:id="50" w:name="confirmed-exact-matches-both-orders"/>
    <w:p>
      <w:pPr>
        <w:pStyle w:val="Heading3"/>
      </w:pPr>
      <w:r>
        <w:t xml:space="preserve">Confirmed exact matches, both orders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BIG01</w:t>
      </w:r>
      <w:r>
        <w:rPr>
          <w:bCs/>
          <w:b/>
        </w:rPr>
        <w:t xml:space="preserve"> </w:t>
      </w:r>
      <w:r>
        <w:rPr>
          <w:bCs/>
          <w:b/>
        </w:rPr>
        <w:t xml:space="preserve">= Invoice Date</w:t>
      </w:r>
      <w:r>
        <w:t xml:space="preserve"> </w:t>
      </w:r>
      <w:r>
        <w:t xml:space="preserve">(HDR Field 8) — confirmed via the Umpqua order specifically, where invoice date and PO date genuinely differ, disambiguating this cleanly from PO Date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BIG02</w:t>
      </w:r>
      <w:r>
        <w:rPr>
          <w:bCs/>
          <w:b/>
        </w:rPr>
        <w:t xml:space="preserve"> </w:t>
      </w:r>
      <w:r>
        <w:rPr>
          <w:bCs/>
          <w:b/>
        </w:rPr>
        <w:t xml:space="preserve">= Invoice Number</w:t>
      </w:r>
      <w:r>
        <w:t xml:space="preserve"> </w:t>
      </w:r>
      <w:r>
        <w:t xml:space="preserve">(HDR Field 4) — exact match, both orders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BIG03</w:t>
      </w:r>
      <w:r>
        <w:rPr>
          <w:bCs/>
          <w:b/>
        </w:rPr>
        <w:t xml:space="preserve"> </w:t>
      </w:r>
      <w:r>
        <w:rPr>
          <w:bCs/>
          <w:b/>
        </w:rPr>
        <w:t xml:space="preserve">= PO Date</w:t>
      </w:r>
      <w:r>
        <w:t xml:space="preserve"> </w:t>
      </w:r>
      <w:r>
        <w:t xml:space="preserve">(HDR Field 7, not Field 8) — confirmed exact for Umpqua; the Park City order’s actual values disagree by 2 days (see discrepancy note below) — the field position itself is correct, confirmed via the disambiguating Umpqua example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BIG04</w:t>
      </w:r>
      <w:r>
        <w:rPr>
          <w:bCs/>
          <w:b/>
        </w:rPr>
        <w:t xml:space="preserve"> </w:t>
      </w:r>
      <w:r>
        <w:rPr>
          <w:bCs/>
          <w:b/>
        </w:rPr>
        <w:t xml:space="preserve">= PO Number</w:t>
      </w:r>
      <w:r>
        <w:t xml:space="preserve"> </w:t>
      </w:r>
      <w:r>
        <w:t xml:space="preserve">(HDR Field 6) — exact match, both orders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N1*ST</w:t>
      </w:r>
      <w:r>
        <w:rPr>
          <w:bCs/>
          <w:b/>
        </w:rPr>
        <w:t xml:space="preserve"> </w:t>
      </w:r>
      <w:r>
        <w:rPr>
          <w:bCs/>
          <w:b/>
        </w:rPr>
        <w:t xml:space="preserve">qualifier-9 ID = Store Number</w:t>
      </w:r>
      <w:r>
        <w:t xml:space="preserve"> </w:t>
      </w:r>
      <w:r>
        <w:t xml:space="preserve">(HDR Field 28) — confirmed again, consistent with the 894/810 cross-transaction Store Number finding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IT1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bCs/>
          <w:b/>
        </w:rPr>
        <w:t xml:space="preserve">qualifier = LDT Field 3</w:t>
      </w:r>
      <w:r>
        <w:t xml:space="preserve"> </w:t>
      </w:r>
      <w:r>
        <w:t xml:space="preserve">(not Field 2) —</w:t>
      </w:r>
      <w:r>
        <w:t xml:space="preserve"> </w:t>
      </w:r>
      <w:r>
        <w:rPr>
          <w:bCs/>
          <w:b/>
        </w:rPr>
        <w:t xml:space="preserve">this was a real bug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parse_810_header.py</w:t>
      </w:r>
      <w:r>
        <w:t xml:space="preserve">, which read from Field 2 and returned the wrong value. Now fixed and verified against both real orders. Same underlying correction already made for 850’s</w:t>
      </w:r>
      <w:r>
        <w:t xml:space="preserve"> </w:t>
      </w:r>
      <w:r>
        <w:rPr>
          <w:rStyle w:val="VerbatimChar"/>
        </w:rPr>
        <w:t xml:space="preserve">customerItemNumber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PID</w:t>
      </w:r>
      <w:r>
        <w:rPr>
          <w:bCs/>
          <w:b/>
        </w:rPr>
        <w:t xml:space="preserve"> </w:t>
      </w:r>
      <w:r>
        <w:rPr>
          <w:bCs/>
          <w:b/>
        </w:rPr>
        <w:t xml:space="preserve">= LDT Field 8 (Item Description)</w:t>
      </w:r>
      <w:r>
        <w:t xml:space="preserve"> </w:t>
      </w:r>
      <w:r>
        <w:t xml:space="preserve">— exact text match, every line, both orders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TDS</w:t>
      </w:r>
      <w:r>
        <w:rPr>
          <w:bCs/>
          <w:b/>
        </w:rPr>
        <w:t xml:space="preserve"> 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TOT</w:t>
      </w:r>
      <w:r>
        <w:rPr>
          <w:bCs/>
          <w:b/>
        </w:rPr>
        <w:t xml:space="preserve"> </w:t>
      </w:r>
      <w:r>
        <w:rPr>
          <w:bCs/>
          <w:b/>
        </w:rPr>
        <w:t xml:space="preserve">Field 2 (Invoice Total), decimal implied</w:t>
      </w:r>
      <w:r>
        <w:t xml:space="preserve"> </w:t>
      </w:r>
      <w:r>
        <w:t xml:space="preserve">— exact match both orders (e.g. </w:t>
      </w:r>
      <w:r>
        <w:rPr>
          <w:rStyle w:val="VerbatimChar"/>
        </w:rPr>
        <w:t xml:space="preserve">921879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9218.79</w:t>
      </w:r>
      <w:r>
        <w:t xml:space="preserve">,</w:t>
      </w:r>
      <w:r>
        <w:t xml:space="preserve"> </w:t>
      </w:r>
      <w:r>
        <w:rPr>
          <w:rStyle w:val="VerbatimChar"/>
        </w:rPr>
        <w:t xml:space="preserve">538005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5380.05</w:t>
      </w:r>
      <w:r>
        <w:t xml:space="preserve">) — same decimal-implied convention confirmed elsewhere in this project (894’s</w:t>
      </w:r>
      <w:r>
        <w:t xml:space="preserve"> </w:t>
      </w:r>
      <w:r>
        <w:rPr>
          <w:rStyle w:val="VerbatimChar"/>
        </w:rPr>
        <w:t xml:space="preserve">TOT</w:t>
      </w:r>
      <w:r>
        <w:t xml:space="preserve">), now independently confirmed for 810 too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CTT</w:t>
      </w:r>
      <w:r>
        <w:rPr>
          <w:bCs/>
          <w:b/>
        </w:rPr>
        <w:t xml:space="preserve"> </w:t>
      </w:r>
      <w:r>
        <w:rPr>
          <w:bCs/>
          <w:b/>
        </w:rPr>
        <w:t xml:space="preserve">= line count</w:t>
      </w:r>
      <w:r>
        <w:t xml:space="preserve"> </w:t>
      </w:r>
      <w:r>
        <w:t xml:space="preserve">— exact match both orders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Negative quantities (returns/credits) are represented identically in both formats</w:t>
      </w:r>
      <w:r>
        <w:t xml:space="preserve"> </w:t>
      </w:r>
      <w:r>
        <w:t xml:space="preserve">— a real line with</w:t>
      </w:r>
      <w:r>
        <w:t xml:space="preserve"> </w:t>
      </w:r>
      <w:r>
        <w:rPr>
          <w:rStyle w:val="VerbatimChar"/>
        </w:rPr>
        <w:t xml:space="preserve">Qty = -1.00</w:t>
      </w:r>
      <w:r>
        <w:t xml:space="preserve"> </w:t>
      </w:r>
      <w:r>
        <w:t xml:space="preserve">in the flat file shows the identical literal negative value in the X12</w:t>
      </w:r>
      <w:r>
        <w:t xml:space="preserve"> </w:t>
      </w:r>
      <w:r>
        <w:rPr>
          <w:rStyle w:val="VerbatimChar"/>
        </w:rPr>
        <w:t xml:space="preserve">IT1</w:t>
      </w:r>
      <w:r>
        <w:t xml:space="preserve"> </w:t>
      </w:r>
      <w:r>
        <w:t xml:space="preserve">segment. Confirms return/credit handling doesn’t require special-casing on either side.</w:t>
      </w:r>
      <w:r>
        <w:t xml:space="preserve"> </w:t>
      </w:r>
      <w:r>
        <w:rPr>
          <w:bCs/>
          <w:b/>
        </w:rPr>
        <w:t xml:space="preserve">Confirmed at real scale, not just one line</w:t>
      </w:r>
      <w:r>
        <w:t xml:space="preserve">: the full raw Park City batch file (46 invoices, 45 stores, 241 total line items) shows 57 negative-quantity lines — roughly 24% of all lines. Returns/credits are a routine, frequent part of this real data, not a rare edge case.</w:t>
      </w:r>
    </w:p>
    <w:bookmarkEnd w:id="50"/>
    <w:bookmarkStart w:id="51" w:name="X5acd9c08378bbe4552e47ed30b71bc94a6854d3"/>
    <w:p>
      <w:pPr>
        <w:pStyle w:val="Heading3"/>
      </w:pPr>
      <w:r>
        <w:t xml:space="preserve">🎯 New, independently confirmed LDT pricing formula</w:t>
      </w:r>
    </w:p>
    <w:p>
      <w:pPr>
        <w:pStyle w:val="FirstParagraph"/>
      </w:pPr>
      <w:r>
        <w:rPr>
          <w:rStyle w:val="VerbatimChar"/>
        </w:rPr>
        <w:t xml:space="preserve">LDT</w:t>
      </w:r>
      <w:r>
        <w:t xml:space="preserve"> </w:t>
      </w:r>
      <w:r>
        <w:t xml:space="preserve">Field 17 (Pack) × Field 21 (Unit Price) = a trailing field further down the same line, confirmed with exact real numbers:</w:t>
      </w:r>
    </w:p>
    <w:p>
      <w:pPr>
        <w:pStyle w:val="SourceCode"/>
      </w:pPr>
      <w:r>
        <w:rPr>
          <w:rStyle w:val="VerbatimChar"/>
        </w:rPr>
        <w:t xml:space="preserve">UnitPrice (5.34680) × Pack (8) = 42.7744 — matches the real trailing field value exactly</w:t>
      </w:r>
    </w:p>
    <w:p>
      <w:pPr>
        <w:pStyle w:val="FirstParagraph"/>
      </w:pPr>
      <w:r>
        <w:t xml:space="preserve">This is the same</w:t>
      </w:r>
      <w:r>
        <w:t xml:space="preserve"> </w:t>
      </w:r>
      <w:r>
        <w:t xml:space="preserve">“</w:t>
      </w:r>
      <w:r>
        <w:t xml:space="preserve">price × pack</w:t>
      </w:r>
      <w:r>
        <w:t xml:space="preserve">”</w:t>
      </w:r>
      <w:r>
        <w:t xml:space="preserve"> </w:t>
      </w:r>
      <w:r>
        <w:t xml:space="preserve">relationship already confirmed for other transaction types elsewhere in this project (894’s weight/price chain), now independently confirmed for 810’s</w:t>
      </w:r>
      <w:r>
        <w:t xml:space="preserve"> </w:t>
      </w:r>
      <w:r>
        <w:rPr>
          <w:rStyle w:val="VerbatimChar"/>
        </w:rPr>
        <w:t xml:space="preserve">LDT</w:t>
      </w:r>
      <w:r>
        <w:t xml:space="preserve"> </w:t>
      </w:r>
      <w:r>
        <w:t xml:space="preserve">record specifically, with real verified numbers rather than assumption.</w:t>
      </w:r>
    </w:p>
    <w:bookmarkEnd w:id="51"/>
    <w:bookmarkStart w:id="52" w:name="X919c87183bc900eb7ec6be904ccbe5a2447e014"/>
    <w:p>
      <w:pPr>
        <w:pStyle w:val="Heading3"/>
      </w:pPr>
      <w:r>
        <w:t xml:space="preserve">Two discrepancies, specific to the Park City channel — documented, low priority</w:t>
      </w:r>
    </w:p>
    <w:p>
      <w:pPr>
        <w:pStyle w:val="FirstParagraph"/>
      </w:pPr>
      <w:r>
        <w:t xml:space="preserve">The Umpqua order’s equivalent fields matched exactly in every case, so these are not general mapping errors — something specific to Park City Group’s process or this account.</w:t>
      </w:r>
      <w:r>
        <w:t xml:space="preserve"> </w:t>
      </w:r>
      <w:r>
        <w:rPr>
          <w:bCs/>
          <w:b/>
        </w:rPr>
        <w:t xml:space="preserve">Confirmed not to be pivotal/business-critical</w:t>
      </w:r>
      <w:r>
        <w:t xml:space="preserve"> </w:t>
      </w:r>
      <w:r>
        <w:t xml:space="preserve">— noted here for completeness, not flagged as something requiring action.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Terms days.</w:t>
      </w:r>
      <w:r>
        <w:t xml:space="preserve"> </w:t>
      </w:r>
      <w:r>
        <w:t xml:space="preserve">The flat file shows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"Due 16 Days"</w:t>
      </w:r>
      <w:r>
        <w:t xml:space="preserve">, but the actual transmitted</w:t>
      </w:r>
      <w:r>
        <w:t xml:space="preserve"> </w:t>
      </w:r>
      <w:r>
        <w:rPr>
          <w:rStyle w:val="VerbatimChar"/>
        </w:rPr>
        <w:t xml:space="preserve">ITD</w:t>
      </w:r>
      <w:r>
        <w:t xml:space="preserve"> </w:t>
      </w:r>
      <w:r>
        <w:t xml:space="preserve">segment shows</w:t>
      </w:r>
      <w:r>
        <w:t xml:space="preserve"> </w:t>
      </w:r>
      <w:r>
        <w:rPr>
          <w:rStyle w:val="VerbatimChar"/>
        </w:rPr>
        <w:t xml:space="preserve">"21"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"DUE 21 DAYS"</w:t>
      </w:r>
      <w:r>
        <w:t xml:space="preserve"> </w:t>
      </w:r>
      <w:r>
        <w:t xml:space="preserve">— a 5-day difference.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 Date.</w:t>
      </w:r>
      <w:r>
        <w:t xml:space="preserve"> </w:t>
      </w:r>
      <w:r>
        <w:t xml:space="preserve">The flat file’s own value differs from what was actually transmitted by 2 days, for the same order.</w:t>
      </w:r>
    </w:p>
    <w:p>
      <w:pPr>
        <w:pStyle w:val="FirstParagraph"/>
      </w:pPr>
      <w:r>
        <w:t xml:space="preserve">Checked against the full raw batch file (46 invoices) rather than just the one matched order: terms show a real split, 39 of 46 invoices show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"Due 16 Days"</w:t>
      </w:r>
      <w:r>
        <w:t xml:space="preserve">, while 7 show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"Due 14 Days"</w:t>
      </w:r>
      <w:r>
        <w:t xml:space="preserve">. We only have a real transmitted-X12 comparison for one invoice from the</w:t>
      </w:r>
      <w:r>
        <w:t xml:space="preserve"> </w:t>
      </w:r>
      <w:r>
        <w:rPr>
          <w:rStyle w:val="VerbatimChar"/>
        </w:rPr>
        <w:t xml:space="preserve">16</w:t>
      </w:r>
      <w:r>
        <w:t xml:space="preserve">-day group (confirmed shifted to</w:t>
      </w:r>
      <w:r>
        <w:t xml:space="preserve"> </w:t>
      </w:r>
      <w:r>
        <w:rPr>
          <w:rStyle w:val="VerbatimChar"/>
        </w:rPr>
        <w:t xml:space="preserve">21</w:t>
      </w:r>
      <w:r>
        <w:t xml:space="preserve">) — whether the</w:t>
      </w:r>
      <w:r>
        <w:t xml:space="preserve"> </w:t>
      </w:r>
      <w:r>
        <w:rPr>
          <w:rStyle w:val="VerbatimChar"/>
        </w:rPr>
        <w:t xml:space="preserve">14</w:t>
      </w:r>
      <w:r>
        <w:t xml:space="preserve">-day group behaves the same way is unconfirmed, but given this isn’t a priority item, not worth chasing further unless something else surfaces that depends on it.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2026-10-20T19:29:16Z</dcterms:created>
  <dcterms:modified xsi:type="dcterms:W3CDTF">2026-10-20T19:29:16Z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