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98d57e7a21592d9a74f7b58ea7448204f847c55"/>
    <w:p>
      <w:pPr>
        <w:pStyle w:val="Heading1"/>
      </w:pPr>
      <w:r>
        <w:t xml:space="preserve">856 Ship Notice: Flat File → Orderful Mosaic JSON Mapping</w:t>
      </w:r>
    </w:p>
    <w:p>
      <w:pPr>
        <w:pStyle w:val="FirstParagraph"/>
      </w:pPr>
      <w:r>
        <w:t xml:space="preserve">Status legend: ✅ Confirmed  |  🟡 Working guess, untested against Orderful  |  ❓ Unresolved</w:t>
      </w:r>
    </w:p>
    <w:bookmarkStart w:id="20" w:name="X4176a2794e555399ed59e7aecdbb3be57858da9"/>
    <w:p>
      <w:pPr>
        <w:pStyle w:val="Heading2"/>
      </w:pPr>
      <w:r>
        <w:t xml:space="preserve">Two distinct source programs — confirmed, not assumed</w:t>
      </w:r>
    </w:p>
    <w:p>
      <w:pPr>
        <w:pStyle w:val="FirstParagraph"/>
      </w:pPr>
      <w:r>
        <w:t xml:space="preserve">Two files from different ERP generation programs were tested against real data. They produce genuinely different structures, not just different values: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UW-style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</w:t>
            </w:r>
            <w:r>
              <w:t xml:space="preserve"> </w:t>
            </w:r>
            <w:r>
              <w:t xml:space="preserve">field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(no SSCC)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(real SSCC)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field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(no pallet barcode/stack height)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(both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</w:t>
            </w:r>
            <w:r>
              <w:t xml:space="preserve"> </w:t>
            </w:r>
            <w:r>
              <w:rPr>
                <w:bCs/>
                <w:b/>
              </w:rPr>
              <w:t xml:space="preserve">ordered</w:t>
            </w:r>
            <w:r>
              <w:t xml:space="preserve"> </w:t>
            </w:r>
            <w:r>
              <w:t xml:space="preserve">— not a true pick/pack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</w:t>
            </w:r>
            <w:r>
              <w:t xml:space="preserve"> </w:t>
            </w:r>
            <w:r>
              <w:rPr>
                <w:bCs/>
                <w:b/>
              </w:rPr>
              <w:t xml:space="preserve">actually picked and labeled</w:t>
            </w:r>
            <w:r>
              <w:t xml:space="preserve"> </w:t>
            </w:r>
            <w:r>
              <w:t xml:space="preserve">onto physical pallets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Mosaic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orders[] → items[]</w:t>
            </w:r>
            <w:r>
              <w:t xml:space="preserve"> </w:t>
            </w:r>
            <w:r>
              <w:t xml:space="preserve">directly, no pallets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orders[] → pallets[] → items[]</w:t>
            </w:r>
            <w:r>
              <w:t xml:space="preserve">, pallets reconstructed from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context:</w:t>
      </w:r>
      <w:r>
        <w:t xml:space="preserve"> </w:t>
      </w:r>
      <w:r>
        <w:t xml:space="preserve">the RA-style flow predates the current true-labeling process. The long-term direction is for all customers to move to the UW-style (true pallet labeling) flow; RA remains in use for customers not yet transitioned. This is expected, current-state behavior — not a defect to fix in the mapping.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Consequence for RA-style data:</w:t>
      </w:r>
      <w:r>
        <w:t xml:space="preserve"> </w:t>
      </w:r>
      <w:r>
        <w:t xml:space="preserve">since there’s no real warehouse pick event behind it,</w:t>
      </w:r>
      <w:r>
        <w:t xml:space="preserve"> </w:t>
      </w:r>
      <w:r>
        <w:rPr>
          <w:rStyle w:val="VerbatimChar"/>
        </w:rPr>
        <w:t xml:space="preserve">quantityShipped</w:t>
      </w:r>
      <w:r>
        <w:t xml:space="preserve"> </w:t>
      </w:r>
      <w:r>
        <w:t xml:space="preserve">will always exactly equal the quantity ordered. There is no mechanism in this data to represent a partial ship, backorder, or substitution for RA-style customers. Anyone consuming this data downstream should know it does not confirm actual pick accuracy.</w:t>
      </w:r>
    </w:p>
    <w:bookmarkEnd w:id="20"/>
    <w:bookmarkStart w:id="21" w:name="hdr-header-shipment-level-fields"/>
    <w:p>
      <w:pPr>
        <w:pStyle w:val="Heading2"/>
      </w:pPr>
      <w:r>
        <w:t xml:space="preserve">HDR (Header) → shipment-level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4 (Order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shipmentId</w:t>
            </w:r>
            <w:r>
              <w:t xml:space="preserve">; also used as</w:t>
            </w:r>
            <w:r>
              <w:t xml:space="preserve"> </w:t>
            </w:r>
            <w:r>
              <w:rPr>
                <w:rStyle w:val="VerbatimChar"/>
              </w:rPr>
              <w:t xml:space="preserve">purchaseOrderNumber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(PO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purchaseOrderNumber</w:t>
            </w:r>
            <w:r>
              <w:t xml:space="preserve"> </w:t>
            </w:r>
            <w:r>
              <w:t xml:space="preserve">(preferred, when populated)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business rule confirmed: use PO Number if in use, fall back to Order Number. In all real sample data seen so far, PO Number is empty and Order Number is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 (Order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purchaseOrderDate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(Delivery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dates.deliveryDate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11 (Vendor 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captured, not currently used</w:t>
            </w:r>
          </w:p>
        </w:tc>
      </w:tr>
    </w:tbl>
    <w:bookmarkEnd w:id="21"/>
    <w:bookmarkStart w:id="22" w:name="hs-ship-to-parties.shipto"/>
    <w:p>
      <w:pPr>
        <w:pStyle w:val="Heading2"/>
      </w:pPr>
      <w:r>
        <w:t xml:space="preserve">HS (Ship-To) →</w:t>
      </w:r>
      <w:r>
        <w:t xml:space="preserve"> </w:t>
      </w:r>
      <w:r>
        <w:rPr>
          <w:rStyle w:val="VerbatimChar"/>
        </w:rPr>
        <w:t xml:space="preserve">parties.shipTo</w:t>
      </w:r>
    </w:p>
    <w:p>
      <w:pPr>
        <w:pStyle w:val="FirstParagraph"/>
      </w:pPr>
      <w:r>
        <w:t xml:space="preserve">Direct field-position match, same structure across both programs. ✅ Confirmed.</w:t>
      </w:r>
    </w:p>
    <w:bookmarkEnd w:id="22"/>
    <w:bookmarkStart w:id="23" w:name="ho-order-order-level-fields"/>
    <w:p>
      <w:pPr>
        <w:pStyle w:val="Heading2"/>
      </w:pPr>
      <w:r>
        <w:t xml:space="preserve">HO (Order) → order-level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 (Order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dates.shipDate</w:t>
            </w:r>
            <w:r>
              <w:t xml:space="preserve"> </w:t>
            </w:r>
            <w:r>
              <w:t xml:space="preserve">(fallback to HDR’s order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4 (SSCC, UW-style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consumed via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’s repeated barcode, not directly from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 as</w:t>
            </w:r>
            <w:r>
              <w:t xml:space="preserve"> </w:t>
            </w:r>
            <w:r>
              <w:rPr>
                <w:rStyle w:val="VerbatimChar"/>
              </w:rPr>
              <w:t xml:space="preserve">reference_number</w:t>
            </w:r>
            <w:r>
              <w:t xml:space="preserve">, not currently mapped to a Mosaic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Doc calls this</w:t>
            </w:r>
            <w:r>
              <w:t xml:space="preserve"> </w:t>
            </w:r>
            <w:r>
              <w:t xml:space="preserve">“</w:t>
            </w:r>
            <w:r>
              <w:t xml:space="preserve">PO Number,</w:t>
            </w:r>
            <w:r>
              <w:t xml:space="preserve">”</w:t>
            </w:r>
            <w:r>
              <w:t xml:space="preserve"> </w:t>
            </w:r>
            <w:r>
              <w:t xml:space="preserve">but its value doesn’t match either HDR field claiming to be a PO/Order number. Meaning unconfirmed — treated as an internal ERP reference, not trusted as the trading partner’s PO number.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HO’s SSCC (Field 4):</w:t>
      </w:r>
      <w:r>
        <w:t xml:space="preserve"> </w:t>
      </w:r>
      <w:r>
        <w:t xml:space="preserve">present but not directly used for pallet reconstruction — the actual grouping key that matters is</w:t>
      </w:r>
      <w:r>
        <w:t xml:space="preserve"> </w:t>
      </w:r>
      <w:r>
        <w:rPr>
          <w:rStyle w:val="VerbatimChar"/>
        </w:rPr>
        <w:t xml:space="preserve">HI</w:t>
      </w:r>
      <w:r>
        <w:t xml:space="preserve">’s own repeated barcode field (see below). Confirmed via real UW data that</w:t>
      </w:r>
      <w:r>
        <w:t xml:space="preserve"> </w:t>
      </w:r>
      <w:r>
        <w:rPr>
          <w:rStyle w:val="VerbatimChar"/>
        </w:rPr>
        <w:t xml:space="preserve">HO</w:t>
      </w:r>
      <w:r>
        <w:t xml:space="preserve">’s SSCC is a different value from the per-pallet barcodes seen in</w:t>
      </w:r>
      <w:r>
        <w:t xml:space="preserve"> </w:t>
      </w:r>
      <w:r>
        <w:rPr>
          <w:rStyle w:val="VerbatimChar"/>
        </w:rPr>
        <w:t xml:space="preserve">HI</w:t>
      </w:r>
      <w:r>
        <w:t xml:space="preserve">, suggesting it represents the shipment as a whole rather than any individual pallet.</w:t>
      </w:r>
    </w:p>
    <w:bookmarkEnd w:id="23"/>
    <w:bookmarkStart w:id="25" w:name="Xeacc2f73937b99b333e1bc1e67ec064c5d5540d"/>
    <w:p>
      <w:pPr>
        <w:pStyle w:val="Heading2"/>
      </w:pPr>
      <w:r>
        <w:t xml:space="preserve">HI (Item) → item-level fields, and pallet reconstruction (UW-style)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 (Item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productIds.vendorItemNumber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 (UPC)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productIds.gtin12</w:t>
            </w:r>
            <w:r>
              <w:t xml:space="preserve"> </w:t>
            </w:r>
            <w:r>
              <w:t xml:space="preserve">(only if exactly 12 digits)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(UOM)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quantityShipped.unitOfMeasure</w:t>
            </w:r>
            <w:r>
              <w:t xml:space="preserve">, via lookup (</w:t>
            </w:r>
            <w:r>
              <w:rPr>
                <w:rStyle w:val="VerbatimChar"/>
              </w:rPr>
              <w:t xml:space="preserve">CA</w:t>
            </w:r>
            <w:r>
              <w:t xml:space="preserve">→</w:t>
            </w: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</w:t>
            </w:r>
            <w:r>
              <w:t xml:space="preserve">→</w:t>
            </w:r>
            <w:r>
              <w:rPr>
                <w:rStyle w:val="VerbatimChar"/>
              </w:rPr>
              <w:t xml:space="preserve">each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(Item Description)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productAttributes.description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13 (Order Quantity)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quantityShipped.value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purchaseOrderLineId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Corrected from the doc</w:t>
            </w:r>
            <w:r>
              <w:t xml:space="preserve">, which guessed</w:t>
            </w:r>
            <w:r>
              <w:t xml:space="preserve"> </w:t>
            </w:r>
            <w:r>
              <w:t xml:space="preserve">“</w:t>
            </w:r>
            <w:r>
              <w:t xml:space="preserve">Null</w:t>
            </w:r>
            <w:r>
              <w:t xml:space="preserve">”</w:t>
            </w:r>
            <w:r>
              <w:t xml:space="preserve"> </w:t>
            </w:r>
            <w:r>
              <w:t xml:space="preserve">here. Real RA data shows a genuine incrementing line number (1, 2, 3…). UW-style data always shows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here — inconsistent with RA, reason unconfirmed, but doesn’t block anything currently.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21 (Unit Price)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mapped to a Mosaic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captured, unclear if Ship Notice needs pricing at all (Invoice carries this; ASN may not need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26 (Pallet Barcode, UW-style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actual pallet-grouping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Confirmed: consecutive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rows sharing the same value here belong to the same physical pallet. This is how pallets are reconstructed — there is no separate per-pallet record in the flat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32 (Stack High Count, UW-style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pallets[].stackHighCount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 pallet-level attribute, repeated identically across every item row in that pallet — confirmed consistent in real data.</w:t>
            </w:r>
          </w:p>
        </w:tc>
      </w:tr>
    </w:tbl>
    <w:bookmarkStart w:id="24" w:name="Xa95467c03f26ba9c6d0f3441824e96afe30b65e"/>
    <w:p>
      <w:pPr>
        <w:pStyle w:val="Heading3"/>
      </w:pPr>
      <w:r>
        <w:t xml:space="preserve">Pallet reconstruction algorithm (UW-style only)</w:t>
      </w:r>
    </w:p>
    <w:p>
      <w:pPr>
        <w:pStyle w:val="FirstParagraph"/>
      </w:pPr>
      <w:r>
        <w:t xml:space="preserve">Walk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rows in file order. Start a new pallet whenever the barcode value (Field 26) changes from the previous row. All consecutive rows sharing the same barcode belong to the same pallet. Implemented in</w:t>
      </w:r>
      <w:r>
        <w:t xml:space="preserve"> </w:t>
      </w:r>
      <w:r>
        <w:rPr>
          <w:rStyle w:val="VerbatimChar"/>
        </w:rPr>
        <w:t xml:space="preserve">parse_856.py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build_mosaic_shipment()</w:t>
      </w:r>
      <w:r>
        <w:t xml:space="preserve">.</w:t>
      </w:r>
    </w:p>
    <w:bookmarkEnd w:id="24"/>
    <w:bookmarkEnd w:id="25"/>
    <w:bookmarkStart w:id="26" w:name="known-gaps-not-yet-mapped"/>
    <w:p>
      <w:pPr>
        <w:pStyle w:val="Heading2"/>
      </w:pPr>
      <w:r>
        <w:t xml:space="preserve">Known gaps — not yet mapped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parties.shipFrom</w:t>
      </w:r>
      <w:r>
        <w:t xml:space="preserve"> </w:t>
      </w:r>
      <w:r>
        <w:t xml:space="preserve">— no equivalent source record identified in the flat-file layout at all (same category of gap as 810’s missing</w:t>
      </w:r>
      <w:r>
        <w:t xml:space="preserve"> </w:t>
      </w:r>
      <w:r>
        <w:rPr>
          <w:rStyle w:val="VerbatimChar"/>
        </w:rPr>
        <w:t xml:space="preserve">HRT</w:t>
      </w:r>
      <w:r>
        <w:t xml:space="preserve">-to-</w:t>
      </w:r>
      <w:r>
        <w:rPr>
          <w:rStyle w:val="VerbatimChar"/>
        </w:rPr>
        <w:t xml:space="preserve">accountsReceivable</w:t>
      </w:r>
      <w:r>
        <w:t xml:space="preserve"> </w:t>
      </w:r>
      <w:r>
        <w:t xml:space="preserve">question, but here there’s no candidate record even to guess from). Likely comes from account/config-level defaults outside the file, or isn’t captured by this ERP flow at all. Needs direct confirmation.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carrierDetails</w:t>
      </w:r>
      <w:r>
        <w:t xml:space="preserve"> </w:t>
      </w:r>
      <w:r>
        <w:t xml:space="preserve">— present in the real Mosaic sample (and matches 810’s carrier data for the same shipment), but no source field identified in</w:t>
      </w:r>
      <w:r>
        <w:t xml:space="preserve"> </w:t>
      </w:r>
      <w:r>
        <w:rPr>
          <w:rStyle w:val="VerbatimChar"/>
        </w:rPr>
        <w:t xml:space="preserve">HDR</w:t>
      </w:r>
      <w:r>
        <w:t xml:space="preserve">/</w:t>
      </w:r>
      <w:r>
        <w:rPr>
          <w:rStyle w:val="VerbatimChar"/>
        </w:rPr>
        <w:t xml:space="preserve">HS</w:t>
      </w:r>
      <w:r>
        <w:t xml:space="preserve">/</w:t>
      </w:r>
      <w:r>
        <w:rPr>
          <w:rStyle w:val="VerbatimChar"/>
        </w:rPr>
        <w:t xml:space="preserve">HO</w:t>
      </w:r>
      <w:r>
        <w:t xml:space="preserve">/</w:t>
      </w:r>
      <w:r>
        <w:rPr>
          <w:rStyle w:val="VerbatimChar"/>
        </w:rPr>
        <w:t xml:space="preserve">HI</w:t>
      </w:r>
      <w:r>
        <w:t xml:space="preserve"> </w:t>
      </w:r>
      <w:r>
        <w:t xml:space="preserve">at all.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references</w:t>
      </w:r>
      <w:r>
        <w:t xml:space="preserve"> </w:t>
      </w:r>
      <w:r>
        <w:t xml:space="preserve">(bill of lading, PRO number, vendor number) — populated in the real Mosaic sample, but not yet traced to a source field in our flat file.</w:t>
      </w:r>
      <w:r>
        <w:t xml:space="preserve"> </w:t>
      </w:r>
      <w:r>
        <w:rPr>
          <w:rStyle w:val="VerbatimChar"/>
        </w:rPr>
        <w:t xml:space="preserve">HDR</w:t>
      </w:r>
      <w:r>
        <w:t xml:space="preserve"> </w:t>
      </w:r>
      <w:r>
        <w:t xml:space="preserve">Field 11 may partially cover vendor number; bill of lading and PRO number have no identified source yet.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purpose</w:t>
      </w:r>
      <w:r>
        <w:t xml:space="preserve"> </w:t>
      </w:r>
      <w:r>
        <w:t xml:space="preserve">(original/cancellation/change) — not sourced from the flat file; every real shipment seen so far would presumably be</w:t>
      </w:r>
      <w:r>
        <w:t xml:space="preserve"> </w:t>
      </w:r>
      <w:r>
        <w:rPr>
          <w:rStyle w:val="VerbatimChar"/>
        </w:rPr>
        <w:t xml:space="preserve">"original"</w:t>
      </w:r>
      <w:r>
        <w:t xml:space="preserve">, but this needs to be set explicitly rather than assumed universally correct.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HDR Field 6’s emptiness</w:t>
      </w:r>
      <w:r>
        <w:t xml:space="preserve"> </w:t>
      </w:r>
      <w:r>
        <w:t xml:space="preserve">— worth confirming with the ERP-owning team whether PO Number is ever actually populated in practice for either program, or whether the fallback-to-Order-Number path is effectively always taken today.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2026-08-12T18:57:24Z</dcterms:created>
  <dcterms:modified xsi:type="dcterms:W3CDTF">2026-08-12T18:57:24Z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