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24d6664f6c572395c0c246d376ed04914e233ce"/>
    <w:p>
      <w:pPr>
        <w:pStyle w:val="Heading1"/>
      </w:pPr>
      <w:r>
        <w:t xml:space="preserve">850 Purchase Order: Flat File → JSON Field Mapping</w:t>
      </w:r>
    </w:p>
    <w:p>
      <w:pPr>
        <w:pStyle w:val="FirstParagraph"/>
      </w:pPr>
      <w:r>
        <w:t xml:space="preserve">Status legend: ✅ Confirmed  |  🟡 Working guess, from doc only  |  ❓ Unresolved</w:t>
      </w:r>
    </w:p>
    <w:bookmarkStart w:id="20" w:name="X854b3cc60a09d020e86ba286f3bb4aa875ace33"/>
    <w:p>
      <w:pPr>
        <w:pStyle w:val="Heading2"/>
      </w:pPr>
      <w:r>
        <w:t xml:space="preserve">⚠️ Direction of flow — the one inbound transaction type in this project</w:t>
      </w:r>
    </w:p>
    <w:p>
      <w:pPr>
        <w:pStyle w:val="FirstParagraph"/>
      </w:pPr>
      <w:r>
        <w:rPr>
          <w:bCs/>
          <w:b/>
        </w:rPr>
        <w:t xml:space="preserve">850 is inbound</w:t>
      </w:r>
      <w:r>
        <w:t xml:space="preserve">, unlike every other transaction type covered elsewhere in this work (810, 856, 894 — all outbound). The flow is:</w:t>
      </w:r>
    </w:p>
    <w:p>
      <w:pPr>
        <w:pStyle w:val="BodyText"/>
      </w:pPr>
      <w:r>
        <w:rPr>
          <w:bCs/>
          <w:b/>
        </w:rPr>
        <w:t xml:space="preserve">Trading partner generates raw EDI → VAN converts it → produces the flat file → our system imports the flat file.</w:t>
      </w:r>
    </w:p>
    <w:p>
      <w:pPr>
        <w:pStyle w:val="BodyText"/>
      </w:pPr>
      <w:r>
        <w:t xml:space="preserve">This is the reverse of 810/856/894, where</w:t>
      </w:r>
      <w:r>
        <w:t xml:space="preserve"> </w:t>
      </w:r>
      <w:r>
        <w:rPr>
          <w:iCs/>
          <w:i/>
        </w:rPr>
        <w:t xml:space="preserve">our</w:t>
      </w:r>
      <w:r>
        <w:t xml:space="preserve"> </w:t>
      </w:r>
      <w:r>
        <w:t xml:space="preserve">flat file is the starting point we generate, and the VAN converts</w:t>
      </w:r>
      <w:r>
        <w:t xml:space="preserve"> </w:t>
      </w:r>
      <w:r>
        <w:rPr>
          <w:iCs/>
          <w:i/>
        </w:rPr>
        <w:t xml:space="preserve">that</w:t>
      </w:r>
      <w:r>
        <w:t xml:space="preserve"> </w:t>
      </w:r>
      <w:r>
        <w:t xml:space="preserve">into outbound EDI sent to a trading partner. For 850, the flat file is not something we create — it’s the VAN’s translation of EDI we received, and it exists specifically so our system can import and act on the order. Every</w:t>
      </w:r>
      <w:r>
        <w:t xml:space="preserve"> </w:t>
      </w:r>
      <w:r>
        <w:t xml:space="preserve">“</w:t>
      </w:r>
      <w:r>
        <w:t xml:space="preserve">source</w:t>
      </w:r>
      <w:r>
        <w:t xml:space="preserve">”</w:t>
      </w:r>
      <w:r>
        <w:t xml:space="preserve"> </w:t>
      </w:r>
      <w:r>
        <w:t xml:space="preserve">reference in this document means the inbound flat file the VAN produced, not something generated internally.</w:t>
      </w:r>
    </w:p>
    <w:p>
      <w:pPr>
        <w:pStyle w:val="BodyText"/>
      </w:pPr>
      <w:r>
        <w:t xml:space="preserve">This covers both source formats found in real data: the pipe-delimited</w:t>
      </w:r>
      <w:r>
        <w:t xml:space="preserve"> </w:t>
      </w:r>
      <w:r>
        <w:rPr>
          <w:rStyle w:val="VerbatimChar"/>
        </w:rPr>
        <w:t xml:space="preserve">NCS</w:t>
      </w:r>
      <w:r>
        <w:t xml:space="preserve">/</w:t>
      </w:r>
      <w:r>
        <w:rPr>
          <w:rStyle w:val="VerbatimChar"/>
        </w:rPr>
        <w:t xml:space="preserve">NCW</w:t>
      </w:r>
      <w:r>
        <w:t xml:space="preserve"> </w:t>
      </w:r>
      <w:r>
        <w:t xml:space="preserve">files (matching our documented internal layout) and the fixed-width</w:t>
      </w:r>
      <w:r>
        <w:t xml:space="preserve"> </w:t>
      </w:r>
      <w:r>
        <w:rPr>
          <w:rStyle w:val="VerbatimChar"/>
        </w:rPr>
        <w:t xml:space="preserve">PRODUCERS_ORDERS</w:t>
      </w:r>
      <w:r>
        <w:t xml:space="preserve"> </w:t>
      </w:r>
      <w:r>
        <w:t xml:space="preserve">files (Park City Group’s format, used for Costco/Walmart). JSON field names below are the exact keys produced by</w:t>
      </w:r>
      <w:r>
        <w:t xml:space="preserve"> </w:t>
      </w:r>
      <w:r>
        <w:rPr>
          <w:rStyle w:val="VerbatimChar"/>
        </w:rPr>
        <w:t xml:space="preserve">parse_pipe_850.py</w:t>
      </w:r>
      <w:r>
        <w:t xml:space="preserve"> </w:t>
      </w:r>
      <w:r>
        <w:t xml:space="preserve">and</w:t>
      </w:r>
      <w:r>
        <w:t xml:space="preserve"> </w:t>
      </w:r>
      <w:r>
        <w:rPr>
          <w:rStyle w:val="VerbatimChar"/>
        </w:rPr>
        <w:t xml:space="preserve">parse_pcg_fixed.py</w:t>
      </w:r>
      <w:r>
        <w:t xml:space="preserve"> </w:t>
      </w:r>
      <w:r>
        <w:t xml:space="preserve">— not conceptual names, the real output keys.</w:t>
      </w:r>
    </w:p>
    <w:p>
      <w:r>
        <w:pict>
          <v:rect style="width:0;height:1.5pt" o:hralign="center" o:hrstd="t" o:hr="t"/>
        </w:pict>
      </w:r>
    </w:p>
    <w:bookmarkEnd w:id="20"/>
    <w:bookmarkStart w:id="30" w:name="X6fb685746c1075e735a85b035f3aa8b549079e8"/>
    <w:p>
      <w:pPr>
        <w:pStyle w:val="Heading2"/>
      </w:pPr>
      <w:r>
        <w:t xml:space="preserve">Format 1: Pipe-Delimited (</w:t>
      </w:r>
      <w:r>
        <w:rPr>
          <w:rStyle w:val="VerbatimChar"/>
        </w:rPr>
        <w:t xml:space="preserve">NCS</w:t>
      </w:r>
      <w:r>
        <w:t xml:space="preserve"> </w:t>
      </w:r>
      <w:r>
        <w:t xml:space="preserve">/</w:t>
      </w:r>
      <w:r>
        <w:t xml:space="preserve"> </w:t>
      </w:r>
      <w:r>
        <w:rPr>
          <w:rStyle w:val="VerbatimChar"/>
        </w:rPr>
        <w:t xml:space="preserve">NCW</w:t>
      </w:r>
      <w:r>
        <w:t xml:space="preserve"> </w:t>
      </w:r>
      <w:r>
        <w:t xml:space="preserve">files) →</w:t>
      </w:r>
      <w:r>
        <w:t xml:space="preserve"> </w:t>
      </w:r>
      <w:r>
        <w:rPr>
          <w:rStyle w:val="VerbatimChar"/>
        </w:rPr>
        <w:t xml:space="preserve">parse_pipe_850.py</w:t>
      </w:r>
    </w:p>
    <w:bookmarkStart w:id="21" w:name="hdr-order-header"/>
    <w:p>
      <w:pPr>
        <w:pStyle w:val="Heading3"/>
      </w:pPr>
      <w:r>
        <w:t xml:space="preserve">HDR → order header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Flat file</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Field 2</w:t>
            </w:r>
          </w:p>
        </w:tc>
        <w:tc>
          <w:tcPr/>
          <w:p>
            <w:pPr>
              <w:pStyle w:val="Compact"/>
              <w:jc w:val="left"/>
            </w:pPr>
            <w:r>
              <w:rPr>
                <w:rStyle w:val="VerbatimChar"/>
              </w:rPr>
              <w:t xml:space="preserve">receivedDate</w:t>
            </w:r>
          </w:p>
        </w:tc>
        <w:tc>
          <w:tcPr/>
          <w:p>
            <w:pPr>
              <w:pStyle w:val="Compact"/>
              <w:jc w:val="left"/>
            </w:pPr>
            <w:r>
              <w:t xml:space="preserve">✅</w:t>
            </w:r>
          </w:p>
        </w:tc>
      </w:tr>
      <w:tr>
        <w:tc>
          <w:tcPr/>
          <w:p>
            <w:pPr>
              <w:pStyle w:val="Compact"/>
              <w:jc w:val="left"/>
            </w:pPr>
            <w:r>
              <w:t xml:space="preserve">Field 4</w:t>
            </w:r>
          </w:p>
        </w:tc>
        <w:tc>
          <w:tcPr/>
          <w:p>
            <w:pPr>
              <w:pStyle w:val="Compact"/>
              <w:jc w:val="left"/>
            </w:pPr>
            <w:r>
              <w:rPr>
                <w:rStyle w:val="VerbatimChar"/>
              </w:rPr>
              <w:t xml:space="preserve">poNumber</w:t>
            </w:r>
          </w:p>
        </w:tc>
        <w:tc>
          <w:tcPr/>
          <w:p>
            <w:pPr>
              <w:pStyle w:val="Compact"/>
              <w:jc w:val="left"/>
            </w:pPr>
            <w:r>
              <w:t xml:space="preserve">✅</w:t>
            </w:r>
          </w:p>
        </w:tc>
      </w:tr>
      <w:tr>
        <w:tc>
          <w:tcPr/>
          <w:p>
            <w:pPr>
              <w:pStyle w:val="Compact"/>
              <w:jc w:val="left"/>
            </w:pPr>
            <w:r>
              <w:t xml:space="preserve">Field 5</w:t>
            </w:r>
          </w:p>
        </w:tc>
        <w:tc>
          <w:tcPr/>
          <w:p>
            <w:pPr>
              <w:pStyle w:val="Compact"/>
              <w:jc w:val="left"/>
            </w:pPr>
            <w:r>
              <w:rPr>
                <w:rStyle w:val="VerbatimChar"/>
              </w:rPr>
              <w:t xml:space="preserve">senderId</w:t>
            </w:r>
          </w:p>
        </w:tc>
        <w:tc>
          <w:tcPr/>
          <w:p>
            <w:pPr>
              <w:pStyle w:val="Compact"/>
              <w:jc w:val="left"/>
            </w:pPr>
            <w:r>
              <w:t xml:space="preserve">✅ Confirmed as Sender ID via exact match against real raw EDI (</w:t>
            </w:r>
            <w:r>
              <w:rPr>
                <w:rStyle w:val="VerbatimChar"/>
              </w:rPr>
              <w:t xml:space="preserve">ISA</w:t>
            </w:r>
            <w:r>
              <w:t xml:space="preserve"> </w:t>
            </w:r>
            <w:r>
              <w:t xml:space="preserve">Sender Id field). Originally</w:t>
            </w:r>
            <w:r>
              <w:t xml:space="preserve"> </w:t>
            </w:r>
            <w:r>
              <w:t xml:space="preserve">“</w:t>
            </w:r>
            <w:r>
              <w:t xml:space="preserve">Unknown</w:t>
            </w:r>
            <w:r>
              <w:t xml:space="preserve">”</w:t>
            </w:r>
            <w:r>
              <w:t xml:space="preserve"> </w:t>
            </w:r>
            <w:r>
              <w:t xml:space="preserve">in the source doc. Wired into</w:t>
            </w:r>
            <w:r>
              <w:t xml:space="preserve"> </w:t>
            </w:r>
            <w:r>
              <w:rPr>
                <w:rStyle w:val="VerbatimChar"/>
              </w:rPr>
              <w:t xml:space="preserve">parse_pipe_850.py</w:t>
            </w:r>
            <w:r>
              <w:t xml:space="preserve">.</w:t>
            </w:r>
          </w:p>
        </w:tc>
      </w:tr>
      <w:tr>
        <w:tc>
          <w:tcPr/>
          <w:p>
            <w:pPr>
              <w:pStyle w:val="Compact"/>
              <w:jc w:val="left"/>
            </w:pPr>
            <w:r>
              <w:t xml:space="preserve">Field 11</w:t>
            </w:r>
          </w:p>
        </w:tc>
        <w:tc>
          <w:tcPr/>
          <w:p>
            <w:pPr>
              <w:pStyle w:val="Compact"/>
              <w:jc w:val="left"/>
            </w:pPr>
            <w:r>
              <w:rPr>
                <w:rStyle w:val="VerbatimChar"/>
              </w:rPr>
              <w:t xml:space="preserve">deliveryDate</w:t>
            </w:r>
          </w:p>
        </w:tc>
        <w:tc>
          <w:tcPr/>
          <w:p>
            <w:pPr>
              <w:pStyle w:val="Compact"/>
              <w:jc w:val="left"/>
            </w:pPr>
            <w:r>
              <w:t xml:space="preserve">✅</w:t>
            </w:r>
          </w:p>
        </w:tc>
      </w:tr>
    </w:tbl>
    <w:bookmarkEnd w:id="21"/>
    <w:bookmarkStart w:id="22" w:name="hst-ship-to-hbt-bill-to-shipto-billto"/>
    <w:p>
      <w:pPr>
        <w:pStyle w:val="Heading3"/>
      </w:pPr>
      <w:r>
        <w:t xml:space="preserve">HST (Ship-To) / HBT (Bill-To) →</w:t>
      </w:r>
      <w:r>
        <w:t xml:space="preserve"> </w:t>
      </w:r>
      <w:r>
        <w:rPr>
          <w:rStyle w:val="VerbatimChar"/>
        </w:rPr>
        <w:t xml:space="preserve">shipTo</w:t>
      </w:r>
      <w:r>
        <w:t xml:space="preserve"> </w:t>
      </w:r>
      <w:r>
        <w:t xml:space="preserve">/</w:t>
      </w:r>
      <w:r>
        <w:t xml:space="preserve"> </w:t>
      </w:r>
      <w:r>
        <w:rPr>
          <w:rStyle w:val="VerbatimChar"/>
        </w:rPr>
        <w:t xml:space="preserve">billTo</w:t>
      </w:r>
    </w:p>
    <w:p>
      <w:pPr>
        <w:pStyle w:val="FirstParagraph"/>
      </w:pPr>
      <w:r>
        <w:t xml:space="preserve">Same structure for both records.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Flat file</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Field 3</w:t>
            </w:r>
          </w:p>
        </w:tc>
        <w:tc>
          <w:tcPr/>
          <w:p>
            <w:pPr>
              <w:pStyle w:val="Compact"/>
              <w:jc w:val="left"/>
            </w:pPr>
            <w:r>
              <w:rPr>
                <w:rStyle w:val="VerbatimChar"/>
              </w:rPr>
              <w:t xml:space="preserve">tradingPartnerId</w:t>
            </w:r>
          </w:p>
        </w:tc>
        <w:tc>
          <w:tcPr/>
          <w:p>
            <w:pPr>
              <w:pStyle w:val="Compact"/>
              <w:jc w:val="left"/>
            </w:pPr>
            <w:r>
              <w:t xml:space="preserve">✅</w:t>
            </w:r>
          </w:p>
        </w:tc>
      </w:tr>
      <w:tr>
        <w:tc>
          <w:tcPr/>
          <w:p>
            <w:pPr>
              <w:pStyle w:val="Compact"/>
              <w:jc w:val="left"/>
            </w:pPr>
            <w:r>
              <w:t xml:space="preserve">Field 4</w:t>
            </w:r>
          </w:p>
        </w:tc>
        <w:tc>
          <w:tcPr/>
          <w:p>
            <w:pPr>
              <w:pStyle w:val="Compact"/>
              <w:jc w:val="left"/>
            </w:pPr>
            <w:r>
              <w:rPr>
                <w:rStyle w:val="VerbatimChar"/>
              </w:rPr>
              <w:t xml:space="preserve">name</w:t>
            </w:r>
          </w:p>
        </w:tc>
        <w:tc>
          <w:tcPr/>
          <w:p>
            <w:pPr>
              <w:pStyle w:val="Compact"/>
              <w:jc w:val="left"/>
            </w:pPr>
            <w:r>
              <w:t xml:space="preserve">🟡 Confirmed for most accounts, but genuinely varies — see note below</w:t>
            </w:r>
          </w:p>
        </w:tc>
      </w:tr>
      <w:tr>
        <w:tc>
          <w:tcPr/>
          <w:p>
            <w:pPr>
              <w:pStyle w:val="Compact"/>
              <w:jc w:val="left"/>
            </w:pPr>
            <w:r>
              <w:t xml:space="preserve">Field 5</w:t>
            </w:r>
          </w:p>
        </w:tc>
        <w:tc>
          <w:tcPr/>
          <w:p>
            <w:pPr>
              <w:pStyle w:val="Compact"/>
              <w:jc w:val="left"/>
            </w:pPr>
            <w:r>
              <w:rPr>
                <w:rStyle w:val="VerbatimChar"/>
              </w:rPr>
              <w:t xml:space="preserve">addressLine1</w:t>
            </w:r>
          </w:p>
        </w:tc>
        <w:tc>
          <w:tcPr/>
          <w:p>
            <w:pPr>
              <w:pStyle w:val="Compact"/>
              <w:jc w:val="left"/>
            </w:pPr>
            <w:r>
              <w:t xml:space="preserve">🟡 Only populated as address when Field 4 is blank for that account (see note)</w:t>
            </w:r>
          </w:p>
        </w:tc>
      </w:tr>
      <w:tr>
        <w:tc>
          <w:tcPr/>
          <w:p>
            <w:pPr>
              <w:pStyle w:val="Compact"/>
              <w:jc w:val="left"/>
            </w:pPr>
            <w:r>
              <w:t xml:space="preserve">Field 7</w:t>
            </w:r>
          </w:p>
        </w:tc>
        <w:tc>
          <w:tcPr/>
          <w:p>
            <w:pPr>
              <w:pStyle w:val="Compact"/>
              <w:jc w:val="left"/>
            </w:pPr>
            <w:r>
              <w:rPr>
                <w:rStyle w:val="VerbatimChar"/>
              </w:rPr>
              <w:t xml:space="preserve">city</w:t>
            </w:r>
          </w:p>
        </w:tc>
        <w:tc>
          <w:tcPr/>
          <w:p>
            <w:pPr>
              <w:pStyle w:val="Compact"/>
              <w:jc w:val="left"/>
            </w:pPr>
            <w:r>
              <w:t xml:space="preserve">✅ Reliable fallback identifier when name is blank</w:t>
            </w:r>
          </w:p>
        </w:tc>
      </w:tr>
      <w:tr>
        <w:tc>
          <w:tcPr/>
          <w:p>
            <w:pPr>
              <w:pStyle w:val="Compact"/>
              <w:jc w:val="left"/>
            </w:pPr>
            <w:r>
              <w:t xml:space="preserve">Field 8</w:t>
            </w:r>
          </w:p>
        </w:tc>
        <w:tc>
          <w:tcPr/>
          <w:p>
            <w:pPr>
              <w:pStyle w:val="Compact"/>
              <w:jc w:val="left"/>
            </w:pPr>
            <w:r>
              <w:rPr>
                <w:rStyle w:val="VerbatimChar"/>
              </w:rPr>
              <w:t xml:space="preserve">state</w:t>
            </w:r>
          </w:p>
        </w:tc>
        <w:tc>
          <w:tcPr/>
          <w:p>
            <w:pPr>
              <w:pStyle w:val="Compact"/>
              <w:jc w:val="left"/>
            </w:pPr>
            <w:r>
              <w:t xml:space="preserve">✅</w:t>
            </w:r>
          </w:p>
        </w:tc>
      </w:tr>
    </w:tbl>
    <w:p>
      <w:pPr>
        <w:pStyle w:val="BodyText"/>
      </w:pPr>
      <w:r>
        <w:t xml:space="preserve">⚠️</w:t>
      </w:r>
      <w:r>
        <w:t xml:space="preserve"> </w:t>
      </w:r>
      <w:r>
        <w:rPr>
          <w:bCs/>
          <w:b/>
        </w:rPr>
        <w:t xml:space="preserve">Confirmed real-data finding, not a parsing bug:</w:t>
      </w:r>
      <w:r>
        <w:t xml:space="preserve"> </w:t>
      </w:r>
      <w:r>
        <w:rPr>
          <w:rStyle w:val="VerbatimChar"/>
        </w:rPr>
        <w:t xml:space="preserve">HST</w:t>
      </w:r>
      <w:r>
        <w:t xml:space="preserve">/</w:t>
      </w:r>
      <w:r>
        <w:rPr>
          <w:rStyle w:val="VerbatimChar"/>
        </w:rPr>
        <w:t xml:space="preserve">HBT</w:t>
      </w:r>
      <w:r>
        <w:t xml:space="preserve">’s layout is not uniform across accounts. Three distinct patterns observed:</w:t>
      </w:r>
      <w:r>
        <w:t xml:space="preserve"> </w:t>
      </w:r>
      <w:r>
        <w:t xml:space="preserve">1.</w:t>
      </w:r>
      <w:r>
        <w:t xml:space="preserve"> </w:t>
      </w:r>
      <w:r>
        <w:rPr>
          <w:rStyle w:val="VerbatimChar"/>
        </w:rPr>
        <w:t xml:space="preserve">name</w:t>
      </w:r>
      <w:r>
        <w:t xml:space="preserve"> </w:t>
      </w:r>
      <w:r>
        <w:t xml:space="preserve">(Field 4) populated normally — most common.</w:t>
      </w:r>
      <w:r>
        <w:t xml:space="preserve"> </w:t>
      </w:r>
      <w:r>
        <w:t xml:space="preserve">2.</w:t>
      </w:r>
      <w:r>
        <w:t xml:space="preserve"> </w:t>
      </w:r>
      <w:r>
        <w:rPr>
          <w:rStyle w:val="VerbatimChar"/>
        </w:rPr>
        <w:t xml:space="preserve">name</w:t>
      </w:r>
      <w:r>
        <w:t xml:space="preserve"> </w:t>
      </w:r>
      <w:r>
        <w:t xml:space="preserve">blank, with the street address starting at Field 4 instead, though</w:t>
      </w:r>
      <w:r>
        <w:t xml:space="preserve"> </w:t>
      </w:r>
      <w:r>
        <w:rPr>
          <w:rStyle w:val="VerbatimChar"/>
        </w:rPr>
        <w:t xml:space="preserve">city</w:t>
      </w:r>
      <w:r>
        <w:t xml:space="preserve"> </w:t>
      </w:r>
      <w:r>
        <w:t xml:space="preserve">(Field 7) remains populated. Matches the original layout doc’s own flagged uncertainty (</w:t>
      </w:r>
      <w:r>
        <w:t xml:space="preserve">“</w:t>
      </w:r>
      <w:r>
        <w:t xml:space="preserve">Field 5… may be the Ship-to Name</w:t>
      </w:r>
      <w:r>
        <w:t xml:space="preserve">”</w:t>
      </w:r>
      <w:r>
        <w:t xml:space="preserve">).</w:t>
      </w:r>
      <w:r>
        <w:t xml:space="preserve"> </w:t>
      </w:r>
      <w:r>
        <w:t xml:space="preserve">3.</w:t>
      </w:r>
      <w:r>
        <w:t xml:space="preserve"> </w:t>
      </w:r>
      <w:r>
        <w:rPr>
          <w:rStyle w:val="VerbatimChar"/>
        </w:rPr>
        <w:t xml:space="preserve">name</w:t>
      </w:r>
      <w:r>
        <w:t xml:space="preserve">,</w:t>
      </w:r>
      <w:r>
        <w:t xml:space="preserve"> </w:t>
      </w:r>
      <w:r>
        <w:rPr>
          <w:rStyle w:val="VerbatimChar"/>
        </w:rPr>
        <w:t xml:space="preserve">addressLine1</w:t>
      </w:r>
      <w:r>
        <w:t xml:space="preserve">, and</w:t>
      </w:r>
      <w:r>
        <w:t xml:space="preserve"> </w:t>
      </w:r>
      <w:r>
        <w:rPr>
          <w:rStyle w:val="VerbatimChar"/>
        </w:rPr>
        <w:t xml:space="preserve">city</w:t>
      </w:r>
      <w:r>
        <w:t xml:space="preserve"> </w:t>
      </w:r>
      <w:r>
        <w:t xml:space="preserve">all blank — only</w:t>
      </w:r>
      <w:r>
        <w:t xml:space="preserve"> </w:t>
      </w:r>
      <w:r>
        <w:rPr>
          <w:rStyle w:val="VerbatimChar"/>
        </w:rPr>
        <w:t xml:space="preserve">tradingPartnerId</w:t>
      </w:r>
      <w:r>
        <w:t xml:space="preserve"> </w:t>
      </w:r>
      <w:r>
        <w:t xml:space="preserve">remains. Seen specifically in</w:t>
      </w:r>
      <w:r>
        <w:t xml:space="preserve"> </w:t>
      </w:r>
      <w:r>
        <w:rPr>
          <w:rStyle w:val="VerbatimChar"/>
        </w:rPr>
        <w:t xml:space="preserve">NCW</w:t>
      </w:r>
      <w:r>
        <w:t xml:space="preserve">-prefixed files.</w:t>
      </w:r>
    </w:p>
    <w:p>
      <w:pPr>
        <w:pStyle w:val="BodyText"/>
      </w:pPr>
      <w:r>
        <w:t xml:space="preserve">The renaming/identification logic falls back through all three in order (</w:t>
      </w:r>
      <w:r>
        <w:rPr>
          <w:rStyle w:val="VerbatimChar"/>
        </w:rPr>
        <w:t xml:space="preserve">name</w:t>
      </w:r>
      <w:r>
        <w:t xml:space="preserve"> </w:t>
      </w:r>
      <w:r>
        <w:t xml:space="preserve">→</w:t>
      </w:r>
      <w:r>
        <w:t xml:space="preserve"> </w:t>
      </w:r>
      <w:r>
        <w:rPr>
          <w:rStyle w:val="VerbatimChar"/>
        </w:rPr>
        <w:t xml:space="preserve">city</w:t>
      </w:r>
      <w:r>
        <w:t xml:space="preserve"> </w:t>
      </w:r>
      <w:r>
        <w:t xml:space="preserve">→</w:t>
      </w:r>
      <w:r>
        <w:t xml:space="preserve"> </w:t>
      </w:r>
      <w:r>
        <w:rPr>
          <w:rStyle w:val="VerbatimChar"/>
        </w:rPr>
        <w:t xml:space="preserve">tradingPartnerId</w:t>
      </w:r>
      <w:r>
        <w:t xml:space="preserve">) so nothing is left fully unidentified, but don’t assume</w:t>
      </w:r>
      <w:r>
        <w:t xml:space="preserve"> </w:t>
      </w:r>
      <w:r>
        <w:rPr>
          <w:rStyle w:val="VerbatimChar"/>
        </w:rPr>
        <w:t xml:space="preserve">name</w:t>
      </w:r>
      <w:r>
        <w:t xml:space="preserve"> </w:t>
      </w:r>
      <w:r>
        <w:t xml:space="preserve">is always populated when building anything new against this format.</w:t>
      </w:r>
    </w:p>
    <w:bookmarkEnd w:id="22"/>
    <w:bookmarkStart w:id="23" w:name="hcm-comment-comments"/>
    <w:p>
      <w:pPr>
        <w:pStyle w:val="Heading3"/>
      </w:pPr>
      <w:r>
        <w:t xml:space="preserve">HCM (Comment) →</w:t>
      </w:r>
      <w:r>
        <w:t xml:space="preserve"> </w:t>
      </w:r>
      <w:r>
        <w:rPr>
          <w:rStyle w:val="VerbatimChar"/>
        </w:rPr>
        <w:t xml:space="preserve">comments[]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Flat file</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Field 2</w:t>
            </w:r>
          </w:p>
        </w:tc>
        <w:tc>
          <w:tcPr/>
          <w:p>
            <w:pPr>
              <w:pStyle w:val="Compact"/>
              <w:jc w:val="left"/>
            </w:pPr>
            <w:r>
              <w:t xml:space="preserve">one entry per</w:t>
            </w:r>
            <w:r>
              <w:t xml:space="preserve"> </w:t>
            </w:r>
            <w:r>
              <w:rPr>
                <w:rStyle w:val="VerbatimChar"/>
              </w:rPr>
              <w:t xml:space="preserve">HCM</w:t>
            </w:r>
            <w:r>
              <w:t xml:space="preserve"> </w:t>
            </w:r>
            <w:r>
              <w:t xml:space="preserve">line in</w:t>
            </w:r>
            <w:r>
              <w:t xml:space="preserve"> </w:t>
            </w:r>
            <w:r>
              <w:rPr>
                <w:rStyle w:val="VerbatimChar"/>
              </w:rPr>
              <w:t xml:space="preserve">comments[]</w:t>
            </w:r>
          </w:p>
        </w:tc>
        <w:tc>
          <w:tcPr/>
          <w:p>
            <w:pPr>
              <w:pStyle w:val="Compact"/>
              <w:jc w:val="left"/>
            </w:pPr>
            <w:r>
              <w:t xml:space="preserve">✅</w:t>
            </w:r>
          </w:p>
        </w:tc>
      </w:tr>
    </w:tbl>
    <w:bookmarkEnd w:id="23"/>
    <w:bookmarkStart w:id="24" w:name="ldt-line-item-lineitems"/>
    <w:p>
      <w:pPr>
        <w:pStyle w:val="Heading3"/>
      </w:pPr>
      <w:r>
        <w:t xml:space="preserve">LDT (Line Item) →</w:t>
      </w:r>
      <w:r>
        <w:t xml:space="preserve"> </w:t>
      </w:r>
      <w:r>
        <w:rPr>
          <w:rStyle w:val="VerbatimChar"/>
        </w:rPr>
        <w:t xml:space="preserve">lineItems[]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Flat file</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Field 2</w:t>
            </w:r>
          </w:p>
        </w:tc>
        <w:tc>
          <w:tcPr/>
          <w:p>
            <w:pPr>
              <w:pStyle w:val="Compact"/>
              <w:jc w:val="left"/>
            </w:pPr>
            <w:r>
              <w:rPr>
                <w:rStyle w:val="VerbatimChar"/>
              </w:rPr>
              <w:t xml:space="preserve">vendorItemNumberOrUPC</w:t>
            </w:r>
          </w:p>
        </w:tc>
        <w:tc>
          <w:tcPr/>
          <w:p>
            <w:pPr>
              <w:pStyle w:val="Compact"/>
              <w:jc w:val="left"/>
            </w:pPr>
            <w:r>
              <w:t xml:space="preserve">🟡 Doc notes this may be either, depending on account — not disambiguated</w:t>
            </w:r>
          </w:p>
        </w:tc>
      </w:tr>
      <w:tr>
        <w:tc>
          <w:tcPr/>
          <w:p>
            <w:pPr>
              <w:pStyle w:val="Compact"/>
              <w:jc w:val="left"/>
            </w:pPr>
            <w:r>
              <w:t xml:space="preserve">Field 3</w:t>
            </w:r>
          </w:p>
        </w:tc>
        <w:tc>
          <w:tcPr/>
          <w:p>
            <w:pPr>
              <w:pStyle w:val="Compact"/>
              <w:jc w:val="left"/>
            </w:pPr>
            <w:r>
              <w:rPr>
                <w:rStyle w:val="VerbatimChar"/>
              </w:rPr>
              <w:t xml:space="preserve">customerItemNumber</w:t>
            </w:r>
          </w:p>
        </w:tc>
        <w:tc>
          <w:tcPr/>
          <w:p>
            <w:pPr>
              <w:pStyle w:val="Compact"/>
              <w:jc w:val="left"/>
            </w:pPr>
            <w:r>
              <w:t xml:space="preserve">🟡 Doc says</w:t>
            </w:r>
            <w:r>
              <w:t xml:space="preserve"> </w:t>
            </w:r>
            <w:r>
              <w:t xml:space="preserve">“</w:t>
            </w:r>
            <w:r>
              <w:t xml:space="preserve">should be in our Item Cross Reference File</w:t>
            </w:r>
            <w:r>
              <w:t xml:space="preserve">”</w:t>
            </w:r>
            <w:r>
              <w:t xml:space="preserve"> </w:t>
            </w:r>
            <w:r>
              <w:t xml:space="preserve">— not independently verified</w:t>
            </w:r>
          </w:p>
        </w:tc>
      </w:tr>
      <w:tr>
        <w:tc>
          <w:tcPr/>
          <w:p>
            <w:pPr>
              <w:pStyle w:val="Compact"/>
              <w:jc w:val="left"/>
            </w:pPr>
            <w:r>
              <w:t xml:space="preserve">Field 5</w:t>
            </w:r>
          </w:p>
        </w:tc>
        <w:tc>
          <w:tcPr/>
          <w:p>
            <w:pPr>
              <w:pStyle w:val="Compact"/>
              <w:jc w:val="left"/>
            </w:pPr>
            <w:r>
              <w:rPr>
                <w:rStyle w:val="VerbatimChar"/>
              </w:rPr>
              <w:t xml:space="preserve">description</w:t>
            </w:r>
          </w:p>
        </w:tc>
        <w:tc>
          <w:tcPr/>
          <w:p>
            <w:pPr>
              <w:pStyle w:val="Compact"/>
              <w:jc w:val="left"/>
            </w:pPr>
            <w:r>
              <w:t xml:space="preserve">🟡 Doc notes</w:t>
            </w:r>
            <w:r>
              <w:t xml:space="preserve"> </w:t>
            </w:r>
            <w:r>
              <w:t xml:space="preserve">“</w:t>
            </w:r>
            <w:r>
              <w:t xml:space="preserve">not always entered</w:t>
            </w:r>
            <w:r>
              <w:t xml:space="preserve">”</w:t>
            </w:r>
            <w:r>
              <w:t xml:space="preserve"> </w:t>
            </w:r>
            <w:r>
              <w:t xml:space="preserve">— confirmed null on some real lines</w:t>
            </w:r>
          </w:p>
        </w:tc>
      </w:tr>
      <w:tr>
        <w:tc>
          <w:tcPr/>
          <w:p>
            <w:pPr>
              <w:pStyle w:val="Compact"/>
              <w:jc w:val="left"/>
            </w:pPr>
            <w:r>
              <w:t xml:space="preserve">Field 6</w:t>
            </w:r>
          </w:p>
        </w:tc>
        <w:tc>
          <w:tcPr/>
          <w:p>
            <w:pPr>
              <w:pStyle w:val="Compact"/>
              <w:jc w:val="left"/>
            </w:pPr>
            <w:r>
              <w:rPr>
                <w:rStyle w:val="VerbatimChar"/>
              </w:rPr>
              <w:t xml:space="preserve">unitOfMeasure</w:t>
            </w:r>
          </w:p>
        </w:tc>
        <w:tc>
          <w:tcPr/>
          <w:p>
            <w:pPr>
              <w:pStyle w:val="Compact"/>
              <w:jc w:val="left"/>
            </w:pPr>
            <w:r>
              <w:t xml:space="preserve">🟡 Per doc:</w:t>
            </w:r>
            <w:r>
              <w:t xml:space="preserve"> </w:t>
            </w:r>
            <w:r>
              <w:rPr>
                <w:rStyle w:val="VerbatimChar"/>
              </w:rPr>
              <w:t xml:space="preserve">CA</w:t>
            </w:r>
            <w:r>
              <w:t xml:space="preserve"> </w:t>
            </w:r>
            <w:r>
              <w:t xml:space="preserve">= Cases, otherwise Eaches</w:t>
            </w:r>
          </w:p>
        </w:tc>
      </w:tr>
      <w:tr>
        <w:tc>
          <w:tcPr/>
          <w:p>
            <w:pPr>
              <w:pStyle w:val="Compact"/>
              <w:jc w:val="left"/>
            </w:pPr>
            <w:r>
              <w:t xml:space="preserve">Field 12</w:t>
            </w:r>
          </w:p>
        </w:tc>
        <w:tc>
          <w:tcPr/>
          <w:p>
            <w:pPr>
              <w:pStyle w:val="Compact"/>
              <w:jc w:val="left"/>
            </w:pPr>
            <w:r>
              <w:rPr>
                <w:rStyle w:val="VerbatimChar"/>
              </w:rPr>
              <w:t xml:space="preserve">quantity</w:t>
            </w:r>
          </w:p>
        </w:tc>
        <w:tc>
          <w:tcPr/>
          <w:p>
            <w:pPr>
              <w:pStyle w:val="Compact"/>
              <w:jc w:val="left"/>
            </w:pPr>
            <w:r>
              <w:t xml:space="preserve">✅ Confirmed via exact match against real raw EDI (Costco/SPS order cross-validation, see below)</w:t>
            </w:r>
          </w:p>
        </w:tc>
      </w:tr>
      <w:tr>
        <w:tc>
          <w:tcPr/>
          <w:p>
            <w:pPr>
              <w:pStyle w:val="Compact"/>
              <w:jc w:val="left"/>
            </w:pPr>
            <w:r>
              <w:t xml:space="preserve">Field 19</w:t>
            </w:r>
          </w:p>
        </w:tc>
        <w:tc>
          <w:tcPr/>
          <w:p>
            <w:pPr>
              <w:pStyle w:val="Compact"/>
              <w:jc w:val="left"/>
            </w:pPr>
            <w:r>
              <w:rPr>
                <w:rStyle w:val="VerbatimChar"/>
              </w:rPr>
              <w:t xml:space="preserve">unitPrice</w:t>
            </w:r>
          </w:p>
        </w:tc>
        <w:tc>
          <w:tcPr/>
          <w:p>
            <w:pPr>
              <w:pStyle w:val="Compact"/>
              <w:jc w:val="left"/>
            </w:pPr>
            <w:r>
              <w:t xml:space="preserve">✅ Newly discovered and confirmed via the same cross-validation — not documented anywhere before this match</w:t>
            </w:r>
          </w:p>
        </w:tc>
      </w:tr>
      <w:tr>
        <w:tc>
          <w:tcPr/>
          <w:p>
            <w:pPr>
              <w:pStyle w:val="Compact"/>
              <w:jc w:val="left"/>
            </w:pPr>
            <w:r>
              <w:t xml:space="preserve">Field 25</w:t>
            </w:r>
          </w:p>
        </w:tc>
        <w:tc>
          <w:tcPr/>
          <w:p>
            <w:pPr>
              <w:pStyle w:val="Compact"/>
              <w:jc w:val="left"/>
            </w:pPr>
            <w:r>
              <w:rPr>
                <w:rStyle w:val="VerbatimChar"/>
              </w:rPr>
              <w:t xml:space="preserve">vendorItemDescription</w:t>
            </w:r>
          </w:p>
        </w:tc>
        <w:tc>
          <w:tcPr/>
          <w:p>
            <w:pPr>
              <w:pStyle w:val="Compact"/>
              <w:jc w:val="left"/>
            </w:pPr>
            <w:r>
              <w:t xml:space="preserve">🟡 A second, separate description field from Field 5 — relationship between the two not confirmed</w:t>
            </w:r>
          </w:p>
        </w:tc>
      </w:tr>
    </w:tbl>
    <w:bookmarkEnd w:id="24"/>
    <w:bookmarkStart w:id="25" w:name="X7818ef8bac79d6009ddea574a833b14a2f78c18"/>
    <w:p>
      <w:pPr>
        <w:pStyle w:val="Heading3"/>
      </w:pPr>
      <w:r>
        <w:t xml:space="preserve">🎯 Major finding: real raw X12 confirms Ship-To mapping AND explains why</w:t>
      </w:r>
      <w:r>
        <w:t xml:space="preserve"> </w:t>
      </w:r>
      <w:r>
        <w:t xml:space="preserve">“</w:t>
      </w:r>
      <w:r>
        <w:t xml:space="preserve">Plant</w:t>
      </w:r>
      <w:r>
        <w:t xml:space="preserve">”</w:t>
      </w:r>
      <w:r>
        <w:t xml:space="preserve"> </w:t>
      </w:r>
      <w:r>
        <w:t xml:space="preserve">is absent</w:t>
      </w:r>
    </w:p>
    <w:p>
      <w:pPr>
        <w:pStyle w:val="FirstParagraph"/>
      </w:pPr>
      <w:r>
        <w:t xml:space="preserve">A real VAN-generated raw EDI listing (Dollar General/NCS, Sender ID</w:t>
      </w:r>
      <w:r>
        <w:t xml:space="preserve"> </w:t>
      </w:r>
      <w:r>
        <w:rPr>
          <w:rStyle w:val="VerbatimChar"/>
        </w:rPr>
        <w:t xml:space="preserve">069331990INET</w:t>
      </w:r>
      <w:r>
        <w:t xml:space="preserve">) was cross-referenced against an existing flat-file example from the same trading partner. Results:</w:t>
      </w:r>
    </w:p>
    <w:p>
      <w:pPr>
        <w:pStyle w:val="BodyText"/>
      </w:pPr>
      <w:r>
        <w:rPr>
          <w:bCs/>
          <w:b/>
        </w:rPr>
        <w:t xml:space="preserve">Confirmed exact match, independently (not just internal file consistency):</w:t>
      </w:r>
      <w:r>
        <w:t xml:space="preserve"> </w:t>
      </w:r>
      <w:r>
        <w:t xml:space="preserve">- Flat file</w:t>
      </w:r>
      <w:r>
        <w:t xml:space="preserve"> </w:t>
      </w:r>
      <w:r>
        <w:rPr>
          <w:rStyle w:val="VerbatimChar"/>
        </w:rPr>
        <w:t xml:space="preserve">HST</w:t>
      </w:r>
      <w:r>
        <w:t xml:space="preserve"> </w:t>
      </w:r>
      <w:r>
        <w:t xml:space="preserve">Field 3 (</w:t>
      </w:r>
      <w:r>
        <w:rPr>
          <w:rStyle w:val="VerbatimChar"/>
        </w:rPr>
        <w:t xml:space="preserve">96510</w:t>
      </w:r>
      <w:r>
        <w:t xml:space="preserve">) = raw EDI</w:t>
      </w:r>
      <w:r>
        <w:t xml:space="preserve"> </w:t>
      </w:r>
      <w:r>
        <w:rPr>
          <w:rStyle w:val="VerbatimChar"/>
        </w:rPr>
        <w:t xml:space="preserve">N1*ST**92*96510</w:t>
      </w:r>
      <w:r>
        <w:t xml:space="preserve"> </w:t>
      </w:r>
      <w:r>
        <w:t xml:space="preserve">(Ship-To, qualifier 92)</w:t>
      </w:r>
      <w:r>
        <w:t xml:space="preserve"> </w:t>
      </w:r>
      <w:r>
        <w:t xml:space="preserve">- Flat file address/city/state/zip (</w:t>
      </w:r>
      <w:r>
        <w:rPr>
          <w:rStyle w:val="VerbatimChar"/>
        </w:rPr>
        <w:t xml:space="preserve">3771 CHANNEL DRIVE</w:t>
      </w:r>
      <w:r>
        <w:t xml:space="preserve"> </w:t>
      </w:r>
      <w:r>
        <w:t xml:space="preserve">/</w:t>
      </w:r>
      <w:r>
        <w:t xml:space="preserve"> </w:t>
      </w:r>
      <w:r>
        <w:rPr>
          <w:rStyle w:val="VerbatimChar"/>
        </w:rPr>
        <w:t xml:space="preserve">WEST SACRAMENTO</w:t>
      </w:r>
      <w:r>
        <w:t xml:space="preserve"> </w:t>
      </w:r>
      <w:r>
        <w:t xml:space="preserve">/</w:t>
      </w:r>
      <w:r>
        <w:t xml:space="preserve"> </w:t>
      </w:r>
      <w:r>
        <w:rPr>
          <w:rStyle w:val="VerbatimChar"/>
        </w:rPr>
        <w:t xml:space="preserve">CA</w:t>
      </w:r>
      <w:r>
        <w:t xml:space="preserve"> </w:t>
      </w:r>
      <w:r>
        <w:t xml:space="preserve">/</w:t>
      </w:r>
      <w:r>
        <w:t xml:space="preserve"> </w:t>
      </w:r>
      <w:r>
        <w:rPr>
          <w:rStyle w:val="VerbatimChar"/>
        </w:rPr>
        <w:t xml:space="preserve">95691</w:t>
      </w:r>
      <w:r>
        <w:t xml:space="preserve">) = raw EDI</w:t>
      </w:r>
      <w:r>
        <w:t xml:space="preserve"> </w:t>
      </w:r>
      <w:r>
        <w:rPr>
          <w:rStyle w:val="VerbatimChar"/>
        </w:rPr>
        <w:t xml:space="preserve">N3</w:t>
      </w:r>
      <w:r>
        <w:t xml:space="preserve">/</w:t>
      </w:r>
      <w:r>
        <w:rPr>
          <w:rStyle w:val="VerbatimChar"/>
        </w:rPr>
        <w:t xml:space="preserve">N4</w:t>
      </w:r>
      <w:r>
        <w:t xml:space="preserve"> </w:t>
      </w:r>
      <w:r>
        <w:t xml:space="preserve">for the same segment, exactly</w:t>
      </w:r>
    </w:p>
    <w:p>
      <w:pPr>
        <w:pStyle w:val="BodyText"/>
      </w:pPr>
      <w:r>
        <w:t xml:space="preserve">This is the same tier of validation (real external EDI vs. flat file) that proved out field positions for 894 — genuinely strong confirmation, not a guess.</w:t>
      </w:r>
    </w:p>
    <w:p>
      <w:pPr>
        <w:pStyle w:val="BodyText"/>
      </w:pPr>
      <w:r>
        <w:rPr>
          <w:bCs/>
          <w:b/>
        </w:rPr>
        <w:t xml:space="preserve">Explains the</w:t>
      </w:r>
      <w:r>
        <w:rPr>
          <w:bCs/>
          <w:b/>
        </w:rPr>
        <w:t xml:space="preserve"> </w:t>
      </w:r>
      <w:r>
        <w:rPr>
          <w:bCs/>
          <w:b/>
        </w:rPr>
        <w:t xml:space="preserve">“</w:t>
      </w:r>
      <w:r>
        <w:rPr>
          <w:bCs/>
          <w:b/>
        </w:rPr>
        <w:t xml:space="preserve">Plant</w:t>
      </w:r>
      <w:r>
        <w:rPr>
          <w:bCs/>
          <w:b/>
        </w:rPr>
        <w:t xml:space="preserve">”</w:t>
      </w:r>
      <w:r>
        <w:rPr>
          <w:bCs/>
          <w:b/>
        </w:rPr>
        <w:t xml:space="preserve"> </w:t>
      </w:r>
      <w:r>
        <w:rPr>
          <w:bCs/>
          <w:b/>
        </w:rPr>
        <w:t xml:space="preserve">question definitively — for Dollar General:</w:t>
      </w:r>
      <w:r>
        <w:t xml:space="preserve"> </w:t>
      </w:r>
      <w:r>
        <w:t xml:space="preserve">the raw EDI also contains a</w:t>
      </w:r>
      <w:r>
        <w:t xml:space="preserve"> </w:t>
      </w:r>
      <w:r>
        <w:rPr>
          <w:rStyle w:val="VerbatimChar"/>
        </w:rPr>
        <w:t xml:space="preserve">N1*SF</w:t>
      </w:r>
      <w:r>
        <w:t xml:space="preserve"> </w:t>
      </w:r>
      <w:r>
        <w:t xml:space="preserve">(Ship-From) segment —</w:t>
      </w:r>
      <w:r>
        <w:t xml:space="preserve"> </w:t>
      </w:r>
      <w:r>
        <w:rPr>
          <w:rStyle w:val="VerbatimChar"/>
        </w:rPr>
        <w:t xml:space="preserve">N1*SF**92*17370</w:t>
      </w:r>
      <w:r>
        <w:t xml:space="preserve"> </w:t>
      </w:r>
      <w:r>
        <w:t xml:space="preserve">/</w:t>
      </w:r>
      <w:r>
        <w:t xml:space="preserve"> </w:t>
      </w:r>
      <w:r>
        <w:rPr>
          <w:rStyle w:val="VerbatimChar"/>
        </w:rPr>
        <w:t xml:space="preserve">FAIRFIELD CA</w:t>
      </w:r>
      <w:r>
        <w:t xml:space="preserve"> </w:t>
      </w:r>
      <w:r>
        <w:t xml:space="preserve">/</w:t>
      </w:r>
      <w:r>
        <w:t xml:space="preserve"> </w:t>
      </w:r>
      <w:r>
        <w:rPr>
          <w:rStyle w:val="VerbatimChar"/>
        </w:rPr>
        <w:t xml:space="preserve">199 RED TOP ROAD</w:t>
      </w:r>
      <w:r>
        <w:t xml:space="preserve"> </w:t>
      </w:r>
      <w:r>
        <w:t xml:space="preserve">/</w:t>
      </w:r>
      <w:r>
        <w:t xml:space="preserve"> </w:t>
      </w:r>
      <w:r>
        <w:rPr>
          <w:rStyle w:val="VerbatimChar"/>
        </w:rPr>
        <w:t xml:space="preserve">FAIRFIELD*CA*94534</w:t>
      </w:r>
      <w:r>
        <w:t xml:space="preserve"> </w:t>
      </w:r>
      <w:r>
        <w:t xml:space="preserve">— representing</w:t>
      </w:r>
      <w:r>
        <w:t xml:space="preserve"> </w:t>
      </w:r>
      <w:r>
        <w:rPr>
          <w:bCs/>
          <w:b/>
        </w:rPr>
        <w:t xml:space="preserve">our own facility</w:t>
      </w:r>
      <w:r>
        <w:t xml:space="preserve"> </w:t>
      </w:r>
      <w:r>
        <w:t xml:space="preserve">(matches the Fairfield plant address confirmed independently in the 856</w:t>
      </w:r>
      <w:r>
        <w:t xml:space="preserve"> </w:t>
      </w:r>
      <w:r>
        <w:t xml:space="preserve">“</w:t>
      </w:r>
      <w:r>
        <w:t xml:space="preserve">fake</w:t>
      </w:r>
      <w:r>
        <w:t xml:space="preserve">”</w:t>
      </w:r>
      <w:r>
        <w:t xml:space="preserve"> </w:t>
      </w:r>
      <w:r>
        <w:t xml:space="preserve">program work). This means Plant/Ship-From data</w:t>
      </w:r>
      <w:r>
        <w:t xml:space="preserve"> </w:t>
      </w:r>
      <w:r>
        <w:rPr>
          <w:bCs/>
          <w:b/>
        </w:rPr>
        <w:t xml:space="preserve">does exist in the underlying X12</w:t>
      </w:r>
      <w:r>
        <w:t xml:space="preserve"> </w:t>
      </w:r>
      <w:r>
        <w:t xml:space="preserve">the customer sends — it’s not that the customer never specifies it.</w:t>
      </w:r>
      <w:r>
        <w:t xml:space="preserve"> </w:t>
      </w:r>
      <w:r>
        <w:rPr>
          <w:bCs/>
          <w:b/>
        </w:rPr>
        <w:t xml:space="preserve">The VAN’s translation into our flat file format appears to drop this segment entirely</w:t>
      </w:r>
      <w:r>
        <w:t xml:space="preserve"> </w:t>
      </w:r>
      <w:r>
        <w:t xml:space="preserve">— no record type in</w:t>
      </w:r>
      <w:r>
        <w:t xml:space="preserve"> </w:t>
      </w:r>
      <w:r>
        <w:rPr>
          <w:rStyle w:val="VerbatimChar"/>
        </w:rPr>
        <w:t xml:space="preserve">HDR</w:t>
      </w:r>
      <w:r>
        <w:t xml:space="preserve">/</w:t>
      </w:r>
      <w:r>
        <w:rPr>
          <w:rStyle w:val="VerbatimChar"/>
        </w:rPr>
        <w:t xml:space="preserve">HST</w:t>
      </w:r>
      <w:r>
        <w:t xml:space="preserve">/</w:t>
      </w:r>
      <w:r>
        <w:rPr>
          <w:rStyle w:val="VerbatimChar"/>
        </w:rPr>
        <w:t xml:space="preserve">HBT</w:t>
      </w:r>
      <w:r>
        <w:t xml:space="preserve">/</w:t>
      </w:r>
      <w:r>
        <w:rPr>
          <w:rStyle w:val="VerbatimChar"/>
        </w:rPr>
        <w:t xml:space="preserve">HCM</w:t>
      </w:r>
      <w:r>
        <w:t xml:space="preserve">/</w:t>
      </w:r>
      <w:r>
        <w:rPr>
          <w:rStyle w:val="VerbatimChar"/>
        </w:rPr>
        <w:t xml:space="preserve">HAL</w:t>
      </w:r>
      <w:r>
        <w:t xml:space="preserve">/</w:t>
      </w:r>
      <w:r>
        <w:rPr>
          <w:rStyle w:val="VerbatimChar"/>
        </w:rPr>
        <w:t xml:space="preserve">LDT</w:t>
      </w:r>
      <w:r>
        <w:t xml:space="preserve">/</w:t>
      </w:r>
      <w:r>
        <w:rPr>
          <w:rStyle w:val="VerbatimChar"/>
        </w:rPr>
        <w:t xml:space="preserve">LAL</w:t>
      </w:r>
      <w:r>
        <w:t xml:space="preserve">/</w:t>
      </w:r>
      <w:r>
        <w:rPr>
          <w:rStyle w:val="VerbatimChar"/>
        </w:rPr>
        <w:t xml:space="preserve">TOT</w:t>
      </w:r>
      <w:r>
        <w:t xml:space="preserve"> </w:t>
      </w:r>
      <w:r>
        <w:t xml:space="preserve">has ever been found to carry it. This is a translation/mapping gap on our own VAN’s side, not a genuine absence in the source data — and potentially actionable if Plant info is ever needed, since the raw data to support it already exists upstream.</w:t>
      </w:r>
    </w:p>
    <w:bookmarkEnd w:id="25"/>
    <w:bookmarkStart w:id="26" w:name="X95cddd0e6b321fbd1bba6595f314ca3cf067ddf"/>
    <w:p>
      <w:pPr>
        <w:pStyle w:val="Heading3"/>
      </w:pPr>
      <w:r>
        <w:t xml:space="preserve">⚠️ Correction/expansion: Plant/Ship-From is NOT universal across trading partners</w:t>
      </w:r>
    </w:p>
    <w:p>
      <w:pPr>
        <w:pStyle w:val="FirstParagraph"/>
      </w:pPr>
      <w:r>
        <w:t xml:space="preserve">A second real raw EDI example (Kroger/Foodsco, via a different Sender ID) shows</w:t>
      </w:r>
      <w:r>
        <w:t xml:space="preserve"> </w:t>
      </w:r>
      <w:r>
        <w:rPr>
          <w:bCs/>
          <w:b/>
        </w:rPr>
        <w:t xml:space="preserve">no</w:t>
      </w:r>
      <w:r>
        <w:rPr>
          <w:bCs/>
          <w:b/>
        </w:rPr>
        <w:t xml:space="preserve"> </w:t>
      </w:r>
      <w:r>
        <w:rPr>
          <w:rStyle w:val="VerbatimChar"/>
          <w:bCs/>
          <w:b/>
        </w:rPr>
        <w:t xml:space="preserve">N1*SF</w:t>
      </w:r>
      <w:r>
        <w:rPr>
          <w:bCs/>
          <w:b/>
        </w:rPr>
        <w:t xml:space="preserve"> </w:t>
      </w:r>
      <w:r>
        <w:rPr>
          <w:bCs/>
          <w:b/>
        </w:rPr>
        <w:t xml:space="preserve">segment at all.</w:t>
      </w:r>
      <w:r>
        <w:t xml:space="preserve"> </w:t>
      </w:r>
      <w:r>
        <w:t xml:space="preserve">This trading partner’s PO structure includes</w:t>
      </w:r>
      <w:r>
        <w:t xml:space="preserve"> </w:t>
      </w:r>
      <w:r>
        <w:rPr>
          <w:rStyle w:val="VerbatimChar"/>
        </w:rPr>
        <w:t xml:space="preserve">N1*VN</w:t>
      </w:r>
      <w:r>
        <w:t xml:space="preserve"> </w:t>
      </w:r>
      <w:r>
        <w:t xml:space="preserve">(Vendor — explicitly naming us),</w:t>
      </w:r>
      <w:r>
        <w:t xml:space="preserve"> </w:t>
      </w:r>
      <w:r>
        <w:rPr>
          <w:rStyle w:val="VerbatimChar"/>
        </w:rPr>
        <w:t xml:space="preserve">N1*BT</w:t>
      </w:r>
      <w:r>
        <w:t xml:space="preserve"> </w:t>
      </w:r>
      <w:r>
        <w:t xml:space="preserve">(Bill-To),</w:t>
      </w:r>
      <w:r>
        <w:t xml:space="preserve"> </w:t>
      </w:r>
      <w:r>
        <w:rPr>
          <w:rStyle w:val="VerbatimChar"/>
        </w:rPr>
        <w:t xml:space="preserve">N1*ST</w:t>
      </w:r>
      <w:r>
        <w:t xml:space="preserve"> </w:t>
      </w:r>
      <w:r>
        <w:t xml:space="preserve">(Ship-To), and</w:t>
      </w:r>
      <w:r>
        <w:t xml:space="preserve"> </w:t>
      </w:r>
      <w:r>
        <w:rPr>
          <w:rStyle w:val="VerbatimChar"/>
        </w:rPr>
        <w:t xml:space="preserve">N1*SN</w:t>
      </w:r>
      <w:r>
        <w:t xml:space="preserve"> </w:t>
      </w:r>
      <w:r>
        <w:t xml:space="preserve">(a party type not yet confirmed — possibly</w:t>
      </w:r>
      <w:r>
        <w:t xml:space="preserve"> </w:t>
      </w:r>
      <w:r>
        <w:t xml:space="preserve">“</w:t>
      </w:r>
      <w:r>
        <w:t xml:space="preserve">Ship Notify,</w:t>
      </w:r>
      <w:r>
        <w:t xml:space="preserve">”</w:t>
      </w:r>
      <w:r>
        <w:t xml:space="preserve"> </w:t>
      </w:r>
      <w:r>
        <w:t xml:space="preserve">not independently verified, flagged rather than guessed), but genuinely never specifies a Ship-From/Plant anywhere.</w:t>
      </w:r>
    </w:p>
    <w:p>
      <w:pPr>
        <w:pStyle w:val="BodyText"/>
      </w:pPr>
      <w:r>
        <w:rPr>
          <w:bCs/>
          <w:b/>
        </w:rPr>
        <w:t xml:space="preserve">Practical implication:</w:t>
      </w:r>
      <w:r>
        <w:t xml:space="preserve"> </w:t>
      </w:r>
      <w:r>
        <w:t xml:space="preserve">whether Plant data exists at the raw EDI level depends on the specific trading partner’s own guideline — it’s not something we can assume is universally present (even upstream of the flat file) just because one partner (Dollar General) includes it. Any future work trying to recover Plant data from raw EDI would need to check per-partner, not assume one partner’s structure applies to all.</w:t>
      </w:r>
    </w:p>
    <w:p>
      <w:pPr>
        <w:pStyle w:val="BodyText"/>
      </w:pPr>
      <w:r>
        <w:rPr>
          <w:bCs/>
          <w:b/>
        </w:rPr>
        <w:t xml:space="preserve">Also worth noting — real structural variation in line items between partners: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Dollar General (</w:t>
            </w:r>
            <w:r>
              <w:rPr>
                <w:rStyle w:val="VerbatimChar"/>
              </w:rPr>
              <w:t xml:space="preserve">PO1</w:t>
            </w:r>
            <w:r>
              <w:t xml:space="preserve">)</w:t>
            </w:r>
          </w:p>
        </w:tc>
        <w:tc>
          <w:tcPr/>
          <w:p>
            <w:pPr>
              <w:pStyle w:val="Compact"/>
              <w:jc w:val="left"/>
            </w:pPr>
            <w:r>
              <w:t xml:space="preserve">Kroger (</w:t>
            </w:r>
            <w:r>
              <w:rPr>
                <w:rStyle w:val="VerbatimChar"/>
              </w:rPr>
              <w:t xml:space="preserve">PO1</w:t>
            </w:r>
            <w:r>
              <w:t xml:space="preserve">)</w:t>
            </w:r>
          </w:p>
        </w:tc>
      </w:tr>
      <w:tr>
        <w:tc>
          <w:tcPr/>
          <w:p>
            <w:pPr>
              <w:pStyle w:val="Compact"/>
              <w:jc w:val="left"/>
            </w:pPr>
            <w:r>
              <w:t xml:space="preserve">Price included</w:t>
            </w:r>
          </w:p>
        </w:tc>
        <w:tc>
          <w:tcPr/>
          <w:p>
            <w:pPr>
              <w:pStyle w:val="Compact"/>
              <w:jc w:val="left"/>
            </w:pPr>
            <w:r>
              <w:t xml:space="preserve">Yes (</w:t>
            </w:r>
            <w:r>
              <w:rPr>
                <w:rStyle w:val="VerbatimChar"/>
              </w:rPr>
              <w:t xml:space="preserve">3.4243</w:t>
            </w:r>
            <w:r>
              <w:t xml:space="preserve">)</w:t>
            </w:r>
          </w:p>
        </w:tc>
        <w:tc>
          <w:tcPr/>
          <w:p>
            <w:pPr>
              <w:pStyle w:val="Compact"/>
              <w:jc w:val="left"/>
            </w:pPr>
            <w:r>
              <w:t xml:space="preserve">No — not present at all</w:t>
            </w:r>
          </w:p>
        </w:tc>
      </w:tr>
      <w:tr>
        <w:tc>
          <w:tcPr/>
          <w:p>
            <w:pPr>
              <w:pStyle w:val="Compact"/>
              <w:jc w:val="left"/>
            </w:pPr>
            <w:r>
              <w:t xml:space="preserve">Item identifier qualifiers</w:t>
            </w:r>
          </w:p>
        </w:tc>
        <w:tc>
          <w:tcPr/>
          <w:p>
            <w:pPr>
              <w:pStyle w:val="Compact"/>
              <w:jc w:val="left"/>
            </w:pPr>
            <w:r>
              <w:rPr>
                <w:rStyle w:val="VerbatimChar"/>
              </w:rPr>
              <w:t xml:space="preserve">CB</w:t>
            </w:r>
            <w:r>
              <w:t xml:space="preserve"> </w:t>
            </w:r>
            <w:r>
              <w:t xml:space="preserve">(case),</w:t>
            </w:r>
            <w:r>
              <w:t xml:space="preserve"> </w:t>
            </w:r>
            <w:r>
              <w:rPr>
                <w:rStyle w:val="VerbatimChar"/>
              </w:rPr>
              <w:t xml:space="preserve">UP</w:t>
            </w:r>
            <w:r>
              <w:t xml:space="preserve"> </w:t>
            </w:r>
            <w:r>
              <w:t xml:space="preserve">(UPC)</w:t>
            </w:r>
          </w:p>
        </w:tc>
        <w:tc>
          <w:tcPr/>
          <w:p>
            <w:pPr>
              <w:pStyle w:val="Compact"/>
              <w:jc w:val="left"/>
            </w:pPr>
            <w:r>
              <w:rPr>
                <w:rStyle w:val="VerbatimChar"/>
              </w:rPr>
              <w:t xml:space="preserve">UK</w:t>
            </w:r>
            <w:r>
              <w:t xml:space="preserve"> </w:t>
            </w:r>
            <w:r>
              <w:t xml:space="preserve">(UPC/GTIN-12),</w:t>
            </w:r>
            <w:r>
              <w:t xml:space="preserve"> </w:t>
            </w:r>
            <w:r>
              <w:rPr>
                <w:rStyle w:val="VerbatimChar"/>
              </w:rPr>
              <w:t xml:space="preserve">PI</w:t>
            </w:r>
            <w:r>
              <w:t xml:space="preserve"> </w:t>
            </w:r>
            <w:r>
              <w:t xml:space="preserve">(Purchaser’s Item Code),</w:t>
            </w:r>
            <w:r>
              <w:t xml:space="preserve"> </w:t>
            </w:r>
            <w:r>
              <w:rPr>
                <w:rStyle w:val="VerbatimChar"/>
              </w:rPr>
              <w:t xml:space="preserve">UD</w:t>
            </w:r>
            <w:r>
              <w:t xml:space="preserve"> </w:t>
            </w:r>
            <w:r>
              <w:t xml:space="preserve">(meaning not yet confirmed)</w:t>
            </w:r>
          </w:p>
        </w:tc>
      </w:tr>
    </w:tbl>
    <w:p>
      <w:pPr>
        <w:pStyle w:val="BodyText"/>
      </w:pPr>
      <w:r>
        <w:t xml:space="preserve">This confirms, at the raw EDI level, the same kind of per-partner structural variation we’ve already documented extensively for the flat-file side — it’s not only the flat file that varies by account, the underlying X12 itself genuinely differs in which segments and qualifiers each trading partner chooses to populate.</w:t>
      </w:r>
    </w:p>
    <w:bookmarkEnd w:id="26"/>
    <w:bookmarkStart w:id="27" w:name="X264db402d2cc2766603e10b2795ebdda7fd0cf7"/>
    <w:p>
      <w:pPr>
        <w:pStyle w:val="Heading3"/>
      </w:pPr>
      <w:r>
        <w:t xml:space="preserve">Third real example (Raley’s) — confirms the pattern, adds new detail</w:t>
      </w:r>
    </w:p>
    <w:p>
      <w:pPr>
        <w:pStyle w:val="FirstParagraph"/>
      </w:pPr>
      <w:r>
        <w:t xml:space="preserve">A third raw EDI example (Raley’s) reinforces the above and adds genuinely new findings:</w:t>
      </w:r>
    </w:p>
    <w:p>
      <w:pPr>
        <w:pStyle w:val="BodyText"/>
      </w:pPr>
      <w:r>
        <w:rPr>
          <w:bCs/>
          <w:b/>
        </w:rPr>
        <w:t xml:space="preserve">Plant/Ship-From tally so far: 1 of 3 partners include it.</w:t>
      </w:r>
      <w:r>
        <w:t xml:space="preserve"> </w:t>
      </w:r>
      <w:r>
        <w:t xml:space="preserve">Raley’s, like Kroger, has no</w:t>
      </w:r>
      <w:r>
        <w:t xml:space="preserve"> </w:t>
      </w:r>
      <w:r>
        <w:rPr>
          <w:rStyle w:val="VerbatimChar"/>
        </w:rPr>
        <w:t xml:space="preserve">N1*SF</w:t>
      </w:r>
      <w:r>
        <w:t xml:space="preserve"> </w:t>
      </w:r>
      <w:r>
        <w:t xml:space="preserve">segment at all. Only Dollar General’s example included one. Treat Plant/Ship-From as partner-specific, not something to expect by default.</w:t>
      </w:r>
    </w:p>
    <w:p>
      <w:pPr>
        <w:pStyle w:val="BodyText"/>
      </w:pPr>
      <w:r>
        <w:rPr>
          <w:bCs/>
          <w:b/>
        </w:rPr>
        <w:t xml:space="preserve">Store number triple-confirmed via three independent fields in the same message</w:t>
      </w:r>
      <w:r>
        <w:t xml:space="preserve"> </w:t>
      </w:r>
      <w:r>
        <w:t xml:space="preserve">— genuinely strong validation, not a guess:</w:t>
      </w:r>
      <w:r>
        <w:t xml:space="preserve"> </w:t>
      </w:r>
      <w:r>
        <w:rPr>
          <w:rStyle w:val="VerbatimChar"/>
        </w:rPr>
        <w:t xml:space="preserve">N1*ST*Raley's 103*9*103</w:t>
      </w:r>
      <w:r>
        <w:t xml:space="preserve"> </w:t>
      </w:r>
      <w:r>
        <w:t xml:space="preserve">(store number embedded in both the name text and the ID value) and separately</w:t>
      </w:r>
      <w:r>
        <w:t xml:space="preserve"> </w:t>
      </w:r>
      <w:r>
        <w:rPr>
          <w:rStyle w:val="VerbatimChar"/>
        </w:rPr>
        <w:t xml:space="preserve">REF*ZZ*103</w:t>
      </w:r>
      <w:r>
        <w:t xml:space="preserve"> </w:t>
      </w:r>
      <w:r>
        <w:t xml:space="preserve">(a</w:t>
      </w:r>
      <w:r>
        <w:t xml:space="preserve"> </w:t>
      </w:r>
      <w:r>
        <w:t xml:space="preserve">“</w:t>
      </w:r>
      <w:r>
        <w:t xml:space="preserve">mutually defined</w:t>
      </w:r>
      <w:r>
        <w:t xml:space="preserve">”</w:t>
      </w:r>
      <w:r>
        <w:t xml:space="preserve"> </w:t>
      </w:r>
      <w:r>
        <w:t xml:space="preserve">reference segment). All three independently agree on store</w:t>
      </w:r>
      <w:r>
        <w:t xml:space="preserve"> </w:t>
      </w:r>
      <w:r>
        <w:rPr>
          <w:rStyle w:val="VerbatimChar"/>
        </w:rPr>
        <w:t xml:space="preserve">103</w:t>
      </w:r>
      <w:r>
        <w:t xml:space="preserve">.</w:t>
      </w:r>
    </w:p>
    <w:p>
      <w:pPr>
        <w:pStyle w:val="BodyText"/>
      </w:pPr>
      <w:r>
        <w:rPr>
          <w:bCs/>
          <w:b/>
        </w:rPr>
        <w:t xml:space="preserve">A third, distinct item-identifier qualifier scheme</w:t>
      </w:r>
      <w:r>
        <w:t xml:space="preserve"> </w:t>
      </w:r>
      <w:r>
        <w:t xml:space="preserve">— every real example so far uses different X12 qualifiers for identifying line items: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Partner</w:t>
            </w:r>
          </w:p>
        </w:tc>
        <w:tc>
          <w:tcPr/>
          <w:p>
            <w:pPr>
              <w:pStyle w:val="Compact"/>
              <w:jc w:val="left"/>
            </w:pPr>
            <w:r>
              <w:t xml:space="preserve">Qualifiers used</w:t>
            </w:r>
          </w:p>
        </w:tc>
        <w:tc>
          <w:tcPr/>
          <w:p>
            <w:pPr>
              <w:pStyle w:val="Compact"/>
              <w:jc w:val="left"/>
            </w:pPr>
            <w:r>
              <w:t xml:space="preserve">Price included?</w:t>
            </w:r>
          </w:p>
        </w:tc>
        <w:tc>
          <w:tcPr/>
          <w:p>
            <w:pPr>
              <w:pStyle w:val="Compact"/>
              <w:jc w:val="left"/>
            </w:pPr>
            <w:r>
              <w:t xml:space="preserve">Description (</w:t>
            </w:r>
            <w:r>
              <w:rPr>
                <w:rStyle w:val="VerbatimChar"/>
              </w:rPr>
              <w:t xml:space="preserve">PID</w:t>
            </w:r>
            <w:r>
              <w:t xml:space="preserve">) included?</w:t>
            </w:r>
          </w:p>
        </w:tc>
      </w:tr>
      <w:tr>
        <w:tc>
          <w:tcPr/>
          <w:p>
            <w:pPr>
              <w:pStyle w:val="Compact"/>
              <w:jc w:val="left"/>
            </w:pPr>
            <w:r>
              <w:t xml:space="preserve">Dollar General</w:t>
            </w:r>
          </w:p>
        </w:tc>
        <w:tc>
          <w:tcPr/>
          <w:p>
            <w:pPr>
              <w:pStyle w:val="Compact"/>
              <w:jc w:val="left"/>
            </w:pPr>
            <w:r>
              <w:rPr>
                <w:rStyle w:val="VerbatimChar"/>
              </w:rPr>
              <w:t xml:space="preserve">CB</w:t>
            </w:r>
            <w:r>
              <w:t xml:space="preserve"> </w:t>
            </w:r>
            <w:r>
              <w:t xml:space="preserve">(case),</w:t>
            </w:r>
            <w:r>
              <w:t xml:space="preserve"> </w:t>
            </w:r>
            <w:r>
              <w:rPr>
                <w:rStyle w:val="VerbatimChar"/>
              </w:rPr>
              <w:t xml:space="preserve">UP</w:t>
            </w:r>
            <w:r>
              <w:t xml:space="preserve"> </w:t>
            </w:r>
            <w:r>
              <w:t xml:space="preserve">(UPC)</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Kroger</w:t>
            </w:r>
          </w:p>
        </w:tc>
        <w:tc>
          <w:tcPr/>
          <w:p>
            <w:pPr>
              <w:pStyle w:val="Compact"/>
              <w:jc w:val="left"/>
            </w:pPr>
            <w:r>
              <w:rPr>
                <w:rStyle w:val="VerbatimChar"/>
              </w:rPr>
              <w:t xml:space="preserve">UK</w:t>
            </w:r>
            <w:r>
              <w:t xml:space="preserve"> </w:t>
            </w:r>
            <w:r>
              <w:t xml:space="preserve">(UPC/GTIN-12),</w:t>
            </w:r>
            <w:r>
              <w:t xml:space="preserve"> </w:t>
            </w:r>
            <w:r>
              <w:rPr>
                <w:rStyle w:val="VerbatimChar"/>
              </w:rPr>
              <w:t xml:space="preserve">PI</w:t>
            </w:r>
            <w:r>
              <w:t xml:space="preserve"> </w:t>
            </w:r>
            <w:r>
              <w:t xml:space="preserve">(Purchaser’s Item Code),</w:t>
            </w:r>
            <w:r>
              <w:t xml:space="preserve"> </w:t>
            </w:r>
            <w:r>
              <w:rPr>
                <w:rStyle w:val="VerbatimChar"/>
              </w:rPr>
              <w:t xml:space="preserve">UD</w:t>
            </w:r>
            <w:r>
              <w:t xml:space="preserve"> </w:t>
            </w:r>
            <w:r>
              <w:t xml:space="preserve">(unconfirmed)</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Raley’s</w:t>
            </w:r>
          </w:p>
        </w:tc>
        <w:tc>
          <w:tcPr/>
          <w:p>
            <w:pPr>
              <w:pStyle w:val="Compact"/>
              <w:jc w:val="left"/>
            </w:pPr>
            <w:r>
              <w:rPr>
                <w:rStyle w:val="VerbatimChar"/>
              </w:rPr>
              <w:t xml:space="preserve">IN</w:t>
            </w:r>
            <w:r>
              <w:t xml:space="preserve"> </w:t>
            </w:r>
            <w:r>
              <w:t xml:space="preserve">(unconfirmed — possibly</w:t>
            </w:r>
            <w:r>
              <w:t xml:space="preserve"> </w:t>
            </w:r>
            <w:r>
              <w:t xml:space="preserve">“</w:t>
            </w:r>
            <w:r>
              <w:t xml:space="preserve">Internal/Industry Number</w:t>
            </w:r>
            <w:r>
              <w:t xml:space="preserve">”</w:t>
            </w:r>
            <w:r>
              <w:t xml:space="preserve">),</w:t>
            </w:r>
            <w:r>
              <w:t xml:space="preserve"> </w:t>
            </w:r>
            <w:r>
              <w:rPr>
                <w:rStyle w:val="VerbatimChar"/>
              </w:rPr>
              <w:t xml:space="preserve">UK</w:t>
            </w:r>
            <w:r>
              <w:t xml:space="preserve"> </w:t>
            </w:r>
            <w:r>
              <w:t xml:space="preserve">(UPC/GTIN-12),</w:t>
            </w:r>
            <w:r>
              <w:t xml:space="preserve"> </w:t>
            </w:r>
            <w:r>
              <w:rPr>
                <w:rStyle w:val="VerbatimChar"/>
              </w:rPr>
              <w:t xml:space="preserve">VN</w:t>
            </w:r>
            <w:r>
              <w:t xml:space="preserve"> </w:t>
            </w:r>
            <w:r>
              <w:t xml:space="preserve">(Vendor’s — our — item number)</w:t>
            </w:r>
          </w:p>
        </w:tc>
        <w:tc>
          <w:tcPr/>
          <w:p>
            <w:pPr>
              <w:pStyle w:val="Compact"/>
              <w:jc w:val="left"/>
            </w:pPr>
            <w:r>
              <w:t xml:space="preserve">No</w:t>
            </w:r>
          </w:p>
        </w:tc>
        <w:tc>
          <w:tcPr/>
          <w:p>
            <w:pPr>
              <w:pStyle w:val="Compact"/>
              <w:jc w:val="left"/>
            </w:pPr>
            <w:r>
              <w:rPr>
                <w:bCs/>
                <w:b/>
              </w:rPr>
              <w:t xml:space="preserve">No</w:t>
            </w:r>
            <w:r>
              <w:t xml:space="preserve"> </w:t>
            </w:r>
            <w:r>
              <w:t xml:space="preserve">— relies entirely on item codes, no human-readable description anywhere</w:t>
            </w:r>
          </w:p>
        </w:tc>
      </w:tr>
    </w:tbl>
    <w:p>
      <w:pPr>
        <w:pStyle w:val="BodyText"/>
      </w:pPr>
      <w:r>
        <w:rPr>
          <w:bCs/>
          <w:b/>
        </w:rPr>
        <w:t xml:space="preserve">New segment type found:</w:t>
      </w:r>
      <w:r>
        <w:rPr>
          <w:bCs/>
          <w:b/>
        </w:rPr>
        <w:t xml:space="preserve"> </w:t>
      </w:r>
      <w:r>
        <w:rPr>
          <w:rStyle w:val="VerbatimChar"/>
          <w:bCs/>
          <w:b/>
        </w:rPr>
        <w:t xml:space="preserve">REF</w:t>
      </w:r>
      <w:r>
        <w:rPr>
          <w:bCs/>
          <w:b/>
        </w:rPr>
        <w:t xml:space="preserve"> </w:t>
      </w:r>
      <w:r>
        <w:rPr>
          <w:bCs/>
          <w:b/>
        </w:rPr>
        <w:t xml:space="preserve">(Reference).</w:t>
      </w:r>
      <w:r>
        <w:t xml:space="preserve"> </w:t>
      </w:r>
      <w:r>
        <w:t xml:space="preserve">Not seen in the Dollar General or Kroger examples. Raley’s uses it for several purposes in one message:</w:t>
      </w:r>
      <w:r>
        <w:t xml:space="preserve"> </w:t>
      </w:r>
      <w:r>
        <w:rPr>
          <w:rStyle w:val="VerbatimChar"/>
        </w:rPr>
        <w:t xml:space="preserve">REF*IA*9002805</w:t>
      </w:r>
      <w:r>
        <w:t xml:space="preserve"> </w:t>
      </w:r>
      <w:r>
        <w:t xml:space="preserve">(an internal account/reference number), multiple</w:t>
      </w:r>
      <w:r>
        <w:t xml:space="preserve"> </w:t>
      </w:r>
      <w:r>
        <w:rPr>
          <w:rStyle w:val="VerbatimChar"/>
        </w:rPr>
        <w:t xml:space="preserve">REF*L1</w:t>
      </w:r>
      <w:r>
        <w:t xml:space="preserve"> </w:t>
      </w:r>
      <w:r>
        <w:t xml:space="preserve">segments carrying literal instructional text and URLs (delivery instructions, terms and conditions links — genuinely human-readable content embedded directly in the EDI, not just codes),</w:t>
      </w:r>
      <w:r>
        <w:t xml:space="preserve"> </w:t>
      </w:r>
      <w:r>
        <w:rPr>
          <w:rStyle w:val="VerbatimChar"/>
        </w:rPr>
        <w:t xml:space="preserve">REF*ZZ*103</w:t>
      </w:r>
      <w:r>
        <w:t xml:space="preserve"> </w:t>
      </w:r>
      <w:r>
        <w:t xml:space="preserve">(confirmed above as the store number), and</w:t>
      </w:r>
      <w:r>
        <w:t xml:space="preserve"> </w:t>
      </w:r>
      <w:r>
        <w:rPr>
          <w:rStyle w:val="VerbatimChar"/>
        </w:rPr>
        <w:t xml:space="preserve">REF*OL*01</w:t>
      </w:r>
      <w:r>
        <w:t xml:space="preserve"> </w:t>
      </w:r>
      <w:r>
        <w:t xml:space="preserve">(purpose unconfirmed).</w:t>
      </w:r>
    </w:p>
    <w:bookmarkEnd w:id="27"/>
    <w:bookmarkStart w:id="28" w:name="X1cc12382084a063b014e557e0e3455eae950ef7"/>
    <w:p>
      <w:pPr>
        <w:pStyle w:val="Heading3"/>
      </w:pPr>
      <w:r>
        <w:t xml:space="preserve">Fourth real example (Save Mart) — resolves a field that’s been</w:t>
      </w:r>
      <w:r>
        <w:t xml:space="preserve"> </w:t>
      </w:r>
      <w:r>
        <w:t xml:space="preserve">“</w:t>
      </w:r>
      <w:r>
        <w:t xml:space="preserve">Unknown</w:t>
      </w:r>
      <w:r>
        <w:t xml:space="preserve">”</w:t>
      </w:r>
      <w:r>
        <w:t xml:space="preserve"> </w:t>
      </w:r>
      <w:r>
        <w:t xml:space="preserve">since the start of this work</w:t>
      </w:r>
    </w:p>
    <w:p>
      <w:pPr>
        <w:pStyle w:val="FirstParagraph"/>
      </w:pPr>
      <w:r>
        <w:t xml:space="preserve">🎯</w:t>
      </w:r>
      <w:r>
        <w:t xml:space="preserve"> </w:t>
      </w:r>
      <w:r>
        <w:rPr>
          <w:rStyle w:val="VerbatimChar"/>
          <w:bCs/>
          <w:b/>
        </w:rPr>
        <w:t xml:space="preserve">HDR</w:t>
      </w:r>
      <w:r>
        <w:rPr>
          <w:bCs/>
          <w:b/>
        </w:rPr>
        <w:t xml:space="preserve"> </w:t>
      </w:r>
      <w:r>
        <w:rPr>
          <w:bCs/>
          <w:b/>
        </w:rPr>
        <w:t xml:space="preserve">Field 5 is resolved: it’s the Sender ID.</w:t>
      </w:r>
      <w:r>
        <w:t xml:space="preserve"> </w:t>
      </w:r>
      <w:r>
        <w:t xml:space="preserve">The original 850 layout doc described this field as</w:t>
      </w:r>
      <w:r>
        <w:t xml:space="preserve"> </w:t>
      </w:r>
      <w:r>
        <w:t xml:space="preserve">“</w:t>
      </w:r>
      <w:r>
        <w:t xml:space="preserve">Unknown but sometimes the Customers Name, sometimes other strings of Numbers</w:t>
      </w:r>
      <w:r>
        <w:t xml:space="preserve">”</w:t>
      </w:r>
      <w:r>
        <w:t xml:space="preserve"> </w:t>
      </w:r>
      <w:r>
        <w:t xml:space="preserve">from the very first message about this transaction type. A real flat-file example (</w:t>
      </w:r>
      <w:r>
        <w:rPr>
          <w:rStyle w:val="VerbatimChar"/>
        </w:rPr>
        <w:t xml:space="preserve">941245496</w:t>
      </w:r>
      <w:r>
        <w:t xml:space="preserve">) matches the real raw EDI’s</w:t>
      </w:r>
      <w:r>
        <w:t xml:space="preserve"> </w:t>
      </w:r>
      <w:r>
        <w:rPr>
          <w:rStyle w:val="VerbatimChar"/>
        </w:rPr>
        <w:t xml:space="preserve">ISA</w:t>
      </w:r>
      <w:r>
        <w:t xml:space="preserve">/</w:t>
      </w:r>
      <w:r>
        <w:rPr>
          <w:rStyle w:val="VerbatimChar"/>
        </w:rPr>
        <w:t xml:space="preserve">Sender Id</w:t>
      </w:r>
      <w:r>
        <w:t xml:space="preserve"> </w:t>
      </w:r>
      <w:r>
        <w:t xml:space="preserve">field exactly, for the same trading partner. This is now ✅ confirmed, not a guess.</w:t>
      </w:r>
    </w:p>
    <w:p>
      <w:pPr>
        <w:pStyle w:val="BodyText"/>
      </w:pPr>
      <w:r>
        <w:rPr>
          <w:bCs/>
          <w:b/>
        </w:rPr>
        <w:t xml:space="preserve">Plant/Ship-From tally: still 1 of 4 partners.</w:t>
      </w:r>
      <w:r>
        <w:t xml:space="preserve"> </w:t>
      </w:r>
      <w:r>
        <w:t xml:space="preserve">Save Mart, like Kroger and Raley’s, has no</w:t>
      </w:r>
      <w:r>
        <w:t xml:space="preserve"> </w:t>
      </w:r>
      <w:r>
        <w:rPr>
          <w:rStyle w:val="VerbatimChar"/>
        </w:rPr>
        <w:t xml:space="preserve">N1*SF</w:t>
      </w:r>
      <w:r>
        <w:t xml:space="preserve"> </w:t>
      </w:r>
      <w:r>
        <w:t xml:space="preserve">segment.</w:t>
      </w:r>
    </w:p>
    <w:p>
      <w:pPr>
        <w:pStyle w:val="BodyText"/>
      </w:pPr>
      <w:r>
        <w:rPr>
          <w:rStyle w:val="VerbatimChar"/>
          <w:bCs/>
          <w:b/>
        </w:rPr>
        <w:t xml:space="preserve">N1*BT</w:t>
      </w:r>
      <w:r>
        <w:rPr>
          <w:bCs/>
          <w:b/>
        </w:rPr>
        <w:t xml:space="preserve"> </w:t>
      </w:r>
      <w:r>
        <w:rPr>
          <w:bCs/>
          <w:b/>
        </w:rPr>
        <w:t xml:space="preserve">and</w:t>
      </w:r>
      <w:r>
        <w:rPr>
          <w:bCs/>
          <w:b/>
        </w:rPr>
        <w:t xml:space="preserve"> </w:t>
      </w:r>
      <w:r>
        <w:rPr>
          <w:rStyle w:val="VerbatimChar"/>
          <w:bCs/>
          <w:b/>
        </w:rPr>
        <w:t xml:space="preserve">N1*ST</w:t>
      </w:r>
      <w:r>
        <w:rPr>
          <w:bCs/>
          <w:b/>
        </w:rPr>
        <w:t xml:space="preserve"> </w:t>
      </w:r>
      <w:r>
        <w:rPr>
          <w:bCs/>
          <w:b/>
        </w:rPr>
        <w:t xml:space="preserve">share the same name and ID again</w:t>
      </w:r>
      <w:r>
        <w:t xml:space="preserve"> </w:t>
      </w:r>
      <w:r>
        <w:t xml:space="preserve">(</w:t>
      </w:r>
      <w:r>
        <w:rPr>
          <w:rStyle w:val="VerbatimChar"/>
        </w:rPr>
        <w:t xml:space="preserve">Save Mart - Lucky - Food Maxx Stores</w:t>
      </w:r>
      <w:r>
        <w:t xml:space="preserve">,</w:t>
      </w:r>
      <w:r>
        <w:t xml:space="preserve"> </w:t>
      </w:r>
      <w:r>
        <w:rPr>
          <w:rStyle w:val="VerbatimChar"/>
        </w:rPr>
        <w:t xml:space="preserve">0078744800560</w:t>
      </w:r>
      <w:r>
        <w:t xml:space="preserve">) — same pattern as Kroger. Worth noting the ID’s last few digits (</w:t>
      </w:r>
      <w:r>
        <w:rPr>
          <w:rStyle w:val="VerbatimChar"/>
        </w:rPr>
        <w:t xml:space="preserve">...560</w:t>
      </w:r>
      <w:r>
        <w:t xml:space="preserve">) differ from an earlier flat-file example for the same chain (</w:t>
      </w:r>
      <w:r>
        <w:rPr>
          <w:rStyle w:val="VerbatimChar"/>
        </w:rPr>
        <w:t xml:space="preserve">...718</w:t>
      </w:r>
      <w:r>
        <w:t xml:space="preserve">) — consistent with a per-store suffix on a shared base identifier, not a conflict.</w:t>
      </w:r>
    </w:p>
    <w:p>
      <w:pPr>
        <w:pStyle w:val="BodyText"/>
      </w:pPr>
      <w:r>
        <w:rPr>
          <w:bCs/>
          <w:b/>
        </w:rPr>
        <w:t xml:space="preserve">A fourth, even richer item-identifier qualifier scheme — and a new qualifier (</w:t>
      </w:r>
      <w:r>
        <w:rPr>
          <w:rStyle w:val="VerbatimChar"/>
          <w:bCs/>
          <w:b/>
        </w:rPr>
        <w:t xml:space="preserve">OT</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Partner</w:t>
            </w:r>
          </w:p>
        </w:tc>
        <w:tc>
          <w:tcPr/>
          <w:p>
            <w:pPr>
              <w:pStyle w:val="Compact"/>
              <w:jc w:val="left"/>
            </w:pPr>
            <w:r>
              <w:t xml:space="preserve">Qualifiers used</w:t>
            </w:r>
          </w:p>
        </w:tc>
      </w:tr>
      <w:tr>
        <w:tc>
          <w:tcPr/>
          <w:p>
            <w:pPr>
              <w:pStyle w:val="Compact"/>
              <w:jc w:val="left"/>
            </w:pPr>
            <w:r>
              <w:t xml:space="preserve">Dollar General</w:t>
            </w:r>
          </w:p>
        </w:tc>
        <w:tc>
          <w:tcPr/>
          <w:p>
            <w:pPr>
              <w:pStyle w:val="Compact"/>
              <w:jc w:val="left"/>
            </w:pPr>
            <w:r>
              <w:rPr>
                <w:rStyle w:val="VerbatimChar"/>
              </w:rPr>
              <w:t xml:space="preserve">CB</w:t>
            </w:r>
            <w:r>
              <w:t xml:space="preserve">,</w:t>
            </w:r>
            <w:r>
              <w:t xml:space="preserve"> </w:t>
            </w:r>
            <w:r>
              <w:rPr>
                <w:rStyle w:val="VerbatimChar"/>
              </w:rPr>
              <w:t xml:space="preserve">UP</w:t>
            </w:r>
          </w:p>
        </w:tc>
      </w:tr>
      <w:tr>
        <w:tc>
          <w:tcPr/>
          <w:p>
            <w:pPr>
              <w:pStyle w:val="Compact"/>
              <w:jc w:val="left"/>
            </w:pPr>
            <w:r>
              <w:t xml:space="preserve">Kroger</w:t>
            </w:r>
          </w:p>
        </w:tc>
        <w:tc>
          <w:tcPr/>
          <w:p>
            <w:pPr>
              <w:pStyle w:val="Compact"/>
              <w:jc w:val="left"/>
            </w:pPr>
            <w:r>
              <w:rPr>
                <w:rStyle w:val="VerbatimChar"/>
              </w:rPr>
              <w:t xml:space="preserve">UK</w:t>
            </w:r>
            <w:r>
              <w:t xml:space="preserve">,</w:t>
            </w:r>
            <w:r>
              <w:t xml:space="preserve"> </w:t>
            </w:r>
            <w:r>
              <w:rPr>
                <w:rStyle w:val="VerbatimChar"/>
              </w:rPr>
              <w:t xml:space="preserve">PI</w:t>
            </w:r>
            <w:r>
              <w:t xml:space="preserve">,</w:t>
            </w:r>
            <w:r>
              <w:t xml:space="preserve"> </w:t>
            </w:r>
            <w:r>
              <w:rPr>
                <w:rStyle w:val="VerbatimChar"/>
              </w:rPr>
              <w:t xml:space="preserve">UD</w:t>
            </w:r>
          </w:p>
        </w:tc>
      </w:tr>
      <w:tr>
        <w:tc>
          <w:tcPr/>
          <w:p>
            <w:pPr>
              <w:pStyle w:val="Compact"/>
              <w:jc w:val="left"/>
            </w:pPr>
            <w:r>
              <w:t xml:space="preserve">Raley’s</w:t>
            </w:r>
          </w:p>
        </w:tc>
        <w:tc>
          <w:tcPr/>
          <w:p>
            <w:pPr>
              <w:pStyle w:val="Compact"/>
              <w:jc w:val="left"/>
            </w:pPr>
            <w:r>
              <w:rPr>
                <w:rStyle w:val="VerbatimChar"/>
              </w:rPr>
              <w:t xml:space="preserve">IN</w:t>
            </w:r>
            <w:r>
              <w:t xml:space="preserve">,</w:t>
            </w:r>
            <w:r>
              <w:t xml:space="preserve"> </w:t>
            </w:r>
            <w:r>
              <w:rPr>
                <w:rStyle w:val="VerbatimChar"/>
              </w:rPr>
              <w:t xml:space="preserve">UK</w:t>
            </w:r>
            <w:r>
              <w:t xml:space="preserve">,</w:t>
            </w:r>
            <w:r>
              <w:t xml:space="preserve"> </w:t>
            </w:r>
            <w:r>
              <w:rPr>
                <w:rStyle w:val="VerbatimChar"/>
              </w:rPr>
              <w:t xml:space="preserve">VN</w:t>
            </w:r>
          </w:p>
        </w:tc>
      </w:tr>
      <w:tr>
        <w:tc>
          <w:tcPr/>
          <w:p>
            <w:pPr>
              <w:pStyle w:val="Compact"/>
              <w:jc w:val="left"/>
            </w:pPr>
            <w:r>
              <w:t xml:space="preserve">Save Mart</w:t>
            </w:r>
          </w:p>
        </w:tc>
        <w:tc>
          <w:tcPr/>
          <w:p>
            <w:pPr>
              <w:pStyle w:val="Compact"/>
              <w:jc w:val="left"/>
            </w:pPr>
            <w:r>
              <w:rPr>
                <w:rStyle w:val="VerbatimChar"/>
              </w:rPr>
              <w:t xml:space="preserve">UP</w:t>
            </w:r>
            <w:r>
              <w:t xml:space="preserve">,</w:t>
            </w:r>
            <w:r>
              <w:t xml:space="preserve"> </w:t>
            </w:r>
            <w:r>
              <w:rPr>
                <w:rStyle w:val="VerbatimChar"/>
              </w:rPr>
              <w:t xml:space="preserve">VN</w:t>
            </w:r>
            <w:r>
              <w:t xml:space="preserve">,</w:t>
            </w:r>
            <w:r>
              <w:t xml:space="preserve"> </w:t>
            </w:r>
            <w:r>
              <w:rPr>
                <w:rStyle w:val="VerbatimChar"/>
              </w:rPr>
              <w:t xml:space="preserve">IN</w:t>
            </w:r>
            <w:r>
              <w:t xml:space="preserve">,</w:t>
            </w:r>
            <w:r>
              <w:t xml:space="preserve"> </w:t>
            </w:r>
            <w:r>
              <w:rPr>
                <w:rStyle w:val="VerbatimChar"/>
              </w:rPr>
              <w:t xml:space="preserve">OT</w:t>
            </w:r>
            <w:r>
              <w:t xml:space="preserve"> </w:t>
            </w:r>
            <w:r>
              <w:t xml:space="preserve">— four qualifiers on every line, the richest set seen so far</w:t>
            </w:r>
          </w:p>
        </w:tc>
      </w:tr>
    </w:tbl>
    <w:p>
      <w:pPr>
        <w:pStyle w:val="BodyText"/>
      </w:pPr>
      <w:r>
        <w:rPr>
          <w:rStyle w:val="VerbatimChar"/>
        </w:rPr>
        <w:t xml:space="preserve">OT</w:t>
      </w:r>
      <w:r>
        <w:t xml:space="preserve">’s purpose is unconfirmed — values seen are small 3–4 digit codes (</w:t>
      </w:r>
      <w:r>
        <w:rPr>
          <w:rStyle w:val="VerbatimChar"/>
        </w:rPr>
        <w:t xml:space="preserve">0310</w:t>
      </w:r>
      <w:r>
        <w:t xml:space="preserve">,</w:t>
      </w:r>
      <w:r>
        <w:t xml:space="preserve"> </w:t>
      </w:r>
      <w:r>
        <w:rPr>
          <w:rStyle w:val="VerbatimChar"/>
        </w:rPr>
        <w:t xml:space="preserve">0320</w:t>
      </w:r>
      <w:r>
        <w:t xml:space="preserve">), possibly a department/category code given the limited value range, but this is a guess, not a finding; flagged rather than asserted.</w:t>
      </w:r>
    </w:p>
    <w:p>
      <w:pPr>
        <w:pStyle w:val="BodyText"/>
      </w:pPr>
      <w:r>
        <w:rPr>
          <w:rStyle w:val="VerbatimChar"/>
          <w:bCs/>
          <w:b/>
        </w:rPr>
        <w:t xml:space="preserve">PO4</w:t>
      </w:r>
      <w:r>
        <w:rPr>
          <w:bCs/>
          <w:b/>
        </w:rPr>
        <w:t xml:space="preserve"> </w:t>
      </w:r>
      <w:r>
        <w:rPr>
          <w:bCs/>
          <w:b/>
        </w:rPr>
        <w:t xml:space="preserve">appears on every line here</w:t>
      </w:r>
      <w:r>
        <w:t xml:space="preserve"> </w:t>
      </w:r>
      <w:r>
        <w:t xml:space="preserve">(unlike Dollar General/Kroger, where it was intermittent), and consistently carries a single number (e.g. </w:t>
      </w:r>
      <w:r>
        <w:rPr>
          <w:rStyle w:val="VerbatimChar"/>
        </w:rPr>
        <w:t xml:space="preserve">PO4*40</w:t>
      </w:r>
      <w:r>
        <w:t xml:space="preserve">,</w:t>
      </w:r>
      <w:r>
        <w:t xml:space="preserve"> </w:t>
      </w:r>
      <w:r>
        <w:rPr>
          <w:rStyle w:val="VerbatimChar"/>
        </w:rPr>
        <w:t xml:space="preserve">PO4*160</w:t>
      </w:r>
      <w:r>
        <w:t xml:space="preserve">) rather than the multi-element structure seen in Dollar General’s example. Likely a pack/case count, consistent with the pack-factor concept already confirmed across other transaction types in this project — but not independently verified here.</w:t>
      </w:r>
    </w:p>
    <w:bookmarkEnd w:id="28"/>
    <w:bookmarkStart w:id="29" w:name="X0f6b21358af47589cf1e977715cca9be5ebc56d"/>
    <w:p>
      <w:pPr>
        <w:pStyle w:val="Heading3"/>
      </w:pPr>
      <w:r>
        <w:t xml:space="preserve">Running tally across four real trading partners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Finding</w:t>
            </w:r>
          </w:p>
        </w:tc>
        <w:tc>
          <w:tcPr/>
          <w:p>
            <w:pPr>
              <w:pStyle w:val="Compact"/>
              <w:jc w:val="left"/>
            </w:pPr>
            <w:r>
              <w:t xml:space="preserve">DG</w:t>
            </w:r>
          </w:p>
        </w:tc>
        <w:tc>
          <w:tcPr/>
          <w:p>
            <w:pPr>
              <w:pStyle w:val="Compact"/>
              <w:jc w:val="left"/>
            </w:pPr>
            <w:r>
              <w:t xml:space="preserve">Kroger</w:t>
            </w:r>
          </w:p>
        </w:tc>
        <w:tc>
          <w:tcPr/>
          <w:p>
            <w:pPr>
              <w:pStyle w:val="Compact"/>
              <w:jc w:val="left"/>
            </w:pPr>
            <w:r>
              <w:t xml:space="preserve">Raley’s</w:t>
            </w:r>
          </w:p>
        </w:tc>
        <w:tc>
          <w:tcPr/>
          <w:p>
            <w:pPr>
              <w:pStyle w:val="Compact"/>
              <w:jc w:val="left"/>
            </w:pPr>
            <w:r>
              <w:t xml:space="preserve">Save Mart</w:t>
            </w:r>
          </w:p>
        </w:tc>
      </w:tr>
      <w:tr>
        <w:tc>
          <w:tcPr/>
          <w:p>
            <w:pPr>
              <w:pStyle w:val="Compact"/>
              <w:jc w:val="left"/>
            </w:pPr>
            <w:r>
              <w:t xml:space="preserve">Ship-From (Plant) present</w:t>
            </w:r>
          </w:p>
        </w:tc>
        <w:tc>
          <w:tcPr/>
          <w:p>
            <w:pPr>
              <w:pStyle w:val="Compact"/>
              <w:jc w:val="left"/>
            </w:pPr>
            <w:r>
              <w:t xml:space="preserve">✅ Yes</w:t>
            </w:r>
          </w:p>
        </w:tc>
        <w:tc>
          <w:tcPr/>
          <w:p>
            <w:pPr>
              <w:pStyle w:val="Compact"/>
              <w:jc w:val="left"/>
            </w:pPr>
            <w:r>
              <w:t xml:space="preserve">❌ No</w:t>
            </w:r>
          </w:p>
        </w:tc>
        <w:tc>
          <w:tcPr/>
          <w:p>
            <w:pPr>
              <w:pStyle w:val="Compact"/>
              <w:jc w:val="left"/>
            </w:pPr>
            <w:r>
              <w:t xml:space="preserve">❌ No</w:t>
            </w:r>
          </w:p>
        </w:tc>
        <w:tc>
          <w:tcPr/>
          <w:p>
            <w:pPr>
              <w:pStyle w:val="Compact"/>
              <w:jc w:val="left"/>
            </w:pPr>
            <w:r>
              <w:t xml:space="preserve">❌ No</w:t>
            </w:r>
          </w:p>
        </w:tc>
      </w:tr>
      <w:tr>
        <w:tc>
          <w:tcPr/>
          <w:p>
            <w:pPr>
              <w:pStyle w:val="Compact"/>
              <w:jc w:val="left"/>
            </w:pPr>
            <w:r>
              <w:t xml:space="preserve">BT and ST share one ID</w:t>
            </w:r>
          </w:p>
        </w:tc>
        <w:tc>
          <w:tcPr/>
          <w:p>
            <w:pPr>
              <w:pStyle w:val="Compact"/>
              <w:jc w:val="left"/>
            </w:pPr>
            <w:r>
              <w:t xml:space="preserve">— (not applicable, DG uses ST/SF only)</w:t>
            </w:r>
          </w:p>
        </w:tc>
        <w:tc>
          <w:tcPr/>
          <w:p>
            <w:pPr>
              <w:pStyle w:val="Compact"/>
              <w:jc w:val="left"/>
            </w:pPr>
            <w:r>
              <w:t xml:space="preserve">✅ Yes</w:t>
            </w:r>
          </w:p>
        </w:tc>
        <w:tc>
          <w:tcPr/>
          <w:p>
            <w:pPr>
              <w:pStyle w:val="Compact"/>
              <w:jc w:val="left"/>
            </w:pPr>
            <w:r>
              <w:t xml:space="preserve">— (not applicable)</w:t>
            </w:r>
          </w:p>
        </w:tc>
        <w:tc>
          <w:tcPr/>
          <w:p>
            <w:pPr>
              <w:pStyle w:val="Compact"/>
              <w:jc w:val="left"/>
            </w:pPr>
            <w:r>
              <w:t xml:space="preserve">✅ Yes</w:t>
            </w:r>
          </w:p>
        </w:tc>
      </w:tr>
      <w:tr>
        <w:tc>
          <w:tcPr/>
          <w:p>
            <w:pPr>
              <w:pStyle w:val="Compact"/>
              <w:jc w:val="left"/>
            </w:pPr>
            <w:r>
              <w:t xml:space="preserve">Item description (</w:t>
            </w:r>
            <w:r>
              <w:rPr>
                <w:rStyle w:val="VerbatimChar"/>
              </w:rPr>
              <w:t xml:space="preserve">PID</w:t>
            </w:r>
            <w:r>
              <w:t xml:space="preserve">) included</w:t>
            </w:r>
          </w:p>
        </w:tc>
        <w:tc>
          <w:tcPr/>
          <w:p>
            <w:pPr>
              <w:pStyle w:val="Compact"/>
              <w:jc w:val="left"/>
            </w:pPr>
            <w:r>
              <w:t xml:space="preserve">✅ Yes</w:t>
            </w:r>
          </w:p>
        </w:tc>
        <w:tc>
          <w:tcPr/>
          <w:p>
            <w:pPr>
              <w:pStyle w:val="Compact"/>
              <w:jc w:val="left"/>
            </w:pPr>
            <w:r>
              <w:t xml:space="preserve">✅ Yes</w:t>
            </w:r>
          </w:p>
        </w:tc>
        <w:tc>
          <w:tcPr/>
          <w:p>
            <w:pPr>
              <w:pStyle w:val="Compact"/>
              <w:jc w:val="left"/>
            </w:pPr>
            <w:r>
              <w:t xml:space="preserve">❌ No</w:t>
            </w:r>
          </w:p>
        </w:tc>
        <w:tc>
          <w:tcPr/>
          <w:p>
            <w:pPr>
              <w:pStyle w:val="Compact"/>
              <w:jc w:val="left"/>
            </w:pPr>
            <w:r>
              <w:t xml:space="preserve">❌ No</w:t>
            </w:r>
          </w:p>
        </w:tc>
      </w:tr>
      <w:tr>
        <w:tc>
          <w:tcPr/>
          <w:p>
            <w:pPr>
              <w:pStyle w:val="Compact"/>
              <w:jc w:val="left"/>
            </w:pPr>
            <w:r>
              <w:t xml:space="preserve">Distinct item-qualifier scheme</w:t>
            </w:r>
          </w:p>
        </w:tc>
        <w:tc>
          <w:tcPr/>
          <w:p>
            <w:pPr>
              <w:pStyle w:val="Compact"/>
              <w:jc w:val="left"/>
            </w:pPr>
            <w:r>
              <w:rPr>
                <w:rStyle w:val="VerbatimChar"/>
              </w:rPr>
              <w:t xml:space="preserve">CB</w:t>
            </w:r>
            <w:r>
              <w:t xml:space="preserve">/</w:t>
            </w:r>
            <w:r>
              <w:rPr>
                <w:rStyle w:val="VerbatimChar"/>
              </w:rPr>
              <w:t xml:space="preserve">UP</w:t>
            </w:r>
          </w:p>
        </w:tc>
        <w:tc>
          <w:tcPr/>
          <w:p>
            <w:pPr>
              <w:pStyle w:val="Compact"/>
              <w:jc w:val="left"/>
            </w:pPr>
            <w:r>
              <w:rPr>
                <w:rStyle w:val="VerbatimChar"/>
              </w:rPr>
              <w:t xml:space="preserve">UK</w:t>
            </w:r>
            <w:r>
              <w:t xml:space="preserve">/</w:t>
            </w:r>
            <w:r>
              <w:rPr>
                <w:rStyle w:val="VerbatimChar"/>
              </w:rPr>
              <w:t xml:space="preserve">PI</w:t>
            </w:r>
            <w:r>
              <w:t xml:space="preserve">/</w:t>
            </w:r>
            <w:r>
              <w:rPr>
                <w:rStyle w:val="VerbatimChar"/>
              </w:rPr>
              <w:t xml:space="preserve">UD</w:t>
            </w:r>
          </w:p>
        </w:tc>
        <w:tc>
          <w:tcPr/>
          <w:p>
            <w:pPr>
              <w:pStyle w:val="Compact"/>
              <w:jc w:val="left"/>
            </w:pPr>
            <w:r>
              <w:rPr>
                <w:rStyle w:val="VerbatimChar"/>
              </w:rPr>
              <w:t xml:space="preserve">IN</w:t>
            </w:r>
            <w:r>
              <w:t xml:space="preserve">/</w:t>
            </w:r>
            <w:r>
              <w:rPr>
                <w:rStyle w:val="VerbatimChar"/>
              </w:rPr>
              <w:t xml:space="preserve">UK</w:t>
            </w:r>
            <w:r>
              <w:t xml:space="preserve">/</w:t>
            </w:r>
            <w:r>
              <w:rPr>
                <w:rStyle w:val="VerbatimChar"/>
              </w:rPr>
              <w:t xml:space="preserve">VN</w:t>
            </w:r>
          </w:p>
        </w:tc>
        <w:tc>
          <w:tcPr/>
          <w:p>
            <w:pPr>
              <w:pStyle w:val="Compact"/>
              <w:jc w:val="left"/>
            </w:pPr>
            <w:r>
              <w:rPr>
                <w:rStyle w:val="VerbatimChar"/>
              </w:rPr>
              <w:t xml:space="preserve">UP</w:t>
            </w:r>
            <w:r>
              <w:t xml:space="preserve">/</w:t>
            </w:r>
            <w:r>
              <w:rPr>
                <w:rStyle w:val="VerbatimChar"/>
              </w:rPr>
              <w:t xml:space="preserve">VN</w:t>
            </w:r>
            <w:r>
              <w:t xml:space="preserve">/</w:t>
            </w:r>
            <w:r>
              <w:rPr>
                <w:rStyle w:val="VerbatimChar"/>
              </w:rPr>
              <w:t xml:space="preserve">IN</w:t>
            </w:r>
            <w:r>
              <w:t xml:space="preserve">/</w:t>
            </w:r>
            <w:r>
              <w:rPr>
                <w:rStyle w:val="VerbatimChar"/>
              </w:rPr>
              <w:t xml:space="preserve">OT</w:t>
            </w:r>
          </w:p>
        </w:tc>
      </w:tr>
    </w:tbl>
    <w:p>
      <w:pPr>
        <w:pStyle w:val="BodyText"/>
      </w:pPr>
      <w:r>
        <w:t xml:space="preserve">The clearest pattern across all four:</w:t>
      </w:r>
      <w:r>
        <w:t xml:space="preserve"> </w:t>
      </w:r>
      <w:r>
        <w:rPr>
          <w:bCs/>
          <w:b/>
        </w:rPr>
        <w:t xml:space="preserve">every single trading partner uses a genuinely different combination of segments and qualifiers.</w:t>
      </w:r>
      <w:r>
        <w:t xml:space="preserve"> </w:t>
      </w:r>
      <w:r>
        <w:t xml:space="preserve">There is no universal 850 structure to assume — each partner’s raw EDI needs to be checked individually, the same conclusion already reached for the flat-file side of this work.</w:t>
      </w:r>
    </w:p>
    <w:p>
      <w:r>
        <w:pict>
          <v:rect style="width:0;height:1.5pt" o:hralign="center" o:hrstd="t" o:hr="t"/>
        </w:pict>
      </w:r>
    </w:p>
    <w:bookmarkEnd w:id="29"/>
    <w:bookmarkEnd w:id="30"/>
    <w:bookmarkStart w:id="34" w:name="X2afa83d799321caae296c818fb958566b933412"/>
    <w:p>
      <w:pPr>
        <w:pStyle w:val="Heading2"/>
      </w:pPr>
      <w:r>
        <w:t xml:space="preserve">A genuinely separate family: Direct Walmart / Sam’s Club (bypasses Park City Group entirely)</w:t>
      </w:r>
    </w:p>
    <w:p>
      <w:pPr>
        <w:pStyle w:val="FirstParagraph"/>
      </w:pPr>
      <w:r>
        <w:rPr>
          <w:bCs/>
          <w:b/>
        </w:rPr>
        <w:t xml:space="preserve">Confirmed via business context, not inferred:</w:t>
      </w:r>
      <w:r>
        <w:t xml:space="preserve"> </w:t>
      </w:r>
      <w:r>
        <w:t xml:space="preserve">Umpqua’s Walmart/Sam’s Club orders come</w:t>
      </w:r>
      <w:r>
        <w:t xml:space="preserve"> </w:t>
      </w:r>
      <w:r>
        <w:rPr>
          <w:bCs/>
          <w:b/>
        </w:rPr>
        <w:t xml:space="preserve">directly from Walmart</w:t>
      </w:r>
      <w:r>
        <w:t xml:space="preserve">, not through Park City Group — unlike the Costco/Walmart orders processed earlier in this project. Six real files (3 Walmart, 3 Sam’s Club) confirm this is a structurally distinct EDI family, not just a different-looking example of the same thing.</w:t>
      </w:r>
    </w:p>
    <w:p>
      <w:pPr>
        <w:pStyle w:val="BodyText"/>
      </w:pPr>
      <w:r>
        <w:rPr>
          <w:bCs/>
          <w:b/>
        </w:rPr>
        <w:t xml:space="preserve">Immediate structural tells this is a different connection entirely:</w:t>
      </w:r>
      <w:r>
        <w:t xml:space="preserve"> </w:t>
      </w:r>
      <w:r>
        <w:t xml:space="preserve">- Receiver ID is</w:t>
      </w:r>
      <w:r>
        <w:t xml:space="preserve"> </w:t>
      </w:r>
      <w:r>
        <w:rPr>
          <w:rStyle w:val="VerbatimChar"/>
        </w:rPr>
        <w:t xml:space="preserve">5416722638</w:t>
      </w:r>
      <w:r>
        <w:t xml:space="preserve"> </w:t>
      </w:r>
      <w:r>
        <w:t xml:space="preserve">(Umpqua) or</w:t>
      </w:r>
      <w:r>
        <w:t xml:space="preserve"> </w:t>
      </w:r>
      <w:r>
        <w:rPr>
          <w:rStyle w:val="VerbatimChar"/>
        </w:rPr>
        <w:t xml:space="preserve">PRODDAIR</w:t>
      </w:r>
      <w:r>
        <w:t xml:space="preserve"> </w:t>
      </w:r>
      <w:r>
        <w:t xml:space="preserve">(others) — never</w:t>
      </w:r>
      <w:r>
        <w:t xml:space="preserve"> </w:t>
      </w:r>
      <w:r>
        <w:rPr>
          <w:rStyle w:val="VerbatimChar"/>
        </w:rPr>
        <w:t xml:space="preserve">PRODNCS</w:t>
      </w:r>
      <w:r>
        <w:t xml:space="preserve">, which every Park-City-Group-routed partner used</w:t>
      </w:r>
      <w:r>
        <w:t xml:space="preserve"> </w:t>
      </w:r>
      <w:r>
        <w:t xml:space="preserve">- A</w:t>
      </w:r>
      <w:r>
        <w:t xml:space="preserve"> </w:t>
      </w:r>
      <w:r>
        <w:rPr>
          <w:rStyle w:val="VerbatimChar"/>
        </w:rPr>
        <w:t xml:space="preserve">CUR*BY*USD</w:t>
      </w:r>
      <w:r>
        <w:t xml:space="preserve"> </w:t>
      </w:r>
      <w:r>
        <w:t xml:space="preserve">(currency) segment appears — not seen in any Park City Group example</w:t>
      </w:r>
      <w:r>
        <w:t xml:space="preserve"> </w:t>
      </w:r>
      <w:r>
        <w:t xml:space="preserve">- Genuinely new segments appear: header-level</w:t>
      </w:r>
      <w:r>
        <w:t xml:space="preserve"> </w:t>
      </w:r>
      <w:r>
        <w:rPr>
          <w:rStyle w:val="VerbatimChar"/>
        </w:rPr>
        <w:t xml:space="preserve">SAC</w:t>
      </w:r>
      <w:r>
        <w:t xml:space="preserve"> </w:t>
      </w:r>
      <w:r>
        <w:t xml:space="preserve">(allowance/charge),</w:t>
      </w:r>
      <w:r>
        <w:t xml:space="preserve"> </w:t>
      </w:r>
      <w:r>
        <w:rPr>
          <w:rStyle w:val="VerbatimChar"/>
        </w:rPr>
        <w:t xml:space="preserve">SDQ</w:t>
      </w:r>
      <w:r>
        <w:t xml:space="preserve"> </w:t>
      </w:r>
      <w:r>
        <w:t xml:space="preserve">(store/destination quantity breakdown),</w:t>
      </w:r>
      <w:r>
        <w:t xml:space="preserve"> </w:t>
      </w:r>
      <w:r>
        <w:rPr>
          <w:rStyle w:val="VerbatimChar"/>
        </w:rPr>
        <w:t xml:space="preserve">AMT</w:t>
      </w:r>
      <w:r>
        <w:t xml:space="preserve"> </w:t>
      </w:r>
      <w:r>
        <w:t xml:space="preserve">(line and total amounts),</w:t>
      </w:r>
      <w:r>
        <w:t xml:space="preserve"> </w:t>
      </w:r>
      <w:r>
        <w:rPr>
          <w:rStyle w:val="VerbatimChar"/>
        </w:rPr>
        <w:t xml:space="preserve">MTX</w:t>
      </w:r>
      <w:r>
        <w:t xml:space="preserve"> </w:t>
      </w:r>
      <w:r>
        <w:t xml:space="preserve">(free-text memo, including literal truck/routing notes),</w:t>
      </w:r>
      <w:r>
        <w:t xml:space="preserve"> </w:t>
      </w:r>
      <w:r>
        <w:rPr>
          <w:rStyle w:val="VerbatimChar"/>
        </w:rPr>
        <w:t xml:space="preserve">CTT</w:t>
      </w:r>
      <w:r>
        <w:t xml:space="preserve"> </w:t>
      </w:r>
      <w:r>
        <w:t xml:space="preserve">(transaction line count)</w:t>
      </w:r>
      <w:r>
        <w:t xml:space="preserve"> </w:t>
      </w:r>
      <w:r>
        <w:t xml:space="preserve">- New party roles:</w:t>
      </w:r>
      <w:r>
        <w:t xml:space="preserve"> </w:t>
      </w:r>
      <w:r>
        <w:rPr>
          <w:rStyle w:val="VerbatimChar"/>
        </w:rPr>
        <w:t xml:space="preserve">N1*FR</w:t>
      </w:r>
      <w:r>
        <w:t xml:space="preserve"> </w:t>
      </w:r>
      <w:r>
        <w:t xml:space="preserve">(Walmart, role not fully confirmed — possibly</w:t>
      </w:r>
      <w:r>
        <w:t xml:space="preserve"> </w:t>
      </w:r>
      <w:r>
        <w:t xml:space="preserve">“</w:t>
      </w:r>
      <w:r>
        <w:t xml:space="preserve">From</w:t>
      </w:r>
      <w:r>
        <w:t xml:space="preserve">”</w:t>
      </w:r>
      <w:r>
        <w:t xml:space="preserve">),</w:t>
      </w:r>
      <w:r>
        <w:t xml:space="preserve"> </w:t>
      </w:r>
      <w:r>
        <w:rPr>
          <w:rStyle w:val="VerbatimChar"/>
        </w:rPr>
        <w:t xml:space="preserve">N1*SU</w:t>
      </w:r>
      <w:r>
        <w:t xml:space="preserve"> </w:t>
      </w:r>
      <w:r>
        <w:t xml:space="preserve">(Supplier — explicitly names a registered entity),</w:t>
      </w:r>
      <w:r>
        <w:t xml:space="preserve"> </w:t>
      </w:r>
      <w:r>
        <w:rPr>
          <w:rStyle w:val="VerbatimChar"/>
        </w:rPr>
        <w:t xml:space="preserve">N1*BY</w:t>
      </w:r>
      <w:r>
        <w:t xml:space="preserve"> </w:t>
      </w:r>
      <w:r>
        <w:t xml:space="preserve">(Buying party, Sam’s Club files only)</w:t>
      </w:r>
    </w:p>
    <w:bookmarkStart w:id="31" w:name="X9d5b6f044e1981d53a22b17efcea91bdfb9f196"/>
    <w:p>
      <w:pPr>
        <w:pStyle w:val="Heading3"/>
      </w:pPr>
      <w:r>
        <w:t xml:space="preserve">Two genuine, verified cross-checks (not assumptions)</w:t>
      </w:r>
    </w:p>
    <w:p>
      <w:pPr>
        <w:numPr>
          <w:ilvl w:val="0"/>
          <w:numId w:val="1001"/>
        </w:numPr>
        <w:pStyle w:val="Compact"/>
      </w:pPr>
      <w:r>
        <w:rPr>
          <w:rStyle w:val="VerbatimChar"/>
          <w:bCs/>
          <w:b/>
        </w:rPr>
        <w:t xml:space="preserve">AMT*GV</w:t>
      </w:r>
      <w:r>
        <w:rPr>
          <w:bCs/>
          <w:b/>
        </w:rPr>
        <w:t xml:space="preserve"> </w:t>
      </w:r>
      <w:r>
        <w:rPr>
          <w:bCs/>
          <w:b/>
        </w:rPr>
        <w:t xml:space="preserve">(total) exactly equals the sum of every line’s</w:t>
      </w:r>
      <w:r>
        <w:rPr>
          <w:bCs/>
          <w:b/>
        </w:rPr>
        <w:t xml:space="preserve"> </w:t>
      </w:r>
      <w:r>
        <w:rPr>
          <w:rStyle w:val="VerbatimChar"/>
          <w:bCs/>
          <w:b/>
        </w:rPr>
        <w:t xml:space="preserve">AMT*1</w:t>
      </w:r>
      <w:r>
        <w:rPr>
          <w:bCs/>
          <w:b/>
        </w:rPr>
        <w:t xml:space="preserve"> </w:t>
      </w:r>
      <w:r>
        <w:rPr>
          <w:bCs/>
          <w:b/>
        </w:rPr>
        <w:t xml:space="preserve">value</w:t>
      </w:r>
      <w:r>
        <w:t xml:space="preserve">, checked precisely across two separate real files (e.g. </w:t>
      </w:r>
      <w:r>
        <w:rPr>
          <w:rStyle w:val="VerbatimChar"/>
        </w:rPr>
        <w:t xml:space="preserve">9435</w:t>
      </w:r>
      <w:r>
        <w:t xml:space="preserve"> </w:t>
      </w:r>
      <w:r>
        <w:t xml:space="preserve">=</w:t>
      </w:r>
      <w:r>
        <w:t xml:space="preserve"> </w:t>
      </w:r>
      <w:r>
        <w:rPr>
          <w:rStyle w:val="VerbatimChar"/>
        </w:rPr>
        <w:t xml:space="preserve">1125+90+180+1125+315+3240+2160+240+600+360</w:t>
      </w:r>
      <w:r>
        <w:t xml:space="preserve">, and separately</w:t>
      </w:r>
      <w:r>
        <w:t xml:space="preserve"> </w:t>
      </w:r>
      <w:r>
        <w:rPr>
          <w:rStyle w:val="VerbatimChar"/>
        </w:rPr>
        <w:t xml:space="preserve">5707.2</w:t>
      </w:r>
      <w:r>
        <w:t xml:space="preserve"> </w:t>
      </w:r>
      <w:r>
        <w:t xml:space="preserve">=</w:t>
      </w:r>
      <w:r>
        <w:t xml:space="preserve"> </w:t>
      </w:r>
      <w:r>
        <w:rPr>
          <w:rStyle w:val="VerbatimChar"/>
        </w:rPr>
        <w:t xml:space="preserve">1910.4+974.4+2822.4</w:t>
      </w:r>
      <w:r>
        <w:t xml:space="preserve">). Confirms this is a real, computable total, not a coincidence.</w:t>
      </w:r>
    </w:p>
    <w:p>
      <w:pPr>
        <w:numPr>
          <w:ilvl w:val="0"/>
          <w:numId w:val="1001"/>
        </w:numPr>
        <w:pStyle w:val="Compact"/>
      </w:pPr>
      <w:r>
        <w:rPr>
          <w:rStyle w:val="VerbatimChar"/>
          <w:bCs/>
          <w:b/>
        </w:rPr>
        <w:t xml:space="preserve">REF*IA</w:t>
      </w:r>
      <w:r>
        <w:rPr>
          <w:bCs/>
          <w:b/>
        </w:rPr>
        <w:t xml:space="preserve"> </w:t>
      </w:r>
      <w:r>
        <w:rPr>
          <w:bCs/>
          <w:b/>
        </w:rPr>
        <w:t xml:space="preserve">and</w:t>
      </w:r>
      <w:r>
        <w:rPr>
          <w:bCs/>
          <w:b/>
        </w:rPr>
        <w:t xml:space="preserve"> </w:t>
      </w:r>
      <w:r>
        <w:rPr>
          <w:rStyle w:val="VerbatimChar"/>
          <w:bCs/>
          <w:b/>
        </w:rPr>
        <w:t xml:space="preserve">REF*AN</w:t>
      </w:r>
      <w:r>
        <w:rPr>
          <w:bCs/>
          <w:b/>
        </w:rPr>
        <w:t xml:space="preserve"> </w:t>
      </w:r>
      <w:r>
        <w:rPr>
          <w:bCs/>
          <w:b/>
        </w:rPr>
        <w:t xml:space="preserve">carry the same underlying number</w:t>
      </w:r>
      <w:r>
        <w:t xml:space="preserve">, with</w:t>
      </w:r>
      <w:r>
        <w:t xml:space="preserve"> </w:t>
      </w:r>
      <w:r>
        <w:rPr>
          <w:rStyle w:val="VerbatimChar"/>
        </w:rPr>
        <w:t xml:space="preserve">REF*AN</w:t>
      </w:r>
      <w:r>
        <w:t xml:space="preserve"> </w:t>
      </w:r>
      <w:r>
        <w:t xml:space="preserve">adding a</w:t>
      </w:r>
      <w:r>
        <w:t xml:space="preserve"> </w:t>
      </w:r>
      <w:r>
        <w:rPr>
          <w:rStyle w:val="VerbatimChar"/>
        </w:rPr>
        <w:t xml:space="preserve">01-</w:t>
      </w:r>
      <w:r>
        <w:t xml:space="preserve"> </w:t>
      </w:r>
      <w:r>
        <w:t xml:space="preserve">prefix (e.g. </w:t>
      </w:r>
      <w:r>
        <w:rPr>
          <w:rStyle w:val="VerbatimChar"/>
        </w:rPr>
        <w:t xml:space="preserve">REF*IA*460912900</w:t>
      </w:r>
      <w:r>
        <w:t xml:space="preserve"> </w:t>
      </w:r>
      <w:r>
        <w:t xml:space="preserve">/ and elsewhere</w:t>
      </w:r>
      <w:r>
        <w:t xml:space="preserve"> </w:t>
      </w:r>
      <w:r>
        <w:rPr>
          <w:rStyle w:val="VerbatimChar"/>
        </w:rPr>
        <w:t xml:space="preserve">REF*IA*825211641</w:t>
      </w:r>
      <w:r>
        <w:t xml:space="preserve"> </w:t>
      </w:r>
      <w:r>
        <w:t xml:space="preserve">+</w:t>
      </w:r>
      <w:r>
        <w:t xml:space="preserve"> </w:t>
      </w:r>
      <w:r>
        <w:rPr>
          <w:rStyle w:val="VerbatimChar"/>
        </w:rPr>
        <w:t xml:space="preserve">REF*AN*01-825211641</w:t>
      </w:r>
      <w:r>
        <w:t xml:space="preserve">). This resolves a mystery flagged much earlier in this work — an</w:t>
      </w:r>
      <w:r>
        <w:t xml:space="preserve"> </w:t>
      </w:r>
      <w:r>
        <w:rPr>
          <w:rStyle w:val="VerbatimChar"/>
        </w:rPr>
        <w:t xml:space="preserve">NCW</w:t>
      </w:r>
      <w:r>
        <w:t xml:space="preserve"> </w:t>
      </w:r>
      <w:r>
        <w:t xml:space="preserve">flat-file example had an unexplained trailing field</w:t>
      </w:r>
      <w:r>
        <w:t xml:space="preserve"> </w:t>
      </w:r>
      <w:r>
        <w:rPr>
          <w:rStyle w:val="VerbatimChar"/>
        </w:rPr>
        <w:t xml:space="preserve">01-460912900</w:t>
      </w:r>
      <w:r>
        <w:t xml:space="preserve">, which exactly matches this</w:t>
      </w:r>
      <w:r>
        <w:t xml:space="preserve"> </w:t>
      </w:r>
      <w:r>
        <w:rPr>
          <w:rStyle w:val="VerbatimChar"/>
        </w:rPr>
        <w:t xml:space="preserve">REF*IA</w:t>
      </w:r>
      <w:r>
        <w:t xml:space="preserve"> </w:t>
      </w:r>
      <w:r>
        <w:t xml:space="preserve">value with its</w:t>
      </w:r>
      <w:r>
        <w:t xml:space="preserve"> </w:t>
      </w:r>
      <w:r>
        <w:rPr>
          <w:rStyle w:val="VerbatimChar"/>
        </w:rPr>
        <w:t xml:space="preserve">01-</w:t>
      </w:r>
      <w:r>
        <w:t xml:space="preserve"> </w:t>
      </w:r>
      <w:r>
        <w:t xml:space="preserve">prefix. Confirmed, not guessed.</w:t>
      </w:r>
    </w:p>
    <w:bookmarkEnd w:id="31"/>
    <w:bookmarkStart w:id="32" w:name="X93c5e49f88084132e3f8ce8267dbc06585cec10"/>
    <w:p>
      <w:pPr>
        <w:pStyle w:val="Heading3"/>
      </w:pPr>
      <w:r>
        <w:rPr>
          <w:rStyle w:val="VerbatimChar"/>
        </w:rPr>
        <w:t xml:space="preserve">N1*SU</w:t>
      </w:r>
      <w:r>
        <w:t xml:space="preserve"> </w:t>
      </w:r>
      <w:r>
        <w:t xml:space="preserve">— valuable, but does not cleanly answer</w:t>
      </w:r>
      <w:r>
        <w:t xml:space="preserve"> </w:t>
      </w:r>
      <w:r>
        <w:t xml:space="preserve">“</w:t>
      </w:r>
      <w:r>
        <w:t xml:space="preserve">which plant</w:t>
      </w:r>
      <w:r>
        <w:t xml:space="preserve">”</w:t>
      </w:r>
    </w:p>
    <w:p>
      <w:pPr>
        <w:pStyle w:val="FirstParagraph"/>
      </w:pPr>
      <w:r>
        <w:t xml:space="preserve">Initially promising: the Umpqua file’s</w:t>
      </w:r>
      <w:r>
        <w:t xml:space="preserve"> </w:t>
      </w:r>
      <w:r>
        <w:rPr>
          <w:rStyle w:val="VerbatimChar"/>
        </w:rPr>
        <w:t xml:space="preserve">N1*SU</w:t>
      </w:r>
      <w:r>
        <w:t xml:space="preserve"> </w:t>
      </w:r>
      <w:r>
        <w:t xml:space="preserve">reads</w:t>
      </w:r>
      <w:r>
        <w:t xml:space="preserve"> </w:t>
      </w:r>
      <w:r>
        <w:rPr>
          <w:rStyle w:val="VerbatimChar"/>
        </w:rPr>
        <w:t xml:space="preserve">UMPQUA DAIRY PRODUCTS CO</w:t>
      </w:r>
      <w:r>
        <w:t xml:space="preserve">, suggesting this field might finally identify which specific plant/facility fulfills a given order.</w:t>
      </w:r>
      <w:r>
        <w:t xml:space="preserve"> </w:t>
      </w:r>
      <w:r>
        <w:rPr>
          <w:bCs/>
          <w:b/>
        </w:rPr>
        <w:t xml:space="preserve">Checking all six files disproves the clean version of this hypothesis: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rPr>
                <w:rStyle w:val="VerbatimChar"/>
              </w:rPr>
              <w:t xml:space="preserve">N1*SU</w:t>
            </w:r>
            <w:r>
              <w:t xml:space="preserve"> </w:t>
            </w:r>
            <w:r>
              <w:t xml:space="preserve">value</w:t>
            </w:r>
          </w:p>
        </w:tc>
      </w:tr>
      <w:tr>
        <w:tc>
          <w:tcPr/>
          <w:p>
            <w:pPr>
              <w:pStyle w:val="Compact"/>
              <w:jc w:val="left"/>
            </w:pPr>
            <w:r>
              <w:t xml:space="preserve">Walmart UMPQUA</w:t>
            </w:r>
          </w:p>
        </w:tc>
        <w:tc>
          <w:tcPr/>
          <w:p>
            <w:pPr>
              <w:pStyle w:val="Compact"/>
              <w:jc w:val="left"/>
            </w:pPr>
            <w:r>
              <w:rPr>
                <w:rStyle w:val="VerbatimChar"/>
              </w:rPr>
              <w:t xml:space="preserve">UMPQUA DAIRY PRODUCTS CO</w:t>
            </w:r>
          </w:p>
        </w:tc>
      </w:tr>
      <w:tr>
        <w:tc>
          <w:tcPr/>
          <w:p>
            <w:pPr>
              <w:pStyle w:val="Compact"/>
              <w:jc w:val="left"/>
            </w:pPr>
            <w:r>
              <w:t xml:space="preserve">Walmart Fresno</w:t>
            </w:r>
          </w:p>
        </w:tc>
        <w:tc>
          <w:tcPr/>
          <w:p>
            <w:pPr>
              <w:pStyle w:val="Compact"/>
              <w:jc w:val="left"/>
            </w:pPr>
            <w:r>
              <w:rPr>
                <w:rStyle w:val="VerbatimChar"/>
              </w:rPr>
              <w:t xml:space="preserve">Nevada Dairy, LLC</w:t>
            </w:r>
          </w:p>
        </w:tc>
      </w:tr>
      <w:tr>
        <w:tc>
          <w:tcPr/>
          <w:p>
            <w:pPr>
              <w:pStyle w:val="Compact"/>
              <w:jc w:val="left"/>
            </w:pPr>
            <w:r>
              <w:t xml:space="preserve">Walmart Model Dairy</w:t>
            </w:r>
          </w:p>
        </w:tc>
        <w:tc>
          <w:tcPr/>
          <w:p>
            <w:pPr>
              <w:pStyle w:val="Compact"/>
              <w:jc w:val="left"/>
            </w:pPr>
            <w:r>
              <w:rPr>
                <w:rStyle w:val="VerbatimChar"/>
              </w:rPr>
              <w:t xml:space="preserve">Nevada Dairy, LLC</w:t>
            </w:r>
          </w:p>
        </w:tc>
      </w:tr>
      <w:tr>
        <w:tc>
          <w:tcPr/>
          <w:p>
            <w:pPr>
              <w:pStyle w:val="Compact"/>
              <w:jc w:val="left"/>
            </w:pPr>
            <w:r>
              <w:t xml:space="preserve">Sams Fresno</w:t>
            </w:r>
          </w:p>
        </w:tc>
        <w:tc>
          <w:tcPr/>
          <w:p>
            <w:pPr>
              <w:pStyle w:val="Compact"/>
              <w:jc w:val="left"/>
            </w:pPr>
            <w:r>
              <w:rPr>
                <w:rStyle w:val="VerbatimChar"/>
              </w:rPr>
              <w:t xml:space="preserve">Nevada Dairy, LLC</w:t>
            </w:r>
          </w:p>
        </w:tc>
      </w:tr>
      <w:tr>
        <w:tc>
          <w:tcPr/>
          <w:p>
            <w:pPr>
              <w:pStyle w:val="Compact"/>
              <w:jc w:val="left"/>
            </w:pPr>
            <w:r>
              <w:t xml:space="preserve">Sams Fresno 2</w:t>
            </w:r>
          </w:p>
        </w:tc>
        <w:tc>
          <w:tcPr/>
          <w:p>
            <w:pPr>
              <w:pStyle w:val="Compact"/>
              <w:jc w:val="left"/>
            </w:pPr>
            <w:r>
              <w:rPr>
                <w:rStyle w:val="VerbatimChar"/>
              </w:rPr>
              <w:t xml:space="preserve">Nevada Dairy, LLC</w:t>
            </w:r>
          </w:p>
        </w:tc>
      </w:tr>
      <w:tr>
        <w:tc>
          <w:tcPr/>
          <w:p>
            <w:pPr>
              <w:pStyle w:val="Compact"/>
              <w:jc w:val="left"/>
            </w:pPr>
            <w:r>
              <w:t xml:space="preserve">Sams Model Dairy</w:t>
            </w:r>
          </w:p>
        </w:tc>
        <w:tc>
          <w:tcPr/>
          <w:p>
            <w:pPr>
              <w:pStyle w:val="Compact"/>
              <w:jc w:val="left"/>
            </w:pPr>
            <w:r>
              <w:rPr>
                <w:rStyle w:val="VerbatimChar"/>
              </w:rPr>
              <w:t xml:space="preserve">Nevada Dairy, LLC</w:t>
            </w:r>
          </w:p>
        </w:tc>
      </w:tr>
    </w:tbl>
    <w:p>
      <w:pPr>
        <w:pStyle w:val="BodyText"/>
      </w:pPr>
      <w:r>
        <w:t xml:space="preserve">Both</w:t>
      </w:r>
      <w:r>
        <w:t xml:space="preserve"> </w:t>
      </w:r>
      <w:r>
        <w:t xml:space="preserve">“</w:t>
      </w:r>
      <w:r>
        <w:t xml:space="preserve">Fresno</w:t>
      </w:r>
      <w:r>
        <w:t xml:space="preserve">”</w:t>
      </w:r>
      <w:r>
        <w:t xml:space="preserve"> </w:t>
      </w:r>
      <w:r>
        <w:t xml:space="preserve">and</w:t>
      </w:r>
      <w:r>
        <w:t xml:space="preserve"> </w:t>
      </w:r>
      <w:r>
        <w:t xml:space="preserve">“</w:t>
      </w:r>
      <w:r>
        <w:t xml:space="preserve">Model Dairy</w:t>
      </w:r>
      <w:r>
        <w:t xml:space="preserve">”</w:t>
      </w:r>
      <w:r>
        <w:t xml:space="preserve"> </w:t>
      </w:r>
      <w:r>
        <w:t xml:space="preserve">filenames map to the</w:t>
      </w:r>
      <w:r>
        <w:t xml:space="preserve"> </w:t>
      </w:r>
      <w:r>
        <w:rPr>
          <w:bCs/>
          <w:b/>
        </w:rPr>
        <w:t xml:space="preserve">same</w:t>
      </w:r>
      <w:r>
        <w:t xml:space="preserve"> </w:t>
      </w:r>
      <w:r>
        <w:rPr>
          <w:rStyle w:val="VerbatimChar"/>
        </w:rPr>
        <w:t xml:space="preserve">N1*SU</w:t>
      </w:r>
      <w:r>
        <w:t xml:space="preserve"> </w:t>
      </w:r>
      <w:r>
        <w:t xml:space="preserve">value (</w:t>
      </w:r>
      <w:r>
        <w:rPr>
          <w:rStyle w:val="VerbatimChar"/>
        </w:rPr>
        <w:t xml:space="preserve">Nevada Dairy, LLC</w:t>
      </w:r>
      <w:r>
        <w:t xml:space="preserve">) for Sam’s Club orders, and</w:t>
      </w:r>
      <w:r>
        <w:t xml:space="preserve"> </w:t>
      </w:r>
      <w:r>
        <w:t xml:space="preserve">“</w:t>
      </w:r>
      <w:r>
        <w:t xml:space="preserve">Model Dairy</w:t>
      </w:r>
      <w:r>
        <w:t xml:space="preserve">”</w:t>
      </w:r>
      <w:r>
        <w:t xml:space="preserve"> </w:t>
      </w:r>
      <w:r>
        <w:t xml:space="preserve">shows the same value for Walmart too — meaning</w:t>
      </w:r>
      <w:r>
        <w:t xml:space="preserve"> </w:t>
      </w:r>
      <w:r>
        <w:rPr>
          <w:rStyle w:val="VerbatimChar"/>
        </w:rPr>
        <w:t xml:space="preserve">N1*SU</w:t>
      </w:r>
      <w:r>
        <w:t xml:space="preserve"> </w:t>
      </w:r>
      <w:r>
        <w:t xml:space="preserve">identifies a</w:t>
      </w:r>
      <w:r>
        <w:t xml:space="preserve"> </w:t>
      </w:r>
      <w:r>
        <w:rPr>
          <w:bCs/>
          <w:b/>
        </w:rPr>
        <w:t xml:space="preserve">registered EDI supplier/legal entity</w:t>
      </w:r>
      <w:r>
        <w:t xml:space="preserve">, not the specific plant location the filename implies. Multiple actual facilities can apparently share one EDI-registered entity. This is genuinely new, useful information (confirms real supplier entity names: Umpqua Dairy Products Co, Nevada Dairy LLC) — but it does not resolve</w:t>
      </w:r>
      <w:r>
        <w:t xml:space="preserve"> </w:t>
      </w:r>
      <w:r>
        <w:t xml:space="preserve">“</w:t>
      </w:r>
      <w:r>
        <w:t xml:space="preserve">which plant</w:t>
      </w:r>
      <w:r>
        <w:t xml:space="preserve">”</w:t>
      </w:r>
      <w:r>
        <w:t xml:space="preserve"> </w:t>
      </w:r>
      <w:r>
        <w:t xml:space="preserve">at the granularity the filenames suggest. That distinction likely exists only in internal business knowledge, not encoded anywhere in this EDI.</w:t>
      </w:r>
    </w:p>
    <w:bookmarkEnd w:id="32"/>
    <w:bookmarkStart w:id="33" w:name="other-new-partially-confirmed-findings"/>
    <w:p>
      <w:pPr>
        <w:pStyle w:val="Heading3"/>
      </w:pPr>
      <w:r>
        <w:t xml:space="preserve">Other new, partially-confirmed findings</w:t>
      </w:r>
    </w:p>
    <w:p>
      <w:pPr>
        <w:numPr>
          <w:ilvl w:val="0"/>
          <w:numId w:val="1002"/>
        </w:numPr>
        <w:pStyle w:val="Compact"/>
      </w:pPr>
      <w:r>
        <w:rPr>
          <w:rStyle w:val="VerbatimChar"/>
          <w:bCs/>
          <w:b/>
        </w:rPr>
        <w:t xml:space="preserve">SAC</w:t>
      </w:r>
      <w:r>
        <w:rPr>
          <w:bCs/>
          <w:b/>
        </w:rPr>
        <w:t xml:space="preserve"> </w:t>
      </w:r>
      <w:r>
        <w:rPr>
          <w:bCs/>
          <w:b/>
        </w:rPr>
        <w:t xml:space="preserve">at the header level</w:t>
      </w:r>
      <w:r>
        <w:t xml:space="preserve"> </w:t>
      </w:r>
      <w:r>
        <w:t xml:space="preserve">(not per-line, unlike other partners’ allowance structures):</w:t>
      </w:r>
      <w:r>
        <w:t xml:space="preserve"> </w:t>
      </w:r>
      <w:r>
        <w:rPr>
          <w:rStyle w:val="VerbatimChar"/>
        </w:rPr>
        <w:t xml:space="preserve">SAC*A*I410***4718*6*.5*****02</w:t>
      </w:r>
      <w:r>
        <w:t xml:space="preserve"> </w:t>
      </w:r>
      <w:r>
        <w:t xml:space="preserve">—</w:t>
      </w:r>
      <w:r>
        <w:t xml:space="preserve"> </w:t>
      </w:r>
      <w:r>
        <w:rPr>
          <w:rStyle w:val="VerbatimChar"/>
        </w:rPr>
        <w:t xml:space="preserve">A</w:t>
      </w:r>
      <w:r>
        <w:t xml:space="preserve"> </w:t>
      </w:r>
      <w:r>
        <w:t xml:space="preserve">(Allowance, consistent with the indicator pattern confirmed elsewhere in this project),</w:t>
      </w:r>
      <w:r>
        <w:t xml:space="preserve"> </w:t>
      </w:r>
      <w:r>
        <w:rPr>
          <w:rStyle w:val="VerbatimChar"/>
        </w:rPr>
        <w:t xml:space="preserve">02</w:t>
      </w:r>
      <w:r>
        <w:t xml:space="preserve"> </w:t>
      </w:r>
      <w:r>
        <w:t xml:space="preserve">at the end (off-invoice method code — consistent with the same code confirmed across 810, 855, and this same 850 work already).</w:t>
      </w:r>
      <w:r>
        <w:t xml:space="preserve"> </w:t>
      </w:r>
      <w:r>
        <w:rPr>
          <w:rStyle w:val="VerbatimChar"/>
        </w:rPr>
        <w:t xml:space="preserve">I410</w:t>
      </w:r>
      <w:r>
        <w:t xml:space="preserve"> </w:t>
      </w:r>
      <w:r>
        <w:t xml:space="preserve">is a new, unconfirmed code.</w:t>
      </w:r>
    </w:p>
    <w:p>
      <w:pPr>
        <w:numPr>
          <w:ilvl w:val="0"/>
          <w:numId w:val="1002"/>
        </w:numPr>
        <w:pStyle w:val="Compact"/>
      </w:pPr>
      <w:r>
        <w:rPr>
          <w:rStyle w:val="VerbatimChar"/>
          <w:bCs/>
          <w:b/>
        </w:rPr>
        <w:t xml:space="preserve">SDQ</w:t>
      </w:r>
      <w:r>
        <w:rPr>
          <w:bCs/>
          <w:b/>
        </w:rPr>
        <w:t xml:space="preserve"> </w:t>
      </w:r>
      <w:r>
        <w:rPr>
          <w:bCs/>
          <w:b/>
        </w:rPr>
        <w:t xml:space="preserve">(Store/Destination Quantity)</w:t>
      </w:r>
      <w:r>
        <w:t xml:space="preserve"> </w:t>
      </w:r>
      <w:r>
        <w:t xml:space="preserve">appears per-line in the Umpqua file (e.g. </w:t>
      </w:r>
      <w:r>
        <w:rPr>
          <w:rStyle w:val="VerbatimChar"/>
        </w:rPr>
        <w:t xml:space="preserve">SDQ*EA*UL*0078742017990*225</w:t>
      </w:r>
      <w:r>
        <w:t xml:space="preserve">) but not in any Sam’s Club file checked — presence appears to vary by specific file/partner, not universal even within this family.</w:t>
      </w:r>
    </w:p>
    <w:p>
      <w:pPr>
        <w:numPr>
          <w:ilvl w:val="0"/>
          <w:numId w:val="1002"/>
        </w:numPr>
        <w:pStyle w:val="Compact"/>
      </w:pPr>
      <w:r>
        <w:rPr>
          <w:rStyle w:val="VerbatimChar"/>
          <w:bCs/>
          <w:b/>
        </w:rPr>
        <w:t xml:space="preserve">REF*PD*POS REPLEN</w:t>
      </w:r>
      <w:r>
        <w:t xml:space="preserve"> </w:t>
      </w:r>
      <w:r>
        <w:t xml:space="preserve">— confirms these are POS-replenishment-triggered orders (automatically generated from point-of-sale sales data), a genuine business-process insight, not just a field mapping.</w:t>
      </w:r>
    </w:p>
    <w:p>
      <w:pPr>
        <w:numPr>
          <w:ilvl w:val="0"/>
          <w:numId w:val="1002"/>
        </w:numPr>
        <w:pStyle w:val="Compact"/>
      </w:pPr>
      <w:r>
        <w:rPr>
          <w:rStyle w:val="VerbatimChar"/>
          <w:bCs/>
          <w:b/>
        </w:rPr>
        <w:t xml:space="preserve">MTX</w:t>
      </w:r>
      <w:r>
        <w:rPr>
          <w:bCs/>
          <w:b/>
        </w:rPr>
        <w:t xml:space="preserve"> </w:t>
      </w:r>
      <w:r>
        <w:rPr>
          <w:bCs/>
          <w:b/>
        </w:rPr>
        <w:t xml:space="preserve">free-text segments</w:t>
      </w:r>
      <w:r>
        <w:t xml:space="preserve"> </w:t>
      </w:r>
      <w:r>
        <w:t xml:space="preserve">can contain literal operational notes (e.g. </w:t>
      </w:r>
      <w:r>
        <w:rPr>
          <w:rStyle w:val="VerbatimChar"/>
        </w:rPr>
        <w:t xml:space="preserve">TRUCK#  01 FOR 825211641</w:t>
      </w:r>
      <w:r>
        <w:t xml:space="preserve">) and even decorative text separators (</w:t>
      </w:r>
      <w:r>
        <w:rPr>
          <w:rStyle w:val="VerbatimChar"/>
        </w:rPr>
        <w:t xml:space="preserve">====</w:t>
      </w:r>
      <w:r>
        <w:t xml:space="preserve">) — confirms this field is used as a genuine free-text memo, not a coded value.</w:t>
      </w:r>
    </w:p>
    <w:p>
      <w:r>
        <w:pict>
          <v:rect style="width:0;height:1.5pt" o:hralign="center" o:hrstd="t" o:hr="t"/>
        </w:pict>
      </w:r>
    </w:p>
    <w:bookmarkEnd w:id="33"/>
    <w:bookmarkEnd w:id="34"/>
    <w:bookmarkStart w:id="40" w:name="X25e726e78e2c9fedf0830d7e11b930d100c4ed4"/>
    <w:p>
      <w:pPr>
        <w:pStyle w:val="Heading2"/>
      </w:pPr>
      <w:r>
        <w:t xml:space="preserve">A third distinct EDI family: SPS Commerce (Costco direct to Umpqua)</w:t>
      </w:r>
    </w:p>
    <w:p>
      <w:pPr>
        <w:pStyle w:val="FirstParagraph"/>
      </w:pPr>
      <w:r>
        <w:t xml:space="preserve">A real raw EDI file (already clean, no VAN banner — received directly as plain text) confirms</w:t>
      </w:r>
      <w:r>
        <w:t xml:space="preserve"> </w:t>
      </w:r>
      <w:r>
        <w:rPr>
          <w:bCs/>
          <w:b/>
        </w:rPr>
        <w:t xml:space="preserve">yet another separate network/channel</w:t>
      </w:r>
      <w:r>
        <w:t xml:space="preserve">:</w:t>
      </w:r>
      <w:r>
        <w:t xml:space="preserve"> </w:t>
      </w:r>
      <w:r>
        <w:rPr>
          <w:rStyle w:val="VerbatimChar"/>
        </w:rPr>
        <w:t xml:space="preserve">ISA</w:t>
      </w:r>
      <w:r>
        <w:t xml:space="preserve"> </w:t>
      </w:r>
      <w:r>
        <w:t xml:space="preserve">shows sender</w:t>
      </w:r>
      <w:r>
        <w:t xml:space="preserve"> </w:t>
      </w:r>
      <w:r>
        <w:rPr>
          <w:rStyle w:val="VerbatimChar"/>
        </w:rPr>
        <w:t xml:space="preserve">COSTCOEDIUSA</w:t>
      </w:r>
      <w:r>
        <w:t xml:space="preserve"> </w:t>
      </w:r>
      <w:r>
        <w:t xml:space="preserve">and receiver</w:t>
      </w:r>
      <w:r>
        <w:t xml:space="preserve"> </w:t>
      </w:r>
      <w:r>
        <w:rPr>
          <w:rStyle w:val="VerbatimChar"/>
        </w:rPr>
        <w:t xml:space="preserve">UMPQUA</w:t>
      </w:r>
      <w:r>
        <w:t xml:space="preserve"> </w:t>
      </w:r>
      <w:r>
        <w:t xml:space="preserve">directly, via SPS Commerce — distinct from both Park City Group and the direct-Walmart/Sam’s Club family documented above. This is now the</w:t>
      </w:r>
      <w:r>
        <w:t xml:space="preserve"> </w:t>
      </w:r>
      <w:r>
        <w:rPr>
          <w:bCs/>
          <w:b/>
        </w:rPr>
        <w:t xml:space="preserve">third</w:t>
      </w:r>
      <w:r>
        <w:t xml:space="preserve"> </w:t>
      </w:r>
      <w:r>
        <w:t xml:space="preserve">confirmed distinct 850 source family in this project.</w:t>
      </w:r>
    </w:p>
    <w:bookmarkStart w:id="35" w:name="two-verified-cross-checks"/>
    <w:p>
      <w:pPr>
        <w:pStyle w:val="Heading3"/>
      </w:pPr>
      <w:r>
        <w:t xml:space="preserve">Two verified cross-checks</w:t>
      </w:r>
    </w:p>
    <w:p>
      <w:pPr>
        <w:numPr>
          <w:ilvl w:val="0"/>
          <w:numId w:val="1003"/>
        </w:numPr>
        <w:pStyle w:val="Compact"/>
      </w:pPr>
      <w:r>
        <w:rPr>
          <w:rStyle w:val="VerbatimChar"/>
          <w:bCs/>
          <w:b/>
        </w:rPr>
        <w:t xml:space="preserve">CTT</w:t>
      </w:r>
      <w:r>
        <w:rPr>
          <w:bCs/>
          <w:b/>
        </w:rPr>
        <w:t xml:space="preserve">’s second element is a genuine quantity hash-total</w:t>
      </w:r>
      <w:r>
        <w:t xml:space="preserve">, not just a line count.</w:t>
      </w:r>
      <w:r>
        <w:t xml:space="preserve"> </w:t>
      </w:r>
      <w:r>
        <w:rPr>
          <w:rStyle w:val="VerbatimChar"/>
        </w:rPr>
        <w:t xml:space="preserve">CTT*2*1890</w:t>
      </w:r>
      <w:r>
        <w:t xml:space="preserve"> </w:t>
      </w:r>
      <w:r>
        <w:t xml:space="preserve">—</w:t>
      </w:r>
      <w:r>
        <w:t xml:space="preserve"> </w:t>
      </w:r>
      <w:r>
        <w:rPr>
          <w:rStyle w:val="VerbatimChar"/>
        </w:rPr>
        <w:t xml:space="preserve">2</w:t>
      </w:r>
      <w:r>
        <w:t xml:space="preserve"> </w:t>
      </w:r>
      <w:r>
        <w:t xml:space="preserve">matches the real line count, and</w:t>
      </w:r>
      <w:r>
        <w:t xml:space="preserve"> </w:t>
      </w:r>
      <w:r>
        <w:rPr>
          <w:rStyle w:val="VerbatimChar"/>
        </w:rPr>
        <w:t xml:space="preserve">1890</w:t>
      </w:r>
      <w:r>
        <w:t xml:space="preserve"> </w:t>
      </w:r>
      <w:r>
        <w:t xml:space="preserve">exactly equals the sum of both lines’ quantities (</w:t>
      </w:r>
      <w:r>
        <w:rPr>
          <w:rStyle w:val="VerbatimChar"/>
        </w:rPr>
        <w:t xml:space="preserve">420 + 1470</w:t>
      </w:r>
      <w:r>
        <w:t xml:space="preserve">). This is a new confirmed behavior:</w:t>
      </w:r>
      <w:r>
        <w:t xml:space="preserve"> </w:t>
      </w:r>
      <w:r>
        <w:rPr>
          <w:rStyle w:val="VerbatimChar"/>
        </w:rPr>
        <w:t xml:space="preserve">CTT</w:t>
      </w:r>
      <w:r>
        <w:t xml:space="preserve"> </w:t>
      </w:r>
      <w:r>
        <w:t xml:space="preserve">can optionally carry a second element beyond the simple count seen in the Umpqua/Walmart-direct example (which only showed</w:t>
      </w:r>
      <w:r>
        <w:t xml:space="preserve"> </w:t>
      </w:r>
      <w:r>
        <w:rPr>
          <w:rStyle w:val="VerbatimChar"/>
        </w:rPr>
        <w:t xml:space="preserve">CTT*10</w:t>
      </w:r>
      <w:r>
        <w:t xml:space="preserve">, no second element).</w:t>
      </w:r>
    </w:p>
    <w:p>
      <w:pPr>
        <w:numPr>
          <w:ilvl w:val="0"/>
          <w:numId w:val="1003"/>
        </w:numPr>
        <w:pStyle w:val="Compact"/>
      </w:pPr>
      <w:r>
        <w:rPr>
          <w:rStyle w:val="VerbatimChar"/>
          <w:bCs/>
          <w:b/>
        </w:rPr>
        <w:t xml:space="preserve">HCM</w:t>
      </w:r>
      <w:r>
        <w:rPr>
          <w:bCs/>
          <w:b/>
        </w:rPr>
        <w:t xml:space="preserve">’s legal disclaimer text matches, word-for-word, across two completely independent sources.</w:t>
      </w:r>
      <w:r>
        <w:t xml:space="preserve"> </w:t>
      </w:r>
      <w:r>
        <w:t xml:space="preserve">The exact same Costco Wholesale Standard Terms language appeared in a flat-file</w:t>
      </w:r>
      <w:r>
        <w:t xml:space="preserve"> </w:t>
      </w:r>
      <w:r>
        <w:rPr>
          <w:rStyle w:val="VerbatimChar"/>
        </w:rPr>
        <w:t xml:space="preserve">HCM</w:t>
      </w:r>
      <w:r>
        <w:t xml:space="preserve"> </w:t>
      </w:r>
      <w:r>
        <w:t xml:space="preserve">example found earlier in this project</w:t>
      </w:r>
      <w:r>
        <w:t xml:space="preserve"> </w:t>
      </w:r>
      <w:r>
        <w:rPr>
          <w:iCs/>
          <w:i/>
        </w:rPr>
        <w:t xml:space="preserve">and</w:t>
      </w:r>
      <w:r>
        <w:t xml:space="preserve"> </w:t>
      </w:r>
      <w:r>
        <w:t xml:space="preserve">in this raw EDI’s</w:t>
      </w:r>
      <w:r>
        <w:t xml:space="preserve"> </w:t>
      </w:r>
      <w:r>
        <w:rPr>
          <w:rStyle w:val="VerbatimChar"/>
        </w:rPr>
        <w:t xml:space="preserve">N9*H5*LEGAL DISCLAIMER</w:t>
      </w:r>
      <w:r>
        <w:t xml:space="preserve"> </w:t>
      </w:r>
      <w:r>
        <w:t xml:space="preserve">+</w:t>
      </w:r>
      <w:r>
        <w:t xml:space="preserve"> </w:t>
      </w:r>
      <w:r>
        <w:rPr>
          <w:rStyle w:val="VerbatimChar"/>
        </w:rPr>
        <w:t xml:space="preserve">MSG</w:t>
      </w:r>
      <w:r>
        <w:t xml:space="preserve"> </w:t>
      </w:r>
      <w:r>
        <w:t xml:space="preserve">segments. This confirms</w:t>
      </w:r>
      <w:r>
        <w:t xml:space="preserve"> </w:t>
      </w:r>
      <w:r>
        <w:rPr>
          <w:rStyle w:val="VerbatimChar"/>
        </w:rPr>
        <w:t xml:space="preserve">HCM</w:t>
      </w:r>
      <w:r>
        <w:t xml:space="preserve"> </w:t>
      </w:r>
      <w:r>
        <w:t xml:space="preserve">genuinely represents the</w:t>
      </w:r>
      <w:r>
        <w:t xml:space="preserve"> </w:t>
      </w:r>
      <w:r>
        <w:rPr>
          <w:rStyle w:val="VerbatimChar"/>
        </w:rPr>
        <w:t xml:space="preserve">N9</w:t>
      </w:r>
      <w:r>
        <w:t xml:space="preserve">+</w:t>
      </w:r>
      <w:r>
        <w:rPr>
          <w:rStyle w:val="VerbatimChar"/>
        </w:rPr>
        <w:t xml:space="preserve">MSG</w:t>
      </w:r>
      <w:r>
        <w:t xml:space="preserve"> </w:t>
      </w:r>
      <w:r>
        <w:t xml:space="preserve">combination, not a guess.</w:t>
      </w:r>
    </w:p>
    <w:bookmarkEnd w:id="35"/>
    <w:bookmarkStart w:id="36" w:name="Xc17ca5a15bcd970c8133cb7d574d7685d820012"/>
    <w:p>
      <w:pPr>
        <w:pStyle w:val="Heading3"/>
      </w:pPr>
      <w:r>
        <w:t xml:space="preserve">New segments and structural details found only in this family</w:t>
      </w:r>
    </w:p>
    <w:p>
      <w:pPr>
        <w:numPr>
          <w:ilvl w:val="0"/>
          <w:numId w:val="1004"/>
        </w:numPr>
        <w:pStyle w:val="Compact"/>
      </w:pPr>
      <w:r>
        <w:rPr>
          <w:rStyle w:val="VerbatimChar"/>
          <w:bCs/>
          <w:b/>
        </w:rPr>
        <w:t xml:space="preserve">PER</w:t>
      </w:r>
      <w:r>
        <w:rPr>
          <w:bCs/>
          <w:b/>
        </w:rPr>
        <w:t xml:space="preserve"> </w:t>
      </w:r>
      <w:r>
        <w:rPr>
          <w:bCs/>
          <w:b/>
        </w:rPr>
        <w:t xml:space="preserve">(Administrative Contact)</w:t>
      </w:r>
      <w:r>
        <w:t xml:space="preserve"> </w:t>
      </w:r>
      <w:r>
        <w:t xml:space="preserve">— carries a literal phone number (</w:t>
      </w:r>
      <w:r>
        <w:rPr>
          <w:rStyle w:val="VerbatimChar"/>
        </w:rPr>
        <w:t xml:space="preserve">PER*RE**TE*5416307001</w:t>
      </w:r>
      <w:r>
        <w:t xml:space="preserve">)</w:t>
      </w:r>
    </w:p>
    <w:p>
      <w:pPr>
        <w:numPr>
          <w:ilvl w:val="0"/>
          <w:numId w:val="1004"/>
        </w:numPr>
        <w:pStyle w:val="Compact"/>
      </w:pPr>
      <w:r>
        <w:rPr>
          <w:rStyle w:val="VerbatimChar"/>
          <w:bCs/>
          <w:b/>
        </w:rPr>
        <w:t xml:space="preserve">TD5</w:t>
      </w:r>
      <w:r>
        <w:rPr>
          <w:bCs/>
          <w:b/>
        </w:rPr>
        <w:t xml:space="preserve"> </w:t>
      </w:r>
      <w:r>
        <w:rPr>
          <w:bCs/>
          <w:b/>
        </w:rPr>
        <w:t xml:space="preserve">(Routing)</w:t>
      </w:r>
      <w:r>
        <w:t xml:space="preserve"> </w:t>
      </w:r>
      <w:r>
        <w:t xml:space="preserve">—</w:t>
      </w:r>
      <w:r>
        <w:t xml:space="preserve"> </w:t>
      </w:r>
      <w:r>
        <w:rPr>
          <w:rStyle w:val="VerbatimChar"/>
        </w:rPr>
        <w:t xml:space="preserve">TD5*****VENDORS CHOICE</w:t>
      </w:r>
      <w:r>
        <w:t xml:space="preserve"> </w:t>
      </w:r>
      <w:r>
        <w:t xml:space="preserve">confirms Costco leaves carrier/routing choice to us for this order, a real business-process detail</w:t>
      </w:r>
    </w:p>
    <w:p>
      <w:pPr>
        <w:numPr>
          <w:ilvl w:val="0"/>
          <w:numId w:val="1004"/>
        </w:numPr>
        <w:pStyle w:val="Compact"/>
      </w:pPr>
      <w:r>
        <w:rPr>
          <w:rStyle w:val="VerbatimChar"/>
          <w:bCs/>
          <w:b/>
        </w:rPr>
        <w:t xml:space="preserve">REF</w:t>
      </w:r>
      <w:r>
        <w:rPr>
          <w:bCs/>
          <w:b/>
        </w:rPr>
        <w:t xml:space="preserve"> </w:t>
      </w:r>
      <w:r>
        <w:rPr>
          <w:bCs/>
          <w:b/>
        </w:rPr>
        <w:t xml:space="preserve">segments carry their own embedded human-readable labels directly in the EDI</w:t>
      </w:r>
      <w:r>
        <w:t xml:space="preserve"> </w:t>
      </w:r>
      <w:r>
        <w:t xml:space="preserve">— e.g. </w:t>
      </w:r>
      <w:r>
        <w:rPr>
          <w:rStyle w:val="VerbatimChar"/>
        </w:rPr>
        <w:t xml:space="preserve">REF*DP*17*COSTCO DEPARTMENT</w:t>
      </w:r>
      <w:r>
        <w:t xml:space="preserve">,</w:t>
      </w:r>
      <w:r>
        <w:t xml:space="preserve"> </w:t>
      </w:r>
      <w:r>
        <w:rPr>
          <w:rStyle w:val="VerbatimChar"/>
        </w:rPr>
        <w:t xml:space="preserve">REF*ZZ*91255*BUYER VENDOR NUMBER</w:t>
      </w:r>
      <w:r>
        <w:t xml:space="preserve">,</w:t>
      </w:r>
      <w:r>
        <w:t xml:space="preserve"> </w:t>
      </w:r>
      <w:r>
        <w:rPr>
          <w:rStyle w:val="VerbatimChar"/>
        </w:rPr>
        <w:t xml:space="preserve">REF*YD*NW101*CREATED BY</w:t>
      </w:r>
      <w:r>
        <w:t xml:space="preserve">. Unlike other partners, this doesn’t require guessing what a bare qualifier code means — the label is embedded in the data itself.</w:t>
      </w:r>
    </w:p>
    <w:p>
      <w:pPr>
        <w:numPr>
          <w:ilvl w:val="0"/>
          <w:numId w:val="1004"/>
        </w:numPr>
        <w:pStyle w:val="Compact"/>
      </w:pPr>
      <w:r>
        <w:rPr>
          <w:bCs/>
          <w:b/>
        </w:rPr>
        <w:t xml:space="preserve">A fifth, minimalist item-identifier scheme</w:t>
      </w:r>
      <w:r>
        <w:t xml:space="preserve">: only</w:t>
      </w:r>
      <w:r>
        <w:t xml:space="preserve"> </w:t>
      </w:r>
      <w:r>
        <w:rPr>
          <w:rStyle w:val="VerbatimChar"/>
        </w:rPr>
        <w:t xml:space="preserve">IN</w:t>
      </w:r>
      <w:r>
        <w:t xml:space="preserve"> </w:t>
      </w:r>
      <w:r>
        <w:t xml:space="preserve">qualifier used (</w:t>
      </w:r>
      <w:r>
        <w:rPr>
          <w:rStyle w:val="VerbatimChar"/>
        </w:rPr>
        <w:t xml:space="preserve">PO1*1*420*EA*5.35**IN*1084795</w:t>
      </w:r>
      <w:r>
        <w:t xml:space="preserve">) — no</w:t>
      </w:r>
      <w:r>
        <w:t xml:space="preserve"> </w:t>
      </w:r>
      <w:r>
        <w:rPr>
          <w:rStyle w:val="VerbatimChar"/>
        </w:rPr>
        <w:t xml:space="preserve">UP</w:t>
      </w:r>
      <w:r>
        <w:t xml:space="preserve">/</w:t>
      </w:r>
      <w:r>
        <w:rPr>
          <w:rStyle w:val="VerbatimChar"/>
        </w:rPr>
        <w:t xml:space="preserve">UK</w:t>
      </w:r>
      <w:r>
        <w:t xml:space="preserve">/</w:t>
      </w:r>
      <w:r>
        <w:rPr>
          <w:rStyle w:val="VerbatimChar"/>
        </w:rPr>
        <w:t xml:space="preserve">VN</w:t>
      </w:r>
      <w:r>
        <w:t xml:space="preserve">/</w:t>
      </w:r>
      <w:r>
        <w:rPr>
          <w:rStyle w:val="VerbatimChar"/>
        </w:rPr>
        <w:t xml:space="preserve">OT</w:t>
      </w:r>
      <w:r>
        <w:t xml:space="preserve"> </w:t>
      </w:r>
      <w:r>
        <w:t xml:space="preserve">combinations seen elsewhere. Reinforces that every partner (now 5 distinct schemes observed) genuinely does this differently.</w:t>
      </w:r>
    </w:p>
    <w:p>
      <w:pPr>
        <w:numPr>
          <w:ilvl w:val="0"/>
          <w:numId w:val="1004"/>
        </w:numPr>
        <w:pStyle w:val="Compact"/>
      </w:pPr>
      <w:r>
        <w:rPr>
          <w:rStyle w:val="VerbatimChar"/>
          <w:bCs/>
          <w:b/>
        </w:rPr>
        <w:t xml:space="preserve">N1*ST</w:t>
      </w:r>
      <w:r>
        <w:rPr>
          <w:bCs/>
          <w:b/>
        </w:rPr>
        <w:t xml:space="preserve"> </w:t>
      </w:r>
      <w:r>
        <w:rPr>
          <w:bCs/>
          <w:b/>
        </w:rPr>
        <w:t xml:space="preserve">ID prefix (</w:t>
      </w:r>
      <w:r>
        <w:rPr>
          <w:rStyle w:val="VerbatimChar"/>
          <w:bCs/>
          <w:b/>
        </w:rPr>
        <w:t xml:space="preserve">10339184...</w:t>
      </w:r>
      <w:r>
        <w:rPr>
          <w:bCs/>
          <w:b/>
        </w:rPr>
        <w:t xml:space="preserve">) matches the same GLN numbering series found in this project’s earlier 856 work for Costco</w:t>
      </w:r>
      <w:r>
        <w:t xml:space="preserve"> </w:t>
      </w:r>
      <w:r>
        <w:t xml:space="preserve">— a genuine cross-</w:t>
      </w:r>
      <w:r>
        <w:rPr>
          <w:iCs/>
          <w:i/>
        </w:rPr>
        <w:t xml:space="preserve">transaction-type</w:t>
      </w:r>
      <w:r>
        <w:t xml:space="preserve"> </w:t>
      </w:r>
      <w:r>
        <w:t xml:space="preserve">validation (not just cross-example within 850), suggesting this GLN series is consistent for this trading relationship regardless of which transaction type references it.</w:t>
      </w:r>
    </w:p>
    <w:bookmarkEnd w:id="36"/>
    <w:bookmarkStart w:id="37" w:name="X44e6bba6ab8f68f0ee3894ca38912c8fb06c0ff"/>
    <w:p>
      <w:pPr>
        <w:pStyle w:val="Heading3"/>
      </w:pPr>
      <w:r>
        <w:t xml:space="preserve">🎯 The exact same order found in both raw EDI and flat-file form — complete, simultaneous cross-validation</w:t>
      </w:r>
    </w:p>
    <w:p>
      <w:pPr>
        <w:pStyle w:val="FirstParagraph"/>
      </w:pPr>
      <w:r>
        <w:t xml:space="preserve">A flat file (</w:t>
      </w:r>
      <w:r>
        <w:rPr>
          <w:rStyle w:val="VerbatimChar"/>
        </w:rPr>
        <w:t xml:space="preserve">NCS.20261005103114.850.txt</w:t>
      </w:r>
      <w:r>
        <w:t xml:space="preserve">) was found containing the</w:t>
      </w:r>
      <w:r>
        <w:t xml:space="preserve"> </w:t>
      </w:r>
      <w:r>
        <w:rPr>
          <w:bCs/>
          <w:b/>
        </w:rPr>
        <w:t xml:space="preserve">literal same order</w:t>
      </w:r>
      <w:r>
        <w:t xml:space="preserve"> </w:t>
      </w:r>
      <w:r>
        <w:t xml:space="preserve">as the Costco/SPS raw EDI above (PO</w:t>
      </w:r>
      <w:r>
        <w:t xml:space="preserve"> </w:t>
      </w:r>
      <w:r>
        <w:rPr>
          <w:rStyle w:val="VerbatimChar"/>
        </w:rPr>
        <w:t xml:space="preserve">012871005279</w:t>
      </w:r>
      <w:r>
        <w:t xml:space="preserve">). Every single cross-checkable field matches exactly: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Raw EDI</w:t>
            </w:r>
          </w:p>
        </w:tc>
        <w:tc>
          <w:tcPr/>
          <w:p>
            <w:pPr>
              <w:pStyle w:val="Compact"/>
              <w:jc w:val="left"/>
            </w:pPr>
            <w:r>
              <w:t xml:space="preserve">Flat file</w:t>
            </w:r>
          </w:p>
        </w:tc>
        <w:tc>
          <w:tcPr/>
          <w:p>
            <w:pPr>
              <w:pStyle w:val="Compact"/>
              <w:jc w:val="left"/>
            </w:pPr>
            <w:r>
              <w:t xml:space="preserve">Match</w:t>
            </w:r>
          </w:p>
        </w:tc>
      </w:tr>
      <w:tr>
        <w:tc>
          <w:tcPr/>
          <w:p>
            <w:pPr>
              <w:pStyle w:val="Compact"/>
              <w:jc w:val="left"/>
            </w:pPr>
            <w:r>
              <w:t xml:space="preserve">Sender ID</w:t>
            </w:r>
          </w:p>
        </w:tc>
        <w:tc>
          <w:tcPr/>
          <w:p>
            <w:pPr>
              <w:pStyle w:val="Compact"/>
              <w:jc w:val="left"/>
            </w:pPr>
            <w:r>
              <w:rPr>
                <w:rStyle w:val="VerbatimChar"/>
              </w:rPr>
              <w:t xml:space="preserve">COSTCOEDIUSA</w:t>
            </w:r>
            <w:r>
              <w:t xml:space="preserve"> </w:t>
            </w:r>
            <w:r>
              <w:t xml:space="preserve">(ISA)</w:t>
            </w:r>
          </w:p>
        </w:tc>
        <w:tc>
          <w:tcPr/>
          <w:p>
            <w:pPr>
              <w:pStyle w:val="Compact"/>
              <w:jc w:val="left"/>
            </w:pPr>
            <w:r>
              <w:rPr>
                <w:rStyle w:val="VerbatimChar"/>
              </w:rPr>
              <w:t xml:space="preserve">COSTCOEDIUSA</w:t>
            </w:r>
            <w:r>
              <w:t xml:space="preserve"> </w:t>
            </w:r>
            <w:r>
              <w:t xml:space="preserve">(HDR Field 5)</w:t>
            </w:r>
          </w:p>
        </w:tc>
        <w:tc>
          <w:tcPr/>
          <w:p>
            <w:pPr>
              <w:pStyle w:val="Compact"/>
              <w:jc w:val="left"/>
            </w:pPr>
            <w:r>
              <w:t xml:space="preserve">✅</w:t>
            </w:r>
          </w:p>
        </w:tc>
      </w:tr>
      <w:tr>
        <w:tc>
          <w:tcPr/>
          <w:p>
            <w:pPr>
              <w:pStyle w:val="Compact"/>
              <w:jc w:val="left"/>
            </w:pPr>
            <w:r>
              <w:t xml:space="preserve">PO Number</w:t>
            </w:r>
          </w:p>
        </w:tc>
        <w:tc>
          <w:tcPr/>
          <w:p>
            <w:pPr>
              <w:pStyle w:val="Compact"/>
              <w:jc w:val="left"/>
            </w:pPr>
            <w:r>
              <w:rPr>
                <w:rStyle w:val="VerbatimChar"/>
              </w:rPr>
              <w:t xml:space="preserve">012871005279</w:t>
            </w:r>
            <w:r>
              <w:t xml:space="preserve"> </w:t>
            </w:r>
            <w:r>
              <w:t xml:space="preserve">(BEG03)</w:t>
            </w:r>
          </w:p>
        </w:tc>
        <w:tc>
          <w:tcPr/>
          <w:p>
            <w:pPr>
              <w:pStyle w:val="Compact"/>
              <w:jc w:val="left"/>
            </w:pPr>
            <w:r>
              <w:rPr>
                <w:rStyle w:val="VerbatimChar"/>
              </w:rPr>
              <w:t xml:space="preserve">012871005279</w:t>
            </w:r>
            <w:r>
              <w:t xml:space="preserve"> </w:t>
            </w:r>
            <w:r>
              <w:t xml:space="preserve">(HDR Field 4)</w:t>
            </w:r>
          </w:p>
        </w:tc>
        <w:tc>
          <w:tcPr/>
          <w:p>
            <w:pPr>
              <w:pStyle w:val="Compact"/>
              <w:jc w:val="left"/>
            </w:pPr>
            <w:r>
              <w:t xml:space="preserve">✅</w:t>
            </w:r>
          </w:p>
        </w:tc>
      </w:tr>
      <w:tr>
        <w:tc>
          <w:tcPr/>
          <w:p>
            <w:pPr>
              <w:pStyle w:val="Compact"/>
              <w:jc w:val="left"/>
            </w:pPr>
            <w:r>
              <w:t xml:space="preserve">Ship-To ID</w:t>
            </w:r>
          </w:p>
        </w:tc>
        <w:tc>
          <w:tcPr/>
          <w:p>
            <w:pPr>
              <w:pStyle w:val="Compact"/>
              <w:jc w:val="left"/>
            </w:pPr>
            <w:r>
              <w:rPr>
                <w:rStyle w:val="VerbatimChar"/>
              </w:rPr>
              <w:t xml:space="preserve">1033918431287</w:t>
            </w:r>
          </w:p>
        </w:tc>
        <w:tc>
          <w:tcPr/>
          <w:p>
            <w:pPr>
              <w:pStyle w:val="Compact"/>
              <w:jc w:val="left"/>
            </w:pPr>
            <w:r>
              <w:rPr>
                <w:rStyle w:val="VerbatimChar"/>
              </w:rPr>
              <w:t xml:space="preserve">1033918431287</w:t>
            </w:r>
            <w:r>
              <w:t xml:space="preserve"> </w:t>
            </w:r>
            <w:r>
              <w:t xml:space="preserve">(HST Field 3)</w:t>
            </w:r>
          </w:p>
        </w:tc>
        <w:tc>
          <w:tcPr/>
          <w:p>
            <w:pPr>
              <w:pStyle w:val="Compact"/>
              <w:jc w:val="left"/>
            </w:pPr>
            <w:r>
              <w:t xml:space="preserve">✅</w:t>
            </w:r>
          </w:p>
        </w:tc>
      </w:tr>
      <w:tr>
        <w:tc>
          <w:tcPr/>
          <w:p>
            <w:pPr>
              <w:pStyle w:val="Compact"/>
              <w:jc w:val="left"/>
            </w:pPr>
            <w:r>
              <w:t xml:space="preserve">Ship-To Name</w:t>
            </w:r>
          </w:p>
        </w:tc>
        <w:tc>
          <w:tcPr/>
          <w:p>
            <w:pPr>
              <w:pStyle w:val="Compact"/>
              <w:jc w:val="left"/>
            </w:pPr>
            <w:r>
              <w:rPr>
                <w:rStyle w:val="VerbatimChar"/>
              </w:rPr>
              <w:t xml:space="preserve">COSTCO CENTRAL POINT</w:t>
            </w:r>
          </w:p>
        </w:tc>
        <w:tc>
          <w:tcPr/>
          <w:p>
            <w:pPr>
              <w:pStyle w:val="Compact"/>
              <w:jc w:val="left"/>
            </w:pPr>
            <w:r>
              <w:rPr>
                <w:rStyle w:val="VerbatimChar"/>
              </w:rPr>
              <w:t xml:space="preserve">COSTCO CENTRAL POINT</w:t>
            </w:r>
            <w:r>
              <w:t xml:space="preserve"> </w:t>
            </w:r>
            <w:r>
              <w:t xml:space="preserve">(HST Field 4)</w:t>
            </w:r>
          </w:p>
        </w:tc>
        <w:tc>
          <w:tcPr/>
          <w:p>
            <w:pPr>
              <w:pStyle w:val="Compact"/>
              <w:jc w:val="left"/>
            </w:pPr>
            <w:r>
              <w:t xml:space="preserve">✅</w:t>
            </w:r>
          </w:p>
        </w:tc>
      </w:tr>
      <w:tr>
        <w:tc>
          <w:tcPr/>
          <w:p>
            <w:pPr>
              <w:pStyle w:val="Compact"/>
              <w:jc w:val="left"/>
            </w:pPr>
            <w:r>
              <w:t xml:space="preserve">Ship-To Address</w:t>
            </w:r>
          </w:p>
        </w:tc>
        <w:tc>
          <w:tcPr/>
          <w:p>
            <w:pPr>
              <w:pStyle w:val="Compact"/>
              <w:jc w:val="left"/>
            </w:pPr>
            <w:r>
              <w:rPr>
                <w:rStyle w:val="VerbatimChar"/>
              </w:rPr>
              <w:t xml:space="preserve">3075 HAMRICK ROAD</w:t>
            </w:r>
            <w:r>
              <w:t xml:space="preserve"> </w:t>
            </w:r>
            <w:r>
              <w:t xml:space="preserve">/</w:t>
            </w:r>
            <w:r>
              <w:t xml:space="preserve"> </w:t>
            </w:r>
            <w:r>
              <w:rPr>
                <w:rStyle w:val="VerbatimChar"/>
              </w:rPr>
              <w:t xml:space="preserve">CENTRAL POINT</w:t>
            </w:r>
            <w:r>
              <w:t xml:space="preserve"> </w:t>
            </w:r>
            <w:r>
              <w:t xml:space="preserve">/</w:t>
            </w:r>
            <w:r>
              <w:t xml:space="preserve"> </w:t>
            </w:r>
            <w:r>
              <w:rPr>
                <w:rStyle w:val="VerbatimChar"/>
              </w:rPr>
              <w:t xml:space="preserve">OR</w:t>
            </w:r>
            <w:r>
              <w:t xml:space="preserve"> </w:t>
            </w:r>
            <w:r>
              <w:t xml:space="preserve">/</w:t>
            </w:r>
            <w:r>
              <w:t xml:space="preserve"> </w:t>
            </w:r>
            <w:r>
              <w:rPr>
                <w:rStyle w:val="VerbatimChar"/>
              </w:rPr>
              <w:t xml:space="preserve">97502</w:t>
            </w:r>
          </w:p>
        </w:tc>
        <w:tc>
          <w:tcPr/>
          <w:p>
            <w:pPr>
              <w:pStyle w:val="Compact"/>
              <w:jc w:val="left"/>
            </w:pPr>
            <w:r>
              <w:t xml:space="preserve">Same, exactly (HST Fields 5/7/8/9)</w:t>
            </w:r>
          </w:p>
        </w:tc>
        <w:tc>
          <w:tcPr/>
          <w:p>
            <w:pPr>
              <w:pStyle w:val="Compact"/>
              <w:jc w:val="left"/>
            </w:pPr>
            <w:r>
              <w:t xml:space="preserve">✅</w:t>
            </w:r>
          </w:p>
        </w:tc>
      </w:tr>
      <w:tr>
        <w:tc>
          <w:tcPr/>
          <w:p>
            <w:pPr>
              <w:pStyle w:val="Compact"/>
              <w:jc w:val="left"/>
            </w:pPr>
            <w:r>
              <w:t xml:space="preserve">Special instruction text</w:t>
            </w:r>
          </w:p>
        </w:tc>
        <w:tc>
          <w:tcPr/>
          <w:p>
            <w:pPr>
              <w:pStyle w:val="Compact"/>
              <w:jc w:val="left"/>
            </w:pPr>
            <w:r>
              <w:rPr>
                <w:rStyle w:val="VerbatimChar"/>
              </w:rPr>
              <w:t xml:space="preserve">1MPK= LAYER DELV WEDNESDAY</w:t>
            </w:r>
            <w:r>
              <w:t xml:space="preserve"> </w:t>
            </w:r>
            <w:r>
              <w:t xml:space="preserve">(MSG)</w:t>
            </w:r>
          </w:p>
        </w:tc>
        <w:tc>
          <w:tcPr/>
          <w:p>
            <w:pPr>
              <w:pStyle w:val="Compact"/>
              <w:jc w:val="left"/>
            </w:pPr>
            <w:r>
              <w:t xml:space="preserve">Same, exactly (HCM)</w:t>
            </w:r>
          </w:p>
        </w:tc>
        <w:tc>
          <w:tcPr/>
          <w:p>
            <w:pPr>
              <w:pStyle w:val="Compact"/>
              <w:jc w:val="left"/>
            </w:pPr>
            <w:r>
              <w:t xml:space="preserve">✅</w:t>
            </w:r>
          </w:p>
        </w:tc>
      </w:tr>
      <w:tr>
        <w:tc>
          <w:tcPr/>
          <w:p>
            <w:pPr>
              <w:pStyle w:val="Compact"/>
              <w:jc w:val="left"/>
            </w:pPr>
            <w:r>
              <w:t xml:space="preserve">Legal disclaimer text</w:t>
            </w:r>
          </w:p>
        </w:tc>
        <w:tc>
          <w:tcPr/>
          <w:p>
            <w:pPr>
              <w:pStyle w:val="Compact"/>
              <w:jc w:val="left"/>
            </w:pPr>
            <w:r>
              <w:t xml:space="preserve">Full Costco Standard Terms text (MSG)</w:t>
            </w:r>
          </w:p>
        </w:tc>
        <w:tc>
          <w:tcPr/>
          <w:p>
            <w:pPr>
              <w:pStyle w:val="Compact"/>
              <w:jc w:val="left"/>
            </w:pPr>
            <w:r>
              <w:t xml:space="preserve">Same, exactly (HCM)</w:t>
            </w:r>
          </w:p>
        </w:tc>
        <w:tc>
          <w:tcPr/>
          <w:p>
            <w:pPr>
              <w:pStyle w:val="Compact"/>
              <w:jc w:val="left"/>
            </w:pPr>
            <w:r>
              <w:t xml:space="preserve">✅</w:t>
            </w:r>
          </w:p>
        </w:tc>
      </w:tr>
      <w:tr>
        <w:tc>
          <w:tcPr/>
          <w:p>
            <w:pPr>
              <w:pStyle w:val="Compact"/>
              <w:jc w:val="left"/>
            </w:pPr>
            <w:r>
              <w:t xml:space="preserve">Item 1 (number/qty/price)</w:t>
            </w:r>
          </w:p>
        </w:tc>
        <w:tc>
          <w:tcPr/>
          <w:p>
            <w:pPr>
              <w:pStyle w:val="Compact"/>
              <w:jc w:val="left"/>
            </w:pPr>
            <w:r>
              <w:rPr>
                <w:rStyle w:val="VerbatimChar"/>
              </w:rPr>
              <w:t xml:space="preserve">1084795</w:t>
            </w:r>
            <w:r>
              <w:t xml:space="preserve"> </w:t>
            </w:r>
            <w:r>
              <w:t xml:space="preserve">/</w:t>
            </w:r>
            <w:r>
              <w:t xml:space="preserve"> </w:t>
            </w:r>
            <w:r>
              <w:rPr>
                <w:rStyle w:val="VerbatimChar"/>
              </w:rPr>
              <w:t xml:space="preserve">420</w:t>
            </w:r>
            <w:r>
              <w:t xml:space="preserve"> </w:t>
            </w:r>
            <w:r>
              <w:t xml:space="preserve">/</w:t>
            </w:r>
            <w:r>
              <w:t xml:space="preserve"> </w:t>
            </w:r>
            <w:r>
              <w:rPr>
                <w:rStyle w:val="VerbatimChar"/>
              </w:rPr>
              <w:t xml:space="preserve">5.35</w:t>
            </w:r>
          </w:p>
        </w:tc>
        <w:tc>
          <w:tcPr/>
          <w:p>
            <w:pPr>
              <w:pStyle w:val="Compact"/>
              <w:jc w:val="left"/>
            </w:pPr>
            <w:r>
              <w:t xml:space="preserve">Same, exactly (LDT Field 3 / Field 12 /</w:t>
            </w:r>
            <w:r>
              <w:t xml:space="preserve"> </w:t>
            </w:r>
            <w:r>
              <w:rPr>
                <w:bCs/>
                <w:b/>
              </w:rPr>
              <w:t xml:space="preserve">Field 19</w:t>
            </w:r>
            <w:r>
              <w:t xml:space="preserve">)</w:t>
            </w:r>
          </w:p>
        </w:tc>
        <w:tc>
          <w:tcPr/>
          <w:p>
            <w:pPr>
              <w:pStyle w:val="Compact"/>
              <w:jc w:val="left"/>
            </w:pPr>
            <w:r>
              <w:t xml:space="preserve">✅</w:t>
            </w:r>
          </w:p>
        </w:tc>
      </w:tr>
      <w:tr>
        <w:tc>
          <w:tcPr/>
          <w:p>
            <w:pPr>
              <w:pStyle w:val="Compact"/>
              <w:jc w:val="left"/>
            </w:pPr>
            <w:r>
              <w:t xml:space="preserve">Item 2 (number/qty/price)</w:t>
            </w:r>
          </w:p>
        </w:tc>
        <w:tc>
          <w:tcPr/>
          <w:p>
            <w:pPr>
              <w:pStyle w:val="Compact"/>
              <w:jc w:val="left"/>
            </w:pPr>
            <w:r>
              <w:rPr>
                <w:rStyle w:val="VerbatimChar"/>
              </w:rPr>
              <w:t xml:space="preserve">1497927</w:t>
            </w:r>
            <w:r>
              <w:t xml:space="preserve"> </w:t>
            </w:r>
            <w:r>
              <w:t xml:space="preserve">/</w:t>
            </w:r>
            <w:r>
              <w:t xml:space="preserve"> </w:t>
            </w:r>
            <w:r>
              <w:rPr>
                <w:rStyle w:val="VerbatimChar"/>
              </w:rPr>
              <w:t xml:space="preserve">1470</w:t>
            </w:r>
            <w:r>
              <w:t xml:space="preserve"> </w:t>
            </w:r>
            <w:r>
              <w:t xml:space="preserve">/</w:t>
            </w:r>
            <w:r>
              <w:t xml:space="preserve"> </w:t>
            </w:r>
            <w:r>
              <w:rPr>
                <w:rStyle w:val="VerbatimChar"/>
              </w:rPr>
              <w:t xml:space="preserve">7.62</w:t>
            </w:r>
          </w:p>
        </w:tc>
        <w:tc>
          <w:tcPr/>
          <w:p>
            <w:pPr>
              <w:pStyle w:val="Compact"/>
              <w:jc w:val="left"/>
            </w:pPr>
            <w:r>
              <w:t xml:space="preserve">Same, exactly</w:t>
            </w:r>
          </w:p>
        </w:tc>
        <w:tc>
          <w:tcPr/>
          <w:p>
            <w:pPr>
              <w:pStyle w:val="Compact"/>
              <w:jc w:val="left"/>
            </w:pPr>
            <w:r>
              <w:t xml:space="preserve">✅</w:t>
            </w:r>
          </w:p>
        </w:tc>
      </w:tr>
    </w:tbl>
    <w:p>
      <w:pPr>
        <w:pStyle w:val="BodyText"/>
      </w:pPr>
      <w:r>
        <w:rPr>
          <w:bCs/>
          <w:b/>
        </w:rPr>
        <w:t xml:space="preserve">This confirms a brand-new field:</w:t>
      </w:r>
      <w:r>
        <w:rPr>
          <w:bCs/>
          <w:b/>
        </w:rPr>
        <w:t xml:space="preserve"> </w:t>
      </w:r>
      <w:r>
        <w:rPr>
          <w:rStyle w:val="VerbatimChar"/>
          <w:bCs/>
          <w:b/>
        </w:rPr>
        <w:t xml:space="preserve">LDT</w:t>
      </w:r>
      <w:r>
        <w:rPr>
          <w:bCs/>
          <w:b/>
        </w:rPr>
        <w:t xml:space="preserve"> </w:t>
      </w:r>
      <w:r>
        <w:rPr>
          <w:bCs/>
          <w:b/>
        </w:rPr>
        <w:t xml:space="preserve">Field 19 (idx18) = Unit Price.</w:t>
      </w:r>
      <w:r>
        <w:t xml:space="preserve"> </w:t>
      </w:r>
      <w:r>
        <w:t xml:space="preserve">Not documented anywhere before this match — the raw EDI’s</w:t>
      </w:r>
      <w:r>
        <w:t xml:space="preserve"> </w:t>
      </w:r>
      <w:r>
        <w:rPr>
          <w:rStyle w:val="VerbatimChar"/>
        </w:rPr>
        <w:t xml:space="preserve">PO1</w:t>
      </w:r>
      <w:r>
        <w:t xml:space="preserve"> </w:t>
      </w:r>
      <w:r>
        <w:t xml:space="preserve">price element (</w:t>
      </w:r>
      <w:r>
        <w:rPr>
          <w:rStyle w:val="VerbatimChar"/>
        </w:rPr>
        <w:t xml:space="preserve">5.35</w:t>
      </w:r>
      <w:r>
        <w:t xml:space="preserve">) lands exactly at this position in the flat file.</w:t>
      </w:r>
      <w:r>
        <w:t xml:space="preserve"> </w:t>
      </w:r>
      <w:r>
        <w:rPr>
          <w:rStyle w:val="VerbatimChar"/>
        </w:rPr>
        <w:t xml:space="preserve">quantity</w:t>
      </w:r>
      <w:r>
        <w:t xml:space="preserve"> </w:t>
      </w:r>
      <w:r>
        <w:t xml:space="preserve">(Field 12) is also upgraded from a doc-only guess to fully confirmed — it previously had no independent verification at all.</w:t>
      </w:r>
    </w:p>
    <w:p>
      <w:pPr>
        <w:pStyle w:val="BodyText"/>
      </w:pPr>
      <w:r>
        <w:rPr>
          <w:bCs/>
          <w:b/>
        </w:rPr>
        <w:t xml:space="preserve">Also reconfirms</w:t>
      </w:r>
      <w:r>
        <w:rPr>
          <w:bCs/>
          <w:b/>
        </w:rPr>
        <w:t xml:space="preserve"> </w:t>
      </w:r>
      <w:r>
        <w:rPr>
          <w:rStyle w:val="VerbatimChar"/>
          <w:bCs/>
          <w:b/>
        </w:rPr>
        <w:t xml:space="preserve">TOT</w:t>
      </w:r>
      <w:r>
        <w:rPr>
          <w:bCs/>
          <w:b/>
        </w:rPr>
        <w:t xml:space="preserve"> </w:t>
      </w:r>
      <w:r>
        <w:rPr>
          <w:bCs/>
          <w:b/>
        </w:rPr>
        <w:t xml:space="preserve">is genuinely empty</w:t>
      </w:r>
      <w:r>
        <w:t xml:space="preserve">, not a parsing gap — this file’s</w:t>
      </w:r>
      <w:r>
        <w:t xml:space="preserve"> </w:t>
      </w:r>
      <w:r>
        <w:rPr>
          <w:rStyle w:val="VerbatimChar"/>
        </w:rPr>
        <w:t xml:space="preserve">TOT</w:t>
      </w:r>
      <w:r>
        <w:t xml:space="preserve"> </w:t>
      </w:r>
      <w:r>
        <w:t xml:space="preserve">lines show absolutely nothing (</w:t>
      </w:r>
      <w:r>
        <w:rPr>
          <w:rStyle w:val="VerbatimChar"/>
        </w:rPr>
        <w:t xml:space="preserve">TOT\r\n</w:t>
      </w:r>
      <w:r>
        <w:t xml:space="preserve">), consistent with every other real example checked across this entire project.</w:t>
      </w:r>
    </w:p>
    <w:p>
      <w:pPr>
        <w:pStyle w:val="BodyText"/>
      </w:pPr>
      <w:r>
        <w:t xml:space="preserve">This is the single strongest piece of evidence in the whole 850 investigation — not a partial field match, but an entire order confirmed identical across both representations simultaneously.</w:t>
      </w:r>
    </w:p>
    <w:bookmarkEnd w:id="37"/>
    <w:bookmarkStart w:id="38" w:name="X0c56bb2fb467616a8a5a6e9ad267d53c4862c73"/>
    <w:p>
      <w:pPr>
        <w:pStyle w:val="Heading3"/>
      </w:pPr>
      <w:r>
        <w:t xml:space="preserve">🎯 Major resolution:</w:t>
      </w:r>
      <w:r>
        <w:t xml:space="preserve"> </w:t>
      </w:r>
      <w:r>
        <w:rPr>
          <w:rStyle w:val="VerbatimChar"/>
        </w:rPr>
        <w:t xml:space="preserve">HAL</w:t>
      </w:r>
      <w:r>
        <w:t xml:space="preserve"> </w:t>
      </w:r>
      <w:r>
        <w:t xml:space="preserve">and</w:t>
      </w:r>
      <w:r>
        <w:t xml:space="preserve"> </w:t>
      </w:r>
      <w:r>
        <w:rPr>
          <w:rStyle w:val="VerbatimChar"/>
        </w:rPr>
        <w:t xml:space="preserve">LAL</w:t>
      </w:r>
      <w:r>
        <w:t xml:space="preserve"> </w:t>
      </w:r>
      <w:r>
        <w:t xml:space="preserve">— a full month of real data (632 files) resolves both</w:t>
      </w:r>
    </w:p>
    <w:p>
      <w:pPr>
        <w:pStyle w:val="FirstParagraph"/>
      </w:pPr>
      <w:r>
        <w:t xml:space="preserve">The original doc called</w:t>
      </w:r>
      <w:r>
        <w:t xml:space="preserve"> </w:t>
      </w:r>
      <w:r>
        <w:rPr>
          <w:rStyle w:val="VerbatimChar"/>
        </w:rPr>
        <w:t xml:space="preserve">HAL</w:t>
      </w:r>
      <w:r>
        <w:t xml:space="preserve"> </w:t>
      </w:r>
      <w:r>
        <w:t xml:space="preserve">entirely</w:t>
      </w:r>
      <w:r>
        <w:t xml:space="preserve"> </w:t>
      </w:r>
      <w:r>
        <w:t xml:space="preserve">“</w:t>
      </w:r>
      <w:r>
        <w:t xml:space="preserve">Unknown</w:t>
      </w:r>
      <w:r>
        <w:t xml:space="preserve">”</w:t>
      </w:r>
      <w:r>
        <w:t xml:space="preserve"> </w:t>
      </w:r>
      <w:r>
        <w:t xml:space="preserve">and only partially described</w:t>
      </w:r>
      <w:r>
        <w:t xml:space="preserve"> </w:t>
      </w:r>
      <w:r>
        <w:rPr>
          <w:rStyle w:val="VerbatimChar"/>
        </w:rPr>
        <w:t xml:space="preserve">LAL</w:t>
      </w:r>
      <w:r>
        <w:t xml:space="preserve">. A full month of real production files resolves both with strong confidence.</w:t>
      </w:r>
    </w:p>
    <w:p>
      <w:pPr>
        <w:pStyle w:val="BodyText"/>
      </w:pPr>
      <w:r>
        <w:rPr>
          <w:rStyle w:val="VerbatimChar"/>
          <w:bCs/>
          <w:b/>
        </w:rPr>
        <w:t xml:space="preserve">HAL</w:t>
      </w:r>
      <w:r>
        <w:rPr>
          <w:bCs/>
          <w:b/>
        </w:rPr>
        <w:t xml:space="preserve"> </w:t>
      </w:r>
      <w:r>
        <w:rPr>
          <w:bCs/>
          <w:b/>
        </w:rPr>
        <w:t xml:space="preserve">— populated 3,274 times, remarkably consistent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JSON concept</w:t>
            </w:r>
          </w:p>
        </w:tc>
        <w:tc>
          <w:tcPr/>
          <w:p>
            <w:pPr>
              <w:pStyle w:val="Compact"/>
              <w:jc w:val="left"/>
            </w:pPr>
            <w:r>
              <w:t xml:space="preserve">Status</w:t>
            </w:r>
          </w:p>
        </w:tc>
      </w:tr>
      <w:tr>
        <w:tc>
          <w:tcPr/>
          <w:p>
            <w:pPr>
              <w:pStyle w:val="Compact"/>
              <w:jc w:val="left"/>
            </w:pPr>
            <w:r>
              <w:t xml:space="preserve">Field 2 (idx1)</w:t>
            </w:r>
          </w:p>
        </w:tc>
        <w:tc>
          <w:tcPr/>
          <w:p>
            <w:pPr>
              <w:pStyle w:val="Compact"/>
              <w:jc w:val="left"/>
            </w:pPr>
            <w:r>
              <w:t xml:space="preserve">Allowance/Charge Code</w:t>
            </w:r>
          </w:p>
        </w:tc>
        <w:tc>
          <w:tcPr/>
          <w:p>
            <w:pPr>
              <w:pStyle w:val="Compact"/>
              <w:jc w:val="left"/>
            </w:pPr>
            <w:r>
              <w:t xml:space="preserve">✅</w:t>
            </w:r>
            <w:r>
              <w:t xml:space="preserve"> </w:t>
            </w:r>
            <w:r>
              <w:rPr>
                <w:rStyle w:val="VerbatimChar"/>
              </w:rPr>
              <w:t xml:space="preserve">I410</w:t>
            </w:r>
            <w:r>
              <w:t xml:space="preserve"> </w:t>
            </w:r>
            <w:r>
              <w:t xml:space="preserve">in 1,676 of 1,677 populated occurrences;</w:t>
            </w:r>
            <w:r>
              <w:t xml:space="preserve"> </w:t>
            </w:r>
            <w:r>
              <w:rPr>
                <w:rStyle w:val="VerbatimChar"/>
              </w:rPr>
              <w:t xml:space="preserve">E720</w:t>
            </w:r>
            <w:r>
              <w:t xml:space="preserve"> </w:t>
            </w:r>
            <w:r>
              <w:t xml:space="preserve">once</w:t>
            </w:r>
          </w:p>
        </w:tc>
      </w:tr>
      <w:tr>
        <w:tc>
          <w:tcPr/>
          <w:p>
            <w:pPr>
              <w:pStyle w:val="Compact"/>
              <w:jc w:val="left"/>
            </w:pPr>
            <w:r>
              <w:t xml:space="preserve">Field 3 (idx2)</w:t>
            </w:r>
          </w:p>
        </w:tc>
        <w:tc>
          <w:tcPr/>
          <w:p>
            <w:pPr>
              <w:pStyle w:val="Compact"/>
              <w:jc w:val="left"/>
            </w:pPr>
            <w:r>
              <w:t xml:space="preserve">Method of Handling</w:t>
            </w:r>
          </w:p>
        </w:tc>
        <w:tc>
          <w:tcPr/>
          <w:p>
            <w:pPr>
              <w:pStyle w:val="Compact"/>
              <w:jc w:val="left"/>
            </w:pPr>
            <w:r>
              <w:t xml:space="preserve">✅</w:t>
            </w:r>
            <w:r>
              <w:t xml:space="preserve"> </w:t>
            </w:r>
            <w:r>
              <w:rPr>
                <w:rStyle w:val="VerbatimChar"/>
              </w:rPr>
              <w:t xml:space="preserve">02</w:t>
            </w:r>
            <w:r>
              <w:t xml:space="preserve"> </w:t>
            </w:r>
            <w:r>
              <w:t xml:space="preserve">(off-invoice) in every populated occurrence — same code confirmed across 810, 855, 894, and this same 850’s raw EDI work</w:t>
            </w:r>
          </w:p>
        </w:tc>
      </w:tr>
      <w:tr>
        <w:tc>
          <w:tcPr/>
          <w:p>
            <w:pPr>
              <w:pStyle w:val="Compact"/>
              <w:jc w:val="left"/>
            </w:pPr>
            <w:r>
              <w:t xml:space="preserve">Field 8 (idx7)</w:t>
            </w:r>
          </w:p>
        </w:tc>
        <w:tc>
          <w:tcPr/>
          <w:p>
            <w:pPr>
              <w:pStyle w:val="Compact"/>
              <w:jc w:val="left"/>
            </w:pPr>
            <w:r>
              <w:t xml:space="preserve">Amount</w:t>
            </w:r>
          </w:p>
        </w:tc>
        <w:tc>
          <w:tcPr/>
          <w:p>
            <w:pPr>
              <w:pStyle w:val="Compact"/>
              <w:jc w:val="left"/>
            </w:pPr>
            <w:r>
              <w:t xml:space="preserve">✅ Real, varying dollar values (e.g. </w:t>
            </w:r>
            <w:r>
              <w:rPr>
                <w:rStyle w:val="VerbatimChar"/>
              </w:rPr>
              <w:t xml:space="preserve">36.34</w:t>
            </w:r>
            <w:r>
              <w:t xml:space="preserve">,</w:t>
            </w:r>
            <w:r>
              <w:t xml:space="preserve"> </w:t>
            </w:r>
            <w:r>
              <w:rPr>
                <w:rStyle w:val="VerbatimChar"/>
              </w:rPr>
              <w:t xml:space="preserve">54.60</w:t>
            </w:r>
            <w:r>
              <w:t xml:space="preserve">,</w:t>
            </w:r>
            <w:r>
              <w:t xml:space="preserve"> </w:t>
            </w:r>
            <w:r>
              <w:rPr>
                <w:rStyle w:val="VerbatimChar"/>
              </w:rPr>
              <w:t xml:space="preserve">17.18</w:t>
            </w:r>
            <w:r>
              <w:t xml:space="preserve">)</w:t>
            </w:r>
          </w:p>
        </w:tc>
      </w:tr>
      <w:tr>
        <w:tc>
          <w:tcPr/>
          <w:p>
            <w:pPr>
              <w:pStyle w:val="Compact"/>
              <w:jc w:val="left"/>
            </w:pPr>
            <w:r>
              <w:t xml:space="preserve">Field 9 (idx8)</w:t>
            </w:r>
          </w:p>
        </w:tc>
        <w:tc>
          <w:tcPr/>
          <w:p>
            <w:pPr>
              <w:pStyle w:val="Compact"/>
              <w:jc w:val="left"/>
            </w:pPr>
            <w:r>
              <w:t xml:space="preserve">Rate (unconfirmed name)</w:t>
            </w:r>
          </w:p>
        </w:tc>
        <w:tc>
          <w:tcPr/>
          <w:p>
            <w:pPr>
              <w:pStyle w:val="Compact"/>
              <w:jc w:val="left"/>
            </w:pPr>
            <w:r>
              <w:t xml:space="preserve">🟡 Consistently</w:t>
            </w:r>
            <w:r>
              <w:t xml:space="preserve"> </w:t>
            </w:r>
            <w:r>
              <w:rPr>
                <w:rStyle w:val="VerbatimChar"/>
              </w:rPr>
              <w:t xml:space="preserve">0.500</w:t>
            </w:r>
            <w:r>
              <w:t xml:space="preserve"> </w:t>
            </w:r>
            <w:r>
              <w:t xml:space="preserve">whenever Field 2 is</w:t>
            </w:r>
            <w:r>
              <w:t xml:space="preserve"> </w:t>
            </w:r>
            <w:r>
              <w:rPr>
                <w:rStyle w:val="VerbatimChar"/>
              </w:rPr>
              <w:t xml:space="preserve">I410</w:t>
            </w:r>
            <w:r>
              <w:t xml:space="preserve"> </w:t>
            </w:r>
            <w:r>
              <w:t xml:space="preserve">— looks like a fixed per-unit rate for this code, not independently verified</w:t>
            </w:r>
          </w:p>
        </w:tc>
      </w:tr>
      <w:tr>
        <w:tc>
          <w:tcPr/>
          <w:p>
            <w:pPr>
              <w:pStyle w:val="Compact"/>
              <w:jc w:val="left"/>
            </w:pPr>
            <w:r>
              <w:t xml:space="preserve">Field 13 (idx12)</w:t>
            </w:r>
          </w:p>
        </w:tc>
        <w:tc>
          <w:tcPr/>
          <w:p>
            <w:pPr>
              <w:pStyle w:val="Compact"/>
              <w:jc w:val="left"/>
            </w:pPr>
            <w:r>
              <w:t xml:space="preserve">Allowance/Charge Indicator</w:t>
            </w:r>
          </w:p>
        </w:tc>
        <w:tc>
          <w:tcPr/>
          <w:p>
            <w:pPr>
              <w:pStyle w:val="Compact"/>
              <w:jc w:val="left"/>
            </w:pPr>
            <w:r>
              <w:t xml:space="preserve">✅</w:t>
            </w:r>
            <w:r>
              <w:t xml:space="preserve"> </w:t>
            </w:r>
            <w:r>
              <w:rPr>
                <w:rStyle w:val="VerbatimChar"/>
              </w:rPr>
              <w:t xml:space="preserve">A</w:t>
            </w:r>
            <w:r>
              <w:t xml:space="preserve"> </w:t>
            </w:r>
            <w:r>
              <w:t xml:space="preserve">(Allowance) in every</w:t>
            </w:r>
            <w:r>
              <w:t xml:space="preserve"> </w:t>
            </w:r>
            <w:r>
              <w:rPr>
                <w:rStyle w:val="VerbatimChar"/>
              </w:rPr>
              <w:t xml:space="preserve">I410</w:t>
            </w:r>
            <w:r>
              <w:t xml:space="preserve"> </w:t>
            </w:r>
            <w:r>
              <w:t xml:space="preserve">occurrence</w:t>
            </w:r>
          </w:p>
        </w:tc>
      </w:tr>
    </w:tbl>
    <w:p>
      <w:pPr>
        <w:pStyle w:val="BodyText"/>
      </w:pPr>
      <w:r>
        <w:rPr>
          <w:bCs/>
          <w:b/>
        </w:rPr>
        <w:t xml:space="preserve">Confirmed via direct cross-reference to real raw EDI:</w:t>
      </w:r>
      <w:r>
        <w:t xml:space="preserve"> </w:t>
      </w:r>
      <w:r>
        <w:t xml:space="preserve">the Umpqua direct-Walmart raw EDI (documented above) contains</w:t>
      </w:r>
      <w:r>
        <w:t xml:space="preserve"> </w:t>
      </w:r>
      <w:r>
        <w:rPr>
          <w:rStyle w:val="VerbatimChar"/>
        </w:rPr>
        <w:t xml:space="preserve">SAC*A*I410***4718*6*.5*****02</w:t>
      </w:r>
      <w:r>
        <w:t xml:space="preserve"> </w:t>
      </w:r>
      <w:r>
        <w:t xml:space="preserve">— the same code (</w:t>
      </w:r>
      <w:r>
        <w:rPr>
          <w:rStyle w:val="VerbatimChar"/>
        </w:rPr>
        <w:t xml:space="preserve">I410</w:t>
      </w:r>
      <w:r>
        <w:t xml:space="preserve">), same method (</w:t>
      </w:r>
      <w:r>
        <w:rPr>
          <w:rStyle w:val="VerbatimChar"/>
        </w:rPr>
        <w:t xml:space="preserve">02</w:t>
      </w:r>
      <w:r>
        <w:t xml:space="preserve">), same indicator concept (</w:t>
      </w:r>
      <w:r>
        <w:rPr>
          <w:rStyle w:val="VerbatimChar"/>
        </w:rPr>
        <w:t xml:space="preserve">A</w:t>
      </w:r>
      <w:r>
        <w:t xml:space="preserve">), and the same rate value (</w:t>
      </w:r>
      <w:r>
        <w:rPr>
          <w:rStyle w:val="VerbatimChar"/>
        </w:rPr>
        <w:t xml:space="preserve">.5</w:t>
      </w:r>
      <w:r>
        <w:t xml:space="preserve"> </w:t>
      </w:r>
      <w:r>
        <w:t xml:space="preserve">/</w:t>
      </w:r>
      <w:r>
        <w:t xml:space="preserve"> </w:t>
      </w:r>
      <w:r>
        <w:rPr>
          <w:rStyle w:val="VerbatimChar"/>
        </w:rPr>
        <w:t xml:space="preserve">0.500</w:t>
      </w:r>
      <w:r>
        <w:t xml:space="preserve">). This is the flat-file’s equivalent of the X12</w:t>
      </w:r>
      <w:r>
        <w:t xml:space="preserve"> </w:t>
      </w:r>
      <w:r>
        <w:rPr>
          <w:rStyle w:val="VerbatimChar"/>
        </w:rPr>
        <w:t xml:space="preserve">SAC</w:t>
      </w:r>
      <w:r>
        <w:t xml:space="preserve"> </w:t>
      </w:r>
      <w:r>
        <w:t xml:space="preserve">(Allowance/Charge) segment, confirmed via two independent real sources, not inferred from one.</w:t>
      </w:r>
    </w:p>
    <w:p>
      <w:pPr>
        <w:pStyle w:val="BodyText"/>
      </w:pPr>
      <w:r>
        <w:rPr>
          <w:rStyle w:val="VerbatimChar"/>
          <w:bCs/>
          <w:b/>
        </w:rPr>
        <w:t xml:space="preserve">LAL</w:t>
      </w:r>
      <w:r>
        <w:rPr>
          <w:bCs/>
          <w:b/>
        </w:rPr>
        <w:t xml:space="preserve"> </w:t>
      </w:r>
      <w:r>
        <w:rPr>
          <w:bCs/>
          <w:b/>
        </w:rPr>
        <w:t xml:space="preserve">— populated 2,158 times, also resolved: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JSON concept</w:t>
            </w:r>
          </w:p>
        </w:tc>
        <w:tc>
          <w:tcPr/>
          <w:p>
            <w:pPr>
              <w:pStyle w:val="Compact"/>
              <w:jc w:val="left"/>
            </w:pPr>
            <w:r>
              <w:t xml:space="preserve">Status</w:t>
            </w:r>
          </w:p>
        </w:tc>
      </w:tr>
      <w:tr>
        <w:tc>
          <w:tcPr/>
          <w:p>
            <w:pPr>
              <w:pStyle w:val="Compact"/>
              <w:jc w:val="left"/>
            </w:pPr>
            <w:r>
              <w:t xml:space="preserve">Field 2 (idx1)</w:t>
            </w:r>
          </w:p>
        </w:tc>
        <w:tc>
          <w:tcPr/>
          <w:p>
            <w:pPr>
              <w:pStyle w:val="Compact"/>
              <w:jc w:val="left"/>
            </w:pPr>
            <w:r>
              <w:t xml:space="preserve">Allowance/Charge Code</w:t>
            </w:r>
          </w:p>
        </w:tc>
        <w:tc>
          <w:tcPr/>
          <w:p>
            <w:pPr>
              <w:pStyle w:val="Compact"/>
              <w:jc w:val="left"/>
            </w:pPr>
            <w:r>
              <w:t xml:space="preserve">✅</w:t>
            </w:r>
            <w:r>
              <w:t xml:space="preserve"> </w:t>
            </w:r>
            <w:r>
              <w:rPr>
                <w:rStyle w:val="VerbatimChar"/>
              </w:rPr>
              <w:t xml:space="preserve">C110</w:t>
            </w:r>
            <w:r>
              <w:t xml:space="preserve"> </w:t>
            </w:r>
            <w:r>
              <w:t xml:space="preserve">in 248 occurrences;</w:t>
            </w:r>
            <w:r>
              <w:t xml:space="preserve"> </w:t>
            </w:r>
            <w:r>
              <w:rPr>
                <w:rStyle w:val="VerbatimChar"/>
              </w:rPr>
              <w:t xml:space="preserve">E720</w:t>
            </w:r>
            <w:r>
              <w:t xml:space="preserve"> </w:t>
            </w:r>
            <w:r>
              <w:t xml:space="preserve">in 3 — doc’s original guess of</w:t>
            </w:r>
            <w:r>
              <w:t xml:space="preserve"> </w:t>
            </w:r>
            <w:r>
              <w:rPr>
                <w:rStyle w:val="VerbatimChar"/>
              </w:rPr>
              <w:t xml:space="preserve">F800</w:t>
            </w:r>
            <w:r>
              <w:t xml:space="preserve">/</w:t>
            </w:r>
            <w:r>
              <w:rPr>
                <w:rStyle w:val="VerbatimChar"/>
              </w:rPr>
              <w:t xml:space="preserve">H910</w:t>
            </w:r>
            <w:r>
              <w:t xml:space="preserve"> </w:t>
            </w:r>
            <w:r>
              <w:t xml:space="preserve">was never observed in this month’s data, but may still be real for other accounts/periods</w:t>
            </w:r>
          </w:p>
        </w:tc>
      </w:tr>
      <w:tr>
        <w:tc>
          <w:tcPr/>
          <w:p>
            <w:pPr>
              <w:pStyle w:val="Compact"/>
              <w:jc w:val="left"/>
            </w:pPr>
            <w:r>
              <w:t xml:space="preserve">Field 13 (idx12)</w:t>
            </w:r>
          </w:p>
        </w:tc>
        <w:tc>
          <w:tcPr/>
          <w:p>
            <w:pPr>
              <w:pStyle w:val="Compact"/>
              <w:jc w:val="left"/>
            </w:pPr>
            <w:r>
              <w:t xml:space="preserve">Allowance/Charge Indicator</w:t>
            </w:r>
          </w:p>
        </w:tc>
        <w:tc>
          <w:tcPr/>
          <w:p>
            <w:pPr>
              <w:pStyle w:val="Compact"/>
              <w:jc w:val="left"/>
            </w:pPr>
            <w:r>
              <w:t xml:space="preserve">✅</w:t>
            </w:r>
            <w:r>
              <w:t xml:space="preserve"> </w:t>
            </w:r>
            <w:r>
              <w:rPr>
                <w:rStyle w:val="VerbatimChar"/>
              </w:rPr>
              <w:t xml:space="preserve">C</w:t>
            </w:r>
            <w:r>
              <w:t xml:space="preserve"> </w:t>
            </w:r>
            <w:r>
              <w:t xml:space="preserve">(Charge) for</w:t>
            </w:r>
            <w:r>
              <w:t xml:space="preserve"> </w:t>
            </w:r>
            <w:r>
              <w:rPr>
                <w:rStyle w:val="VerbatimChar"/>
              </w:rPr>
              <w:t xml:space="preserve">C110</w:t>
            </w:r>
            <w:r>
              <w:t xml:space="preserve"> </w:t>
            </w:r>
            <w:r>
              <w:t xml:space="preserve">— confirms this field’s role with a second, different real value than</w:t>
            </w:r>
            <w:r>
              <w:t xml:space="preserve"> </w:t>
            </w:r>
            <w:r>
              <w:rPr>
                <w:rStyle w:val="VerbatimChar"/>
              </w:rPr>
              <w:t xml:space="preserve">HAL</w:t>
            </w:r>
            <w:r>
              <w:t xml:space="preserve">’s</w:t>
            </w:r>
            <w:r>
              <w:t xml:space="preserve"> </w:t>
            </w:r>
            <w:r>
              <w:rPr>
                <w:rStyle w:val="VerbatimChar"/>
              </w:rPr>
              <w:t xml:space="preserve">A</w:t>
            </w:r>
          </w:p>
        </w:tc>
      </w:tr>
    </w:tbl>
    <w:p>
      <w:pPr>
        <w:pStyle w:val="BodyText"/>
      </w:pPr>
      <w:r>
        <w:rPr>
          <w:rStyle w:val="VerbatimChar"/>
          <w:bCs/>
          <w:b/>
        </w:rPr>
        <w:t xml:space="preserve">C110</w:t>
      </w:r>
      <w:r>
        <w:rPr>
          <w:bCs/>
          <w:b/>
        </w:rPr>
        <w:t xml:space="preserve"> </w:t>
      </w:r>
      <w:r>
        <w:rPr>
          <w:bCs/>
          <w:b/>
        </w:rPr>
        <w:t xml:space="preserve">resolved via a completely different part of this project:</w:t>
      </w:r>
      <w:r>
        <w:t xml:space="preserve"> </w:t>
      </w:r>
      <w:r>
        <w:t xml:space="preserve">this exact code (</w:t>
      </w:r>
      <w:r>
        <w:rPr>
          <w:rStyle w:val="VerbatimChar"/>
        </w:rPr>
        <w:t xml:space="preserve">C110 = Bottle Deposits, Beer/Wine Only</w:t>
      </w:r>
      <w:r>
        <w:t xml:space="preserve">) appears in the Costco/Walmart UCS 4010 spec reviewed much earlier for the</w:t>
      </w:r>
      <w:r>
        <w:t xml:space="preserve"> </w:t>
      </w:r>
      <w:r>
        <w:rPr>
          <w:iCs/>
          <w:i/>
        </w:rPr>
        <w:t xml:space="preserve">894</w:t>
      </w:r>
      <w:r>
        <w:t xml:space="preserve"> </w:t>
      </w:r>
      <w:r>
        <w:t xml:space="preserve">transaction type — same code, same meaning, confirmed independently across two unrelated transaction types.</w:t>
      </w:r>
    </w:p>
    <w:p>
      <w:pPr>
        <w:pStyle w:val="BodyText"/>
      </w:pPr>
      <w:r>
        <w:rPr>
          <w:bCs/>
          <w:b/>
        </w:rPr>
        <w:t xml:space="preserve">Resolved — real business reason, not a data quality issue:</w:t>
      </w:r>
      <w:r>
        <w:t xml:space="preserve"> </w:t>
      </w:r>
      <w:r>
        <w:t xml:space="preserve">every real</w:t>
      </w:r>
      <w:r>
        <w:t xml:space="preserve"> </w:t>
      </w:r>
      <w:r>
        <w:rPr>
          <w:rStyle w:val="VerbatimChar"/>
        </w:rPr>
        <w:t xml:space="preserve">C110</w:t>
      </w:r>
      <w:r>
        <w:t xml:space="preserve"> </w:t>
      </w:r>
      <w:r>
        <w:t xml:space="preserve">occurrence found this month has</w:t>
      </w:r>
      <w:r>
        <w:t xml:space="preserve"> </w:t>
      </w:r>
      <w:r>
        <w:rPr>
          <w:rStyle w:val="VerbatimChar"/>
        </w:rPr>
        <w:t xml:space="preserve">0.00</w:t>
      </w:r>
      <w:r>
        <w:t xml:space="preserve"> </w:t>
      </w:r>
      <w:r>
        <w:t xml:space="preserve">in the amount field because</w:t>
      </w:r>
      <w:r>
        <w:t xml:space="preserve"> </w:t>
      </w:r>
      <w:r>
        <w:rPr>
          <w:bCs/>
          <w:b/>
        </w:rPr>
        <w:t xml:space="preserve">this is an inbound order (850), and system pricing isn’t finalized until delivery.</w:t>
      </w:r>
      <w:r>
        <w:t xml:space="preserve"> </w:t>
      </w:r>
      <w:r>
        <w:t xml:space="preserve">Allowance/charge amounts genuinely aren’t set yet at the PO stage for this code — they get determined later, at invoice time (810). The</w:t>
      </w:r>
      <w:r>
        <w:t xml:space="preserve"> </w:t>
      </w:r>
      <w:r>
        <w:rPr>
          <w:rStyle w:val="VerbatimChar"/>
        </w:rPr>
        <w:t xml:space="preserve">C110</w:t>
      </w:r>
      <w:r>
        <w:t xml:space="preserve"> </w:t>
      </w:r>
      <w:r>
        <w:t xml:space="preserve">code and structure are present to establish that a bottle deposit</w:t>
      </w:r>
      <w:r>
        <w:t xml:space="preserve"> </w:t>
      </w:r>
      <w:r>
        <w:rPr>
          <w:iCs/>
          <w:i/>
        </w:rPr>
        <w:t xml:space="preserve">applies</w:t>
      </w:r>
      <w:r>
        <w:t xml:space="preserve">, but the actual dollar figure isn’t known until delivery.</w:t>
      </w:r>
    </w:p>
    <w:p>
      <w:pPr>
        <w:pStyle w:val="BodyText"/>
      </w:pPr>
      <w:r>
        <w:rPr>
          <w:bCs/>
          <w:b/>
        </w:rPr>
        <w:t xml:space="preserve">Worth noting this doesn’t apply uniformly:</w:t>
      </w:r>
      <w:r>
        <w:t xml:space="preserve"> </w:t>
      </w:r>
      <w:r>
        <w:rPr>
          <w:rStyle w:val="VerbatimChar"/>
        </w:rPr>
        <w:t xml:space="preserve">HAL</w:t>
      </w:r>
      <w:r>
        <w:t xml:space="preserve">’s</w:t>
      </w:r>
      <w:r>
        <w:t xml:space="preserve"> </w:t>
      </w:r>
      <w:r>
        <w:rPr>
          <w:rStyle w:val="VerbatimChar"/>
        </w:rPr>
        <w:t xml:space="preserve">I410</w:t>
      </w:r>
      <w:r>
        <w:t xml:space="preserve"> </w:t>
      </w:r>
      <w:r>
        <w:t xml:space="preserve">code, by contrast,</w:t>
      </w:r>
      <w:r>
        <w:t xml:space="preserve"> </w:t>
      </w:r>
      <w:r>
        <w:rPr>
          <w:iCs/>
          <w:i/>
        </w:rPr>
        <w:t xml:space="preserve">does</w:t>
      </w:r>
      <w:r>
        <w:t xml:space="preserve"> </w:t>
      </w:r>
      <w:r>
        <w:t xml:space="preserve">show real, varying dollar amounts already at the PO stage (</w:t>
      </w:r>
      <w:r>
        <w:rPr>
          <w:rStyle w:val="VerbatimChar"/>
        </w:rPr>
        <w:t xml:space="preserve">36.34</w:t>
      </w:r>
      <w:r>
        <w:t xml:space="preserve">,</w:t>
      </w:r>
      <w:r>
        <w:t xml:space="preserve"> </w:t>
      </w:r>
      <w:r>
        <w:rPr>
          <w:rStyle w:val="VerbatimChar"/>
        </w:rPr>
        <w:t xml:space="preserve">54.60</w:t>
      </w:r>
      <w:r>
        <w:t xml:space="preserve">,</w:t>
      </w:r>
      <w:r>
        <w:t xml:space="preserve"> </w:t>
      </w:r>
      <w:r>
        <w:rPr>
          <w:rStyle w:val="VerbatimChar"/>
        </w:rPr>
        <w:t xml:space="preserve">17.18</w:t>
      </w:r>
      <w:r>
        <w:t xml:space="preserve">, etc.) — not zero. So</w:t>
      </w:r>
      <w:r>
        <w:t xml:space="preserve"> </w:t>
      </w:r>
      <w:r>
        <w:t xml:space="preserve">“</w:t>
      </w:r>
      <w:r>
        <w:t xml:space="preserve">pricing not set until delivery</w:t>
      </w:r>
      <w:r>
        <w:t xml:space="preserve">”</w:t>
      </w:r>
      <w:r>
        <w:t xml:space="preserve"> </w:t>
      </w:r>
      <w:r>
        <w:t xml:space="preserve">explains</w:t>
      </w:r>
      <w:r>
        <w:t xml:space="preserve"> </w:t>
      </w:r>
      <w:r>
        <w:rPr>
          <w:rStyle w:val="VerbatimChar"/>
        </w:rPr>
        <w:t xml:space="preserve">LAL</w:t>
      </w:r>
      <w:r>
        <w:t xml:space="preserve">/</w:t>
      </w:r>
      <w:r>
        <w:rPr>
          <w:rStyle w:val="VerbatimChar"/>
        </w:rPr>
        <w:t xml:space="preserve">C110</w:t>
      </w:r>
      <w:r>
        <w:t xml:space="preserve">’s zero-amount pattern specifically, but isn’t a universal rule for every allowance/charge code in this file. Some codes (like</w:t>
      </w:r>
      <w:r>
        <w:t xml:space="preserve"> </w:t>
      </w:r>
      <w:r>
        <w:rPr>
          <w:rStyle w:val="VerbatimChar"/>
        </w:rPr>
        <w:t xml:space="preserve">I410</w:t>
      </w:r>
      <w:r>
        <w:t xml:space="preserve">, likely a pre-agreed promotional rate) are known at order time; others (like</w:t>
      </w:r>
      <w:r>
        <w:t xml:space="preserve"> </w:t>
      </w:r>
      <w:r>
        <w:rPr>
          <w:rStyle w:val="VerbatimChar"/>
        </w:rPr>
        <w:t xml:space="preserve">C110</w:t>
      </w:r>
      <w:r>
        <w:t xml:space="preserve">, a deposit presumably calculated per-unit at delivery) aren’t.</w:t>
      </w:r>
    </w:p>
    <w:p>
      <w:pPr>
        <w:pStyle w:val="BodyText"/>
      </w:pPr>
      <w:r>
        <w:rPr>
          <w:rStyle w:val="VerbatimChar"/>
          <w:bCs/>
          <w:b/>
        </w:rPr>
        <w:t xml:space="preserve">TOT</w:t>
      </w:r>
      <w:r>
        <w:rPr>
          <w:bCs/>
          <w:b/>
        </w:rPr>
        <w:t xml:space="preserve"> </w:t>
      </w:r>
      <w:r>
        <w:rPr>
          <w:bCs/>
          <w:b/>
        </w:rPr>
        <w:t xml:space="preserve">remains completely unconfirmed</w:t>
      </w:r>
      <w:r>
        <w:t xml:space="preserve"> </w:t>
      </w:r>
      <w:r>
        <w:t xml:space="preserve">— zero populated occurrences found across all 632 files this month. Still genuinely</w:t>
      </w:r>
      <w:r>
        <w:t xml:space="preserve"> </w:t>
      </w:r>
      <w:r>
        <w:t xml:space="preserve">“</w:t>
      </w:r>
      <w:r>
        <w:t xml:space="preserve">Constant TOT</w:t>
      </w:r>
      <w:r>
        <w:t xml:space="preserve">”</w:t>
      </w:r>
      <w:r>
        <w:t xml:space="preserve"> </w:t>
      </w:r>
      <w:r>
        <w:t xml:space="preserve">with nothing else observed, matching the original doc exactly.</w:t>
      </w:r>
    </w:p>
    <w:bookmarkEnd w:id="38"/>
    <w:bookmarkStart w:id="39" w:name="not-yet-mapped-into-json-at-all"/>
    <w:p>
      <w:pPr>
        <w:pStyle w:val="Heading3"/>
      </w:pPr>
      <w:r>
        <w:t xml:space="preserve">Not yet mapped into JSON at all</w:t>
      </w:r>
    </w:p>
    <w:p>
      <w:pPr>
        <w:numPr>
          <w:ilvl w:val="0"/>
          <w:numId w:val="1005"/>
        </w:numPr>
        <w:pStyle w:val="Compact"/>
      </w:pPr>
      <w:r>
        <w:rPr>
          <w:rStyle w:val="VerbatimChar"/>
        </w:rPr>
        <w:t xml:space="preserve">HAL</w:t>
      </w:r>
      <w:r>
        <w:t xml:space="preserve">/</w:t>
      </w:r>
      <w:r>
        <w:rPr>
          <w:rStyle w:val="VerbatimChar"/>
        </w:rPr>
        <w:t xml:space="preserve">LAL</w:t>
      </w:r>
      <w:r>
        <w:t xml:space="preserve"> </w:t>
      </w:r>
      <w:r>
        <w:t xml:space="preserve">— resolved and wired into</w:t>
      </w:r>
      <w:r>
        <w:t xml:space="preserve"> </w:t>
      </w:r>
      <w:r>
        <w:rPr>
          <w:rStyle w:val="VerbatimChar"/>
        </w:rPr>
        <w:t xml:space="preserve">parse_pipe_850.py</w:t>
      </w:r>
      <w:r>
        <w:t xml:space="preserve"> </w:t>
      </w:r>
      <w:r>
        <w:t xml:space="preserve">as</w:t>
      </w:r>
      <w:r>
        <w:t xml:space="preserve"> </w:t>
      </w:r>
      <w:r>
        <w:rPr>
          <w:rStyle w:val="VerbatimChar"/>
        </w:rPr>
        <w:t xml:space="preserve">headerAllowancesCharges[]</w:t>
      </w:r>
      <w:r>
        <w:t xml:space="preserve"> </w:t>
      </w:r>
      <w:r>
        <w:t xml:space="preserve">/</w:t>
      </w:r>
      <w:r>
        <w:t xml:space="preserve"> </w:t>
      </w:r>
      <w:r>
        <w:rPr>
          <w:rStyle w:val="VerbatimChar"/>
        </w:rPr>
        <w:t xml:space="preserve">lineAllowancesCharges[]</w:t>
      </w:r>
    </w:p>
    <w:p>
      <w:pPr>
        <w:numPr>
          <w:ilvl w:val="0"/>
          <w:numId w:val="1005"/>
        </w:numPr>
        <w:pStyle w:val="Compact"/>
      </w:pPr>
      <w:r>
        <w:rPr>
          <w:rStyle w:val="VerbatimChar"/>
        </w:rPr>
        <w:t xml:space="preserve">TOT</w:t>
      </w:r>
      <w:r>
        <w:t xml:space="preserve"> </w:t>
      </w:r>
      <w:r>
        <w:t xml:space="preserve">— still has zero real data to build against</w:t>
      </w:r>
    </w:p>
    <w:p>
      <w:pPr>
        <w:numPr>
          <w:ilvl w:val="0"/>
          <w:numId w:val="1005"/>
        </w:numPr>
        <w:pStyle w:val="Compact"/>
      </w:pPr>
      <w:r>
        <w:t xml:space="preserve">HDR fields 21/22 (</w:t>
      </w:r>
      <w:r>
        <w:t xml:space="preserve">“</w:t>
      </w:r>
      <w:r>
        <w:t xml:space="preserve">looks like a price or quantity,</w:t>
      </w:r>
      <w:r>
        <w:t xml:space="preserve">”</w:t>
      </w:r>
      <w:r>
        <w:t xml:space="preserve"> </w:t>
      </w:r>
      <w:r>
        <w:t xml:space="preserve">per doc) — not parsed, genuinely unclear</w:t>
      </w:r>
    </w:p>
    <w:p>
      <w:pPr>
        <w:numPr>
          <w:ilvl w:val="0"/>
          <w:numId w:val="1005"/>
        </w:numPr>
        <w:pStyle w:val="Compact"/>
      </w:pPr>
      <w:r>
        <w:t xml:space="preserve">HDR field 34 (</w:t>
      </w:r>
      <w:r>
        <w:t xml:space="preserve">“</w:t>
      </w:r>
      <w:r>
        <w:t xml:space="preserve">a message from Customer</w:t>
      </w:r>
      <w:r>
        <w:t xml:space="preserve">”</w:t>
      </w:r>
      <w:r>
        <w:t xml:space="preserve">) — not parsed</w:t>
      </w:r>
    </w:p>
    <w:p>
      <w:r>
        <w:pict>
          <v:rect style="width:0;height:1.5pt" o:hralign="center" o:hrstd="t" o:hr="t"/>
        </w:pict>
      </w:r>
    </w:p>
    <w:bookmarkEnd w:id="39"/>
    <w:bookmarkEnd w:id="40"/>
    <w:bookmarkStart w:id="41" w:name="Xdea44c56e8b422911cd2b5c1c764e249dbbabab"/>
    <w:p>
      <w:pPr>
        <w:pStyle w:val="Heading2"/>
      </w:pPr>
      <w:r>
        <w:t xml:space="preserve">Format 2: Fixed-Width (</w:t>
      </w:r>
      <w:r>
        <w:rPr>
          <w:rStyle w:val="VerbatimChar"/>
        </w:rPr>
        <w:t xml:space="preserve">PRODUCERS_ORDERS</w:t>
      </w:r>
      <w:r>
        <w:t xml:space="preserve"> </w:t>
      </w:r>
      <w:r>
        <w:t xml:space="preserve">files) →</w:t>
      </w:r>
      <w:r>
        <w:t xml:space="preserve"> </w:t>
      </w:r>
      <w:r>
        <w:rPr>
          <w:rStyle w:val="VerbatimChar"/>
        </w:rPr>
        <w:t xml:space="preserve">parse_pcg_fixed.py</w:t>
      </w:r>
    </w:p>
    <w:p>
      <w:pPr>
        <w:pStyle w:val="FirstParagraph"/>
      </w:pPr>
      <w:r>
        <w:t xml:space="preserve">Field positions confirmed directly from Park City Group’s own layout documentation (Walmart 60A, Costco 50A, Pitco specs — identical across all three).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Flat file position</w:t>
            </w:r>
          </w:p>
        </w:tc>
        <w:tc>
          <w:tcPr/>
          <w:p>
            <w:pPr>
              <w:pStyle w:val="Compact"/>
              <w:jc w:val="left"/>
            </w:pPr>
            <w:r>
              <w:t xml:space="preserve">Field name (per PCG doc)</w:t>
            </w:r>
          </w:p>
        </w:tc>
        <w:tc>
          <w:tcPr/>
          <w:p>
            <w:pPr>
              <w:pStyle w:val="Compact"/>
              <w:jc w:val="left"/>
            </w:pPr>
            <w:r>
              <w:t xml:space="preserve">JSON field</w:t>
            </w:r>
          </w:p>
        </w:tc>
        <w:tc>
          <w:tcPr/>
          <w:p>
            <w:pPr>
              <w:pStyle w:val="Compact"/>
              <w:jc w:val="left"/>
            </w:pPr>
            <w:r>
              <w:t xml:space="preserve">Status</w:t>
            </w:r>
          </w:p>
        </w:tc>
      </w:tr>
      <w:tr>
        <w:tc>
          <w:tcPr/>
          <w:p>
            <w:pPr>
              <w:pStyle w:val="Compact"/>
              <w:jc w:val="left"/>
            </w:pPr>
            <w:r>
              <w:t xml:space="preserve">1–8</w:t>
            </w:r>
          </w:p>
        </w:tc>
        <w:tc>
          <w:tcPr/>
          <w:p>
            <w:pPr>
              <w:pStyle w:val="Compact"/>
              <w:jc w:val="left"/>
            </w:pPr>
            <w:r>
              <w:t xml:space="preserve">Transmit Date</w:t>
            </w:r>
          </w:p>
        </w:tc>
        <w:tc>
          <w:tcPr/>
          <w:p>
            <w:pPr>
              <w:pStyle w:val="Compact"/>
              <w:jc w:val="left"/>
            </w:pPr>
            <w:r>
              <w:rPr>
                <w:rStyle w:val="VerbatimChar"/>
              </w:rPr>
              <w:t xml:space="preserve">transmitDate</w:t>
            </w:r>
          </w:p>
        </w:tc>
        <w:tc>
          <w:tcPr/>
          <w:p>
            <w:pPr>
              <w:pStyle w:val="Compact"/>
              <w:jc w:val="left"/>
            </w:pPr>
            <w:r>
              <w:t xml:space="preserve">✅</w:t>
            </w:r>
          </w:p>
        </w:tc>
      </w:tr>
      <w:tr>
        <w:tc>
          <w:tcPr/>
          <w:p>
            <w:pPr>
              <w:pStyle w:val="Compact"/>
              <w:jc w:val="left"/>
            </w:pPr>
            <w:r>
              <w:t xml:space="preserve">9–18</w:t>
            </w:r>
          </w:p>
        </w:tc>
        <w:tc>
          <w:tcPr/>
          <w:p>
            <w:pPr>
              <w:pStyle w:val="Compact"/>
              <w:jc w:val="left"/>
            </w:pPr>
            <w:r>
              <w:t xml:space="preserve">Purchase Order Number</w:t>
            </w:r>
          </w:p>
        </w:tc>
        <w:tc>
          <w:tcPr/>
          <w:p>
            <w:pPr>
              <w:pStyle w:val="Compact"/>
              <w:jc w:val="left"/>
            </w:pPr>
            <w:r>
              <w:rPr>
                <w:rStyle w:val="VerbatimChar"/>
              </w:rPr>
              <w:t xml:space="preserve">purchaseOrderNumber</w:t>
            </w:r>
          </w:p>
        </w:tc>
        <w:tc>
          <w:tcPr/>
          <w:p>
            <w:pPr>
              <w:pStyle w:val="Compact"/>
              <w:jc w:val="left"/>
            </w:pPr>
            <w:r>
              <w:t xml:space="preserve">✅ position confirmed; ⚠️ genuinely blank for Walmart in real data, populated for Costco — not a parsing error</w:t>
            </w:r>
          </w:p>
        </w:tc>
      </w:tr>
      <w:tr>
        <w:tc>
          <w:tcPr/>
          <w:p>
            <w:pPr>
              <w:pStyle w:val="Compact"/>
              <w:jc w:val="left"/>
            </w:pPr>
            <w:r>
              <w:t xml:space="preserve">19–26</w:t>
            </w:r>
          </w:p>
        </w:tc>
        <w:tc>
          <w:tcPr/>
          <w:p>
            <w:pPr>
              <w:pStyle w:val="Compact"/>
              <w:jc w:val="left"/>
            </w:pPr>
            <w:r>
              <w:t xml:space="preserve">Delivery Date</w:t>
            </w:r>
          </w:p>
        </w:tc>
        <w:tc>
          <w:tcPr/>
          <w:p>
            <w:pPr>
              <w:pStyle w:val="Compact"/>
              <w:jc w:val="left"/>
            </w:pPr>
            <w:r>
              <w:rPr>
                <w:rStyle w:val="VerbatimChar"/>
              </w:rPr>
              <w:t xml:space="preserve">deliveryDate</w:t>
            </w:r>
          </w:p>
        </w:tc>
        <w:tc>
          <w:tcPr/>
          <w:p>
            <w:pPr>
              <w:pStyle w:val="Compact"/>
              <w:jc w:val="left"/>
            </w:pPr>
            <w:r>
              <w:t xml:space="preserve">✅</w:t>
            </w:r>
          </w:p>
        </w:tc>
      </w:tr>
      <w:tr>
        <w:tc>
          <w:tcPr/>
          <w:p>
            <w:pPr>
              <w:pStyle w:val="Compact"/>
              <w:jc w:val="left"/>
            </w:pPr>
            <w:r>
              <w:t xml:space="preserve">27–56</w:t>
            </w:r>
          </w:p>
        </w:tc>
        <w:tc>
          <w:tcPr/>
          <w:p>
            <w:pPr>
              <w:pStyle w:val="Compact"/>
              <w:jc w:val="left"/>
            </w:pPr>
            <w:r>
              <w:t xml:space="preserve">Customer Name</w:t>
            </w:r>
          </w:p>
        </w:tc>
        <w:tc>
          <w:tcPr/>
          <w:p>
            <w:pPr>
              <w:pStyle w:val="Compact"/>
              <w:jc w:val="left"/>
            </w:pPr>
            <w:r>
              <w:rPr>
                <w:rStyle w:val="VerbatimChar"/>
              </w:rPr>
              <w:t xml:space="preserve">customerName</w:t>
            </w:r>
          </w:p>
        </w:tc>
        <w:tc>
          <w:tcPr/>
          <w:p>
            <w:pPr>
              <w:pStyle w:val="Compact"/>
              <w:jc w:val="left"/>
            </w:pPr>
            <w:r>
              <w:t xml:space="preserve">✅</w:t>
            </w:r>
          </w:p>
        </w:tc>
      </w:tr>
      <w:tr>
        <w:tc>
          <w:tcPr/>
          <w:p>
            <w:pPr>
              <w:pStyle w:val="Compact"/>
              <w:jc w:val="left"/>
            </w:pPr>
            <w:r>
              <w:t xml:space="preserve">57–69</w:t>
            </w:r>
          </w:p>
        </w:tc>
        <w:tc>
          <w:tcPr/>
          <w:p>
            <w:pPr>
              <w:pStyle w:val="Compact"/>
              <w:jc w:val="left"/>
            </w:pPr>
            <w:r>
              <w:t xml:space="preserve">Super Store Name</w:t>
            </w:r>
          </w:p>
        </w:tc>
        <w:tc>
          <w:tcPr/>
          <w:p>
            <w:pPr>
              <w:pStyle w:val="Compact"/>
              <w:jc w:val="left"/>
            </w:pPr>
            <w:r>
              <w:rPr>
                <w:rStyle w:val="VerbatimChar"/>
              </w:rPr>
              <w:t xml:space="preserve">superStoreName</w:t>
            </w:r>
          </w:p>
        </w:tc>
        <w:tc>
          <w:tcPr/>
          <w:p>
            <w:pPr>
              <w:pStyle w:val="Compact"/>
              <w:jc w:val="left"/>
            </w:pPr>
            <w:r>
              <w:t xml:space="preserve">✅ GLN (13-digit) for Walmart; short code + padding for Costco</w:t>
            </w:r>
          </w:p>
        </w:tc>
      </w:tr>
      <w:tr>
        <w:tc>
          <w:tcPr/>
          <w:p>
            <w:pPr>
              <w:pStyle w:val="Compact"/>
              <w:jc w:val="left"/>
            </w:pPr>
            <w:r>
              <w:t xml:space="preserve">70–79</w:t>
            </w:r>
          </w:p>
        </w:tc>
        <w:tc>
          <w:tcPr/>
          <w:p>
            <w:pPr>
              <w:pStyle w:val="Compact"/>
              <w:jc w:val="left"/>
            </w:pPr>
            <w:r>
              <w:t xml:space="preserve">Store Number</w:t>
            </w:r>
          </w:p>
        </w:tc>
        <w:tc>
          <w:tcPr/>
          <w:p>
            <w:pPr>
              <w:pStyle w:val="Compact"/>
              <w:jc w:val="left"/>
            </w:pPr>
            <w:r>
              <w:rPr>
                <w:rStyle w:val="VerbatimChar"/>
              </w:rPr>
              <w:t xml:space="preserve">storeNumber</w:t>
            </w:r>
          </w:p>
        </w:tc>
        <w:tc>
          <w:tcPr/>
          <w:p>
            <w:pPr>
              <w:pStyle w:val="Compact"/>
              <w:jc w:val="left"/>
            </w:pPr>
            <w:r>
              <w:t xml:space="preserve">✅ Best available</w:t>
            </w:r>
            <w:r>
              <w:t xml:space="preserve"> </w:t>
            </w:r>
            <w:r>
              <w:t xml:space="preserve">“</w:t>
            </w:r>
            <w:r>
              <w:t xml:space="preserve">plant</w:t>
            </w:r>
            <w:r>
              <w:t xml:space="preserve">”</w:t>
            </w:r>
            <w:r>
              <w:t xml:space="preserve">/picking-location proxy — this is the customer’s own store, confirmed absent of any field representing our own facility</w:t>
            </w:r>
          </w:p>
        </w:tc>
      </w:tr>
      <w:tr>
        <w:tc>
          <w:tcPr/>
          <w:p>
            <w:pPr>
              <w:pStyle w:val="Compact"/>
              <w:jc w:val="left"/>
            </w:pPr>
            <w:r>
              <w:t xml:space="preserve">80–93</w:t>
            </w:r>
          </w:p>
        </w:tc>
        <w:tc>
          <w:tcPr/>
          <w:p>
            <w:pPr>
              <w:pStyle w:val="Compact"/>
              <w:jc w:val="left"/>
            </w:pPr>
            <w:r>
              <w:t xml:space="preserve">UPC Number</w:t>
            </w:r>
          </w:p>
        </w:tc>
        <w:tc>
          <w:tcPr/>
          <w:p>
            <w:pPr>
              <w:pStyle w:val="Compact"/>
              <w:jc w:val="left"/>
            </w:pPr>
            <w:r>
              <w:rPr>
                <w:rStyle w:val="VerbatimChar"/>
              </w:rPr>
              <w:t xml:space="preserve">upc</w:t>
            </w:r>
          </w:p>
        </w:tc>
        <w:tc>
          <w:tcPr/>
          <w:p>
            <w:pPr>
              <w:pStyle w:val="Compact"/>
              <w:jc w:val="left"/>
            </w:pPr>
            <w:r>
              <w:t xml:space="preserve">✅</w:t>
            </w:r>
          </w:p>
        </w:tc>
      </w:tr>
      <w:tr>
        <w:tc>
          <w:tcPr/>
          <w:p>
            <w:pPr>
              <w:pStyle w:val="Compact"/>
              <w:jc w:val="left"/>
            </w:pPr>
            <w:r>
              <w:t xml:space="preserve">94–102</w:t>
            </w:r>
          </w:p>
        </w:tc>
        <w:tc>
          <w:tcPr/>
          <w:p>
            <w:pPr>
              <w:pStyle w:val="Compact"/>
              <w:jc w:val="left"/>
            </w:pPr>
            <w:r>
              <w:t xml:space="preserve">Item Number</w:t>
            </w:r>
          </w:p>
        </w:tc>
        <w:tc>
          <w:tcPr/>
          <w:p>
            <w:pPr>
              <w:pStyle w:val="Compact"/>
              <w:jc w:val="left"/>
            </w:pPr>
            <w:r>
              <w:rPr>
                <w:rStyle w:val="VerbatimChar"/>
              </w:rPr>
              <w:t xml:space="preserve">itemNumber</w:t>
            </w:r>
          </w:p>
        </w:tc>
        <w:tc>
          <w:tcPr/>
          <w:p>
            <w:pPr>
              <w:pStyle w:val="Compact"/>
              <w:jc w:val="left"/>
            </w:pPr>
            <w:r>
              <w:t xml:space="preserve">✅</w:t>
            </w:r>
          </w:p>
        </w:tc>
      </w:tr>
      <w:tr>
        <w:tc>
          <w:tcPr/>
          <w:p>
            <w:pPr>
              <w:pStyle w:val="Compact"/>
              <w:jc w:val="left"/>
            </w:pPr>
            <w:r>
              <w:t xml:space="preserve">103–142</w:t>
            </w:r>
          </w:p>
        </w:tc>
        <w:tc>
          <w:tcPr/>
          <w:p>
            <w:pPr>
              <w:pStyle w:val="Compact"/>
              <w:jc w:val="left"/>
            </w:pPr>
            <w:r>
              <w:t xml:space="preserve">Item Name</w:t>
            </w:r>
          </w:p>
        </w:tc>
        <w:tc>
          <w:tcPr/>
          <w:p>
            <w:pPr>
              <w:pStyle w:val="Compact"/>
              <w:jc w:val="left"/>
            </w:pPr>
            <w:r>
              <w:rPr>
                <w:rStyle w:val="VerbatimChar"/>
              </w:rPr>
              <w:t xml:space="preserve">itemDescription</w:t>
            </w:r>
          </w:p>
        </w:tc>
        <w:tc>
          <w:tcPr/>
          <w:p>
            <w:pPr>
              <w:pStyle w:val="Compact"/>
              <w:jc w:val="left"/>
            </w:pPr>
            <w:r>
              <w:t xml:space="preserve">✅ Walmart/Costco docs incorrectly label this</w:t>
            </w:r>
            <w:r>
              <w:t xml:space="preserve"> </w:t>
            </w:r>
            <w:r>
              <w:t xml:space="preserve">“</w:t>
            </w:r>
            <w:r>
              <w:t xml:space="preserve">Unused</w:t>
            </w:r>
            <w:r>
              <w:t xml:space="preserve">”</w:t>
            </w:r>
            <w:r>
              <w:t xml:space="preserve"> </w:t>
            </w:r>
            <w:r>
              <w:t xml:space="preserve">— corrected via the Pitco doc, which names it correctly, and confirmed against real populated data</w:t>
            </w:r>
          </w:p>
        </w:tc>
      </w:tr>
      <w:tr>
        <w:tc>
          <w:tcPr/>
          <w:p>
            <w:pPr>
              <w:pStyle w:val="Compact"/>
              <w:jc w:val="left"/>
            </w:pPr>
            <w:r>
              <w:t xml:space="preserve">143–152</w:t>
            </w:r>
          </w:p>
        </w:tc>
        <w:tc>
          <w:tcPr/>
          <w:p>
            <w:pPr>
              <w:pStyle w:val="Compact"/>
              <w:jc w:val="left"/>
            </w:pPr>
            <w:r>
              <w:t xml:space="preserve">Size</w:t>
            </w:r>
          </w:p>
        </w:tc>
        <w:tc>
          <w:tcPr/>
          <w:p>
            <w:pPr>
              <w:pStyle w:val="Compact"/>
              <w:jc w:val="left"/>
            </w:pPr>
            <w:r>
              <w:rPr>
                <w:rStyle w:val="VerbatimChar"/>
              </w:rPr>
              <w:t xml:space="preserve">size</w:t>
            </w:r>
          </w:p>
        </w:tc>
        <w:tc>
          <w:tcPr/>
          <w:p>
            <w:pPr>
              <w:pStyle w:val="Compact"/>
              <w:jc w:val="left"/>
            </w:pPr>
            <w:r>
              <w:t xml:space="preserve">✅ Same</w:t>
            </w:r>
            <w:r>
              <w:t xml:space="preserve"> </w:t>
            </w:r>
            <w:r>
              <w:t xml:space="preserve">“</w:t>
            </w:r>
            <w:r>
              <w:t xml:space="preserve">Unused</w:t>
            </w:r>
            <w:r>
              <w:t xml:space="preserve">”</w:t>
            </w:r>
            <w:r>
              <w:t xml:space="preserve"> </w:t>
            </w:r>
            <w:r>
              <w:t xml:space="preserve">correction as above</w:t>
            </w:r>
          </w:p>
        </w:tc>
      </w:tr>
      <w:tr>
        <w:tc>
          <w:tcPr/>
          <w:p>
            <w:pPr>
              <w:pStyle w:val="Compact"/>
              <w:jc w:val="left"/>
            </w:pPr>
            <w:r>
              <w:t xml:space="preserve">153–159</w:t>
            </w:r>
          </w:p>
        </w:tc>
        <w:tc>
          <w:tcPr/>
          <w:p>
            <w:pPr>
              <w:pStyle w:val="Compact"/>
              <w:jc w:val="left"/>
            </w:pPr>
            <w:r>
              <w:t xml:space="preserve">Quantity Ordered</w:t>
            </w:r>
          </w:p>
        </w:tc>
        <w:tc>
          <w:tcPr/>
          <w:p>
            <w:pPr>
              <w:pStyle w:val="Compact"/>
              <w:jc w:val="left"/>
            </w:pPr>
            <w:r>
              <w:rPr>
                <w:rStyle w:val="VerbatimChar"/>
              </w:rPr>
              <w:t xml:space="preserve">quantityOrdered</w:t>
            </w:r>
          </w:p>
        </w:tc>
        <w:tc>
          <w:tcPr/>
          <w:p>
            <w:pPr>
              <w:pStyle w:val="Compact"/>
              <w:jc w:val="left"/>
            </w:pPr>
            <w:r>
              <w:t xml:space="preserve">✅</w:t>
            </w:r>
          </w:p>
        </w:tc>
      </w:tr>
    </w:tbl>
    <w:p>
      <w:pPr>
        <w:pStyle w:val="BodyText"/>
      </w:pPr>
      <w:r>
        <w:rPr>
          <w:bCs/>
          <w:b/>
        </w:rPr>
        <w:t xml:space="preserve">Order-level grouping:</w:t>
      </w:r>
      <w:r>
        <w:t xml:space="preserve"> </w:t>
      </w:r>
      <w:r>
        <w:t xml:space="preserve">individual lines in this format are line-items only, not complete orders.</w:t>
      </w:r>
      <w:r>
        <w:t xml:space="preserve"> </w:t>
      </w:r>
      <w:r>
        <w:rPr>
          <w:rStyle w:val="VerbatimChar"/>
        </w:rPr>
        <w:t xml:space="preserve">parse_pcg_fixed.py</w:t>
      </w:r>
      <w:r>
        <w:t xml:space="preserve"> </w:t>
      </w:r>
      <w:r>
        <w:t xml:space="preserve">groups lines into orders by matching</w:t>
      </w:r>
      <w:r>
        <w:t xml:space="preserve"> </w:t>
      </w:r>
      <w:r>
        <w:rPr>
          <w:rStyle w:val="VerbatimChar"/>
        </w:rPr>
        <w:t xml:space="preserve">(purchaseOrderNumber, storeNumber)</w:t>
      </w:r>
      <w:r>
        <w:t xml:space="preserve">, producing one JSON object per order with a</w:t>
      </w:r>
      <w:r>
        <w:t xml:space="preserve"> </w:t>
      </w:r>
      <w:r>
        <w:rPr>
          <w:rStyle w:val="VerbatimChar"/>
        </w:rPr>
        <w:t xml:space="preserve">lineItems[]</w:t>
      </w:r>
      <w:r>
        <w:t xml:space="preserve"> </w:t>
      </w:r>
      <w:r>
        <w:t xml:space="preserve">array — confirmed working correctly against real multi-line orders in the sample batch.</w:t>
      </w:r>
    </w:p>
    <w:p>
      <w:r>
        <w:pict>
          <v:rect style="width:0;height:1.5pt" o:hralign="center" o:hrstd="t" o:hr="t"/>
        </w:pict>
      </w:r>
    </w:p>
    <w:bookmarkEnd w:id="41"/>
    <w:bookmarkStart w:id="42" w:name="Xb748e1cc2538b61f73eb5f173bf1f940cea6b67"/>
    <w:p>
      <w:pPr>
        <w:pStyle w:val="Heading2"/>
      </w:pPr>
      <w:r>
        <w:t xml:space="preserve">Summary of what’s genuinely confirmed vs. still a documentation-only guess</w:t>
      </w:r>
    </w:p>
    <w:p>
      <w:pPr>
        <w:pStyle w:val="FirstParagraph"/>
      </w:pPr>
      <w:r>
        <w:rPr>
          <w:bCs/>
          <w:b/>
        </w:rPr>
        <w:t xml:space="preserve">Solidly confirmed (real data, not just doc text):</w:t>
      </w:r>
      <w:r>
        <w:t xml:space="preserve"> </w:t>
      </w:r>
      <w:r>
        <w:t xml:space="preserve">Customer Name position and variability (pipe format), Store Number (fixed-width format, confirmed via three independent PCG docs), the Item Description/Size</w:t>
      </w:r>
      <w:r>
        <w:t xml:space="preserve"> </w:t>
      </w:r>
      <w:r>
        <w:t xml:space="preserve">“</w:t>
      </w:r>
      <w:r>
        <w:t xml:space="preserve">Unused</w:t>
      </w:r>
      <w:r>
        <w:t xml:space="preserve">”</w:t>
      </w:r>
      <w:r>
        <w:t xml:space="preserve"> </w:t>
      </w:r>
      <w:r>
        <w:t xml:space="preserve">doc correction, Walmart’s blank PO Number behavior, the three-tier HST/HBT fallback pattern.</w:t>
      </w:r>
    </w:p>
    <w:p>
      <w:pPr>
        <w:pStyle w:val="BodyText"/>
      </w:pPr>
      <w:r>
        <w:rPr>
          <w:bCs/>
          <w:b/>
        </w:rPr>
        <w:t xml:space="preserve">Still only as strong as the original layout doc’s own wording</w:t>
      </w:r>
      <w:r>
        <w:t xml:space="preserve"> </w:t>
      </w:r>
      <w:r>
        <w:t xml:space="preserve">(never independently cross-checked against an external source the way other transaction types’ fields were): most of</w:t>
      </w:r>
      <w:r>
        <w:t xml:space="preserve"> </w:t>
      </w:r>
      <w:r>
        <w:rPr>
          <w:rStyle w:val="VerbatimChar"/>
        </w:rPr>
        <w:t xml:space="preserve">LDT</w:t>
      </w:r>
      <w:r>
        <w:t xml:space="preserve">’s fields in the pipe-delimited format — vendor/customer item number distinction, UOM interpretation, and the relationship between the two description fields.</w:t>
      </w:r>
    </w:p>
    <w:p>
      <w:r>
        <w:pict>
          <v:rect style="width:0;height:1.5pt" o:hralign="center" o:hrstd="t" o:hr="t"/>
        </w:pict>
      </w:r>
    </w:p>
    <w:bookmarkEnd w:id="42"/>
    <w:bookmarkEnd w:id="43"/>
    <w:bookmarkStart w:id="50" w:name="Xf89298ffa9e1007ce7ce62a5db440ba8a8afa98"/>
    <w:p>
      <w:pPr>
        <w:pStyle w:val="Heading1"/>
      </w:pPr>
      <w:r>
        <w:t xml:space="preserve">Part 2: Mapping to Orderful’s Real Target Schema</w:t>
      </w:r>
    </w:p>
    <w:p>
      <w:pPr>
        <w:pStyle w:val="FirstParagraph"/>
      </w:pPr>
      <w:r>
        <w:t xml:space="preserve">Status legend: ✅ Confirmed  |  🟡 Working guess  |  ❓ Unresolved</w:t>
      </w:r>
    </w:p>
    <w:p>
      <w:pPr>
        <w:pStyle w:val="BodyText"/>
      </w:pPr>
      <w:r>
        <w:t xml:space="preserve">Schema confirmed:</w:t>
      </w:r>
      <w:r>
        <w:t xml:space="preserve"> </w:t>
      </w:r>
      <w:r>
        <w:rPr>
          <w:rStyle w:val="VerbatimChar"/>
        </w:rPr>
        <w:t xml:space="preserve">https://api.orderful.com/v3/simplified-schemas/PURCHASE_ORDER</w:t>
      </w:r>
      <w:r>
        <w:t xml:space="preserve">, title</w:t>
      </w:r>
      <w:r>
        <w:t xml:space="preserve"> </w:t>
      </w:r>
      <w:r>
        <w:t xml:space="preserve">“</w:t>
      </w:r>
      <w:r>
        <w:t xml:space="preserve">Simplified Purchase Order.</w:t>
      </w:r>
      <w:r>
        <w:t xml:space="preserve">”</w:t>
      </w:r>
      <w:r>
        <w:t xml:space="preserve"> </w:t>
      </w:r>
      <w:r>
        <w:t xml:space="preserve">This document pairs everything confirmed on the source side (</w:t>
      </w:r>
      <w:r>
        <w:rPr>
          <w:rStyle w:val="VerbatimChar"/>
        </w:rPr>
        <w:t xml:space="preserve">mapping_template_850.md</w:t>
      </w:r>
      <w:r>
        <w:t xml:space="preserve">) against this real target schema — not guessed field names.</w:t>
      </w:r>
    </w:p>
    <w:p>
      <w:r>
        <w:pict>
          <v:rect style="width:0;height:1.5pt" o:hralign="center" o:hrstd="t" o:hr="t"/>
        </w:pict>
      </w:r>
    </w:p>
    <w:bookmarkStart w:id="44" w:name="Xc6b7f235003e39f739dff39614304d8208933e4"/>
    <w:p>
      <w:pPr>
        <w:pStyle w:val="Heading2"/>
      </w:pPr>
      <w:r>
        <w:t xml:space="preserve">Parties — every real party role found across all raw EDI examples has a direct, confirmed home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(real raw EDI, X12</w:t>
            </w:r>
            <w:r>
              <w:t xml:space="preserve"> </w:t>
            </w:r>
            <w:r>
              <w:rPr>
                <w:rStyle w:val="VerbatimChar"/>
              </w:rPr>
              <w:t xml:space="preserve">entityIdentifierCode</w:t>
            </w:r>
            <w:r>
              <w:t xml:space="preserve">)</w:t>
            </w:r>
          </w:p>
        </w:tc>
        <w:tc>
          <w:tcPr/>
          <w:p>
            <w:pPr>
              <w:pStyle w:val="Compact"/>
              <w:jc w:val="left"/>
            </w:pPr>
            <w:r>
              <w:t xml:space="preserve">Target field</w:t>
            </w:r>
          </w:p>
        </w:tc>
        <w:tc>
          <w:tcPr/>
          <w:p>
            <w:pPr>
              <w:pStyle w:val="Compact"/>
              <w:jc w:val="left"/>
            </w:pPr>
            <w:r>
              <w:t xml:space="preserve">Confirmed via</w:t>
            </w:r>
          </w:p>
        </w:tc>
      </w:tr>
      <w:tr>
        <w:tc>
          <w:tcPr/>
          <w:p>
            <w:pPr>
              <w:pStyle w:val="Compact"/>
              <w:jc w:val="left"/>
            </w:pPr>
            <w:r>
              <w:rPr>
                <w:rStyle w:val="VerbatimChar"/>
              </w:rPr>
              <w:t xml:space="preserve">BY</w:t>
            </w:r>
            <w:r>
              <w:t xml:space="preserve"> </w:t>
            </w:r>
            <w:r>
              <w:t xml:space="preserve">(Sam’s Club)</w:t>
            </w:r>
          </w:p>
        </w:tc>
        <w:tc>
          <w:tcPr/>
          <w:p>
            <w:pPr>
              <w:pStyle w:val="Compact"/>
              <w:jc w:val="left"/>
            </w:pPr>
            <w:r>
              <w:rPr>
                <w:rStyle w:val="VerbatimChar"/>
              </w:rPr>
              <w:t xml:space="preserve">parties.buyer</w:t>
            </w:r>
          </w:p>
        </w:tc>
        <w:tc>
          <w:tcPr/>
          <w:p>
            <w:pPr>
              <w:pStyle w:val="Compact"/>
              <w:jc w:val="left"/>
            </w:pPr>
            <w:r>
              <w:t xml:space="preserve">Exact match in schema</w:t>
            </w:r>
          </w:p>
        </w:tc>
      </w:tr>
      <w:tr>
        <w:tc>
          <w:tcPr/>
          <w:p>
            <w:pPr>
              <w:pStyle w:val="Compact"/>
              <w:jc w:val="left"/>
            </w:pPr>
            <w:r>
              <w:rPr>
                <w:rStyle w:val="VerbatimChar"/>
              </w:rPr>
              <w:t xml:space="preserve">ST</w:t>
            </w:r>
            <w:r>
              <w:t xml:space="preserve"> </w:t>
            </w:r>
            <w:r>
              <w:t xml:space="preserve">(every partner)</w:t>
            </w:r>
          </w:p>
        </w:tc>
        <w:tc>
          <w:tcPr/>
          <w:p>
            <w:pPr>
              <w:pStyle w:val="Compact"/>
              <w:jc w:val="left"/>
            </w:pPr>
            <w:r>
              <w:rPr>
                <w:rStyle w:val="VerbatimChar"/>
              </w:rPr>
              <w:t xml:space="preserve">parties.shipTo</w:t>
            </w:r>
          </w:p>
        </w:tc>
        <w:tc>
          <w:tcPr/>
          <w:p>
            <w:pPr>
              <w:pStyle w:val="Compact"/>
              <w:jc w:val="left"/>
            </w:pPr>
            <w:r>
              <w:t xml:space="preserve">Exact match</w:t>
            </w:r>
          </w:p>
        </w:tc>
      </w:tr>
      <w:tr>
        <w:tc>
          <w:tcPr/>
          <w:p>
            <w:pPr>
              <w:pStyle w:val="Compact"/>
              <w:jc w:val="left"/>
            </w:pPr>
            <w:r>
              <w:rPr>
                <w:rStyle w:val="VerbatimChar"/>
              </w:rPr>
              <w:t xml:space="preserve">BT</w:t>
            </w:r>
            <w:r>
              <w:t xml:space="preserve"> </w:t>
            </w:r>
            <w:r>
              <w:t xml:space="preserve">(Kroger, Save Mart)</w:t>
            </w:r>
          </w:p>
        </w:tc>
        <w:tc>
          <w:tcPr/>
          <w:p>
            <w:pPr>
              <w:pStyle w:val="Compact"/>
              <w:jc w:val="left"/>
            </w:pPr>
            <w:r>
              <w:rPr>
                <w:rStyle w:val="VerbatimChar"/>
              </w:rPr>
              <w:t xml:space="preserve">parties.billTo</w:t>
            </w:r>
          </w:p>
        </w:tc>
        <w:tc>
          <w:tcPr/>
          <w:p>
            <w:pPr>
              <w:pStyle w:val="Compact"/>
              <w:jc w:val="left"/>
            </w:pPr>
            <w:r>
              <w:t xml:space="preserve">Exact match</w:t>
            </w:r>
          </w:p>
        </w:tc>
      </w:tr>
      <w:tr>
        <w:tc>
          <w:tcPr/>
          <w:p>
            <w:pPr>
              <w:pStyle w:val="Compact"/>
              <w:jc w:val="left"/>
            </w:pPr>
            <w:r>
              <w:rPr>
                <w:rStyle w:val="VerbatimChar"/>
              </w:rPr>
              <w:t xml:space="preserve">SF</w:t>
            </w:r>
            <w:r>
              <w:t xml:space="preserve"> </w:t>
            </w:r>
            <w:r>
              <w:t xml:space="preserve">(Dollar General)</w:t>
            </w:r>
          </w:p>
        </w:tc>
        <w:tc>
          <w:tcPr/>
          <w:p>
            <w:pPr>
              <w:pStyle w:val="Compact"/>
              <w:jc w:val="left"/>
            </w:pPr>
            <w:r>
              <w:rPr>
                <w:rStyle w:val="VerbatimChar"/>
              </w:rPr>
              <w:t xml:space="preserve">parties.shipFrom</w:t>
            </w:r>
          </w:p>
        </w:tc>
        <w:tc>
          <w:tcPr/>
          <w:p>
            <w:pPr>
              <w:pStyle w:val="Compact"/>
              <w:jc w:val="left"/>
            </w:pPr>
            <w:r>
              <w:t xml:space="preserve">Exact match (schema also allows</w:t>
            </w:r>
            <w:r>
              <w:t xml:space="preserve"> </w:t>
            </w:r>
            <w:r>
              <w:rPr>
                <w:rStyle w:val="VerbatimChar"/>
              </w:rPr>
              <w:t xml:space="preserve">PW</w:t>
            </w:r>
            <w:r>
              <w:t xml:space="preserve">, not yet seen in real data)</w:t>
            </w:r>
          </w:p>
        </w:tc>
      </w:tr>
      <w:tr>
        <w:tc>
          <w:tcPr/>
          <w:p>
            <w:pPr>
              <w:pStyle w:val="Compact"/>
              <w:jc w:val="left"/>
            </w:pPr>
            <w:r>
              <w:rPr>
                <w:rStyle w:val="VerbatimChar"/>
              </w:rPr>
              <w:t xml:space="preserve">SU</w:t>
            </w:r>
            <w:r>
              <w:t xml:space="preserve"> </w:t>
            </w:r>
            <w:r>
              <w:t xml:space="preserve">(Umpqua),</w:t>
            </w:r>
            <w:r>
              <w:t xml:space="preserve"> </w:t>
            </w:r>
            <w:r>
              <w:rPr>
                <w:rStyle w:val="VerbatimChar"/>
              </w:rPr>
              <w:t xml:space="preserve">VN</w:t>
            </w:r>
            <w:r>
              <w:t xml:space="preserve"> </w:t>
            </w:r>
            <w:r>
              <w:t xml:space="preserve">(Kroger)</w:t>
            </w:r>
          </w:p>
        </w:tc>
        <w:tc>
          <w:tcPr/>
          <w:p>
            <w:pPr>
              <w:pStyle w:val="Compact"/>
              <w:jc w:val="left"/>
            </w:pPr>
            <w:r>
              <w:rPr>
                <w:rStyle w:val="VerbatimChar"/>
              </w:rPr>
              <w:t xml:space="preserve">parties.supplier</w:t>
            </w:r>
          </w:p>
        </w:tc>
        <w:tc>
          <w:tcPr/>
          <w:p>
            <w:pPr>
              <w:pStyle w:val="Compact"/>
              <w:jc w:val="left"/>
            </w:pPr>
            <w:r>
              <w:rPr>
                <w:bCs/>
                <w:b/>
              </w:rPr>
              <w:t xml:space="preserve">Both route to the same field</w:t>
            </w:r>
            <w:r>
              <w:t xml:space="preserve"> </w:t>
            </w:r>
            <w:r>
              <w:t xml:space="preserve">— the distinction drawn earlier between these two roles wasn’t necessary; Orderful treats them identically</w:t>
            </w:r>
          </w:p>
        </w:tc>
      </w:tr>
      <w:tr>
        <w:tc>
          <w:tcPr/>
          <w:p>
            <w:pPr>
              <w:pStyle w:val="Compact"/>
              <w:jc w:val="left"/>
            </w:pPr>
            <w:r>
              <w:rPr>
                <w:rStyle w:val="VerbatimChar"/>
              </w:rPr>
              <w:t xml:space="preserve">SN</w:t>
            </w:r>
            <w:r>
              <w:t xml:space="preserve"> </w:t>
            </w:r>
            <w:r>
              <w:t xml:space="preserve">(Kroger)</w:t>
            </w:r>
          </w:p>
        </w:tc>
        <w:tc>
          <w:tcPr/>
          <w:p>
            <w:pPr>
              <w:pStyle w:val="Compact"/>
              <w:jc w:val="left"/>
            </w:pPr>
            <w:r>
              <w:rPr>
                <w:rStyle w:val="VerbatimChar"/>
              </w:rPr>
              <w:t xml:space="preserve">parties.store</w:t>
            </w:r>
          </w:p>
        </w:tc>
        <w:tc>
          <w:tcPr/>
          <w:p>
            <w:pPr>
              <w:pStyle w:val="Compact"/>
              <w:jc w:val="left"/>
            </w:pPr>
            <w:r>
              <w:rPr>
                <w:bCs/>
                <w:b/>
              </w:rPr>
              <w:t xml:space="preserve">Resolves an earlier unconfirmed guess</w:t>
            </w:r>
            <w:r>
              <w:t xml:space="preserve"> </w:t>
            </w:r>
            <w:r>
              <w:t xml:space="preserve">— previously flagged as</w:t>
            </w:r>
            <w:r>
              <w:t xml:space="preserve"> </w:t>
            </w:r>
            <w:r>
              <w:t xml:space="preserve">“</w:t>
            </w:r>
            <w:r>
              <w:t xml:space="preserve">possibly Ship Notify, unconfirmed.</w:t>
            </w:r>
            <w:r>
              <w:t xml:space="preserve">”</w:t>
            </w:r>
            <w:r>
              <w:t xml:space="preserve"> </w:t>
            </w:r>
            <w:r>
              <w:t xml:space="preserve">Confirmed as a genuine, distinct</w:t>
            </w:r>
            <w:r>
              <w:t xml:space="preserve"> </w:t>
            </w:r>
            <w:r>
              <w:rPr>
                <w:rStyle w:val="VerbatimChar"/>
              </w:rPr>
              <w:t xml:space="preserve">store</w:t>
            </w:r>
            <w:r>
              <w:t xml:space="preserve"> </w:t>
            </w:r>
            <w:r>
              <w:t xml:space="preserve">party.</w:t>
            </w:r>
          </w:p>
        </w:tc>
      </w:tr>
    </w:tbl>
    <w:p>
      <w:pPr>
        <w:pStyle w:val="BodyText"/>
      </w:pPr>
      <w:r>
        <w:rPr>
          <w:bCs/>
          <w:b/>
        </w:rPr>
        <w:t xml:space="preserve">Not yet seen in any real data, but confirmed to exist in the schema:</w:t>
      </w:r>
      <w:r>
        <w:t xml:space="preserve"> </w:t>
      </w:r>
      <w:r>
        <w:t xml:space="preserve">-</w:t>
      </w:r>
      <w:r>
        <w:t xml:space="preserve"> </w:t>
      </w:r>
      <w:r>
        <w:rPr>
          <w:rStyle w:val="VerbatimChar"/>
        </w:rPr>
        <w:t xml:space="preserve">parties.manufacturingPlant</w:t>
      </w:r>
      <w:r>
        <w:t xml:space="preserve"> </w:t>
      </w:r>
      <w:r>
        <w:t xml:space="preserve">(</w:t>
      </w:r>
      <w:r>
        <w:rPr>
          <w:rStyle w:val="VerbatimChar"/>
        </w:rPr>
        <w:t xml:space="preserve">entityIdentifierCode=MP</w:t>
      </w:r>
      <w:r>
        <w:t xml:space="preserve">) — if</w:t>
      </w:r>
      <w:r>
        <w:t xml:space="preserve"> </w:t>
      </w:r>
      <w:r>
        <w:t xml:space="preserve">“</w:t>
      </w:r>
      <w:r>
        <w:t xml:space="preserve">which plant</w:t>
      </w:r>
      <w:r>
        <w:t xml:space="preserve">”</w:t>
      </w:r>
      <w:r>
        <w:t xml:space="preserve"> </w:t>
      </w:r>
      <w:r>
        <w:t xml:space="preserve">data ever appears in a real inbound PO, this is where it belongs. Never observed in any example so far.</w:t>
      </w:r>
      <w:r>
        <w:t xml:space="preserve"> </w:t>
      </w:r>
      <w:r>
        <w:t xml:space="preserve">-</w:t>
      </w:r>
      <w:r>
        <w:t xml:space="preserve"> </w:t>
      </w:r>
      <w:r>
        <w:rPr>
          <w:rStyle w:val="VerbatimChar"/>
        </w:rPr>
        <w:t xml:space="preserve">parties.markFor</w:t>
      </w:r>
      <w:r>
        <w:t xml:space="preserve"> </w:t>
      </w:r>
      <w:r>
        <w:t xml:space="preserve">(</w:t>
      </w:r>
      <w:r>
        <w:rPr>
          <w:rStyle w:val="VerbatimChar"/>
        </w:rPr>
        <w:t xml:space="preserve">Z</w:t>
      </w:r>
      <w:r>
        <w:t xml:space="preserve">),</w:t>
      </w:r>
      <w:r>
        <w:t xml:space="preserve"> </w:t>
      </w:r>
      <w:r>
        <w:rPr>
          <w:rStyle w:val="VerbatimChar"/>
        </w:rPr>
        <w:t xml:space="preserve">agent</w:t>
      </w:r>
      <w:r>
        <w:t xml:space="preserve"> </w:t>
      </w:r>
      <w:r>
        <w:t xml:space="preserve">(</w:t>
      </w:r>
      <w:r>
        <w:rPr>
          <w:rStyle w:val="VerbatimChar"/>
        </w:rPr>
        <w:t xml:space="preserve">AG</w:t>
      </w:r>
      <w:r>
        <w:t xml:space="preserve">,</w:t>
      </w:r>
      <w:r>
        <w:rPr>
          <w:rStyle w:val="VerbatimChar"/>
        </w:rPr>
        <w:t xml:space="preserve">BO</w:t>
      </w:r>
      <w:r>
        <w:t xml:space="preserve">),</w:t>
      </w:r>
      <w:r>
        <w:t xml:space="preserve"> </w:t>
      </w:r>
      <w:r>
        <w:rPr>
          <w:rStyle w:val="VerbatimChar"/>
        </w:rPr>
        <w:t xml:space="preserve">consolidator</w:t>
      </w:r>
      <w:r>
        <w:t xml:space="preserve"> </w:t>
      </w:r>
      <w:r>
        <w:t xml:space="preserve">(</w:t>
      </w:r>
      <w:r>
        <w:rPr>
          <w:rStyle w:val="VerbatimChar"/>
        </w:rPr>
        <w:t xml:space="preserve">CS</w:t>
      </w:r>
      <w:r>
        <w:t xml:space="preserve">),</w:t>
      </w:r>
      <w:r>
        <w:t xml:space="preserve"> </w:t>
      </w:r>
      <w:r>
        <w:rPr>
          <w:rStyle w:val="VerbatimChar"/>
        </w:rPr>
        <w:t xml:space="preserve">returnTo</w:t>
      </w:r>
      <w:r>
        <w:t xml:space="preserve"> </w:t>
      </w:r>
      <w:r>
        <w:t xml:space="preserve">(</w:t>
      </w:r>
      <w:r>
        <w:rPr>
          <w:rStyle w:val="VerbatimChar"/>
        </w:rPr>
        <w:t xml:space="preserve">RT</w:t>
      </w:r>
      <w:r>
        <w:t xml:space="preserve">),</w:t>
      </w:r>
      <w:r>
        <w:t xml:space="preserve"> </w:t>
      </w:r>
      <w:r>
        <w:rPr>
          <w:rStyle w:val="VerbatimChar"/>
        </w:rPr>
        <w:t xml:space="preserve">accountsPayable</w:t>
      </w:r>
      <w:r>
        <w:t xml:space="preserve"> </w:t>
      </w:r>
      <w:r>
        <w:t xml:space="preserve">(</w:t>
      </w:r>
      <w:r>
        <w:rPr>
          <w:rStyle w:val="VerbatimChar"/>
        </w:rPr>
        <w:t xml:space="preserve">PO</w:t>
      </w:r>
      <w:r>
        <w:t xml:space="preserve">),</w:t>
      </w:r>
      <w:r>
        <w:t xml:space="preserve"> </w:t>
      </w:r>
      <w:r>
        <w:rPr>
          <w:rStyle w:val="VerbatimChar"/>
        </w:rPr>
        <w:t xml:space="preserve">accountsReceivable</w:t>
      </w:r>
      <w:r>
        <w:t xml:space="preserve"> </w:t>
      </w:r>
      <w:r>
        <w:t xml:space="preserve">(</w:t>
      </w:r>
      <w:r>
        <w:rPr>
          <w:rStyle w:val="VerbatimChar"/>
        </w:rPr>
        <w:t xml:space="preserve">RI</w:t>
      </w:r>
      <w:r>
        <w:t xml:space="preserve">),</w:t>
      </w:r>
      <w:r>
        <w:t xml:space="preserve"> </w:t>
      </w:r>
      <w:r>
        <w:rPr>
          <w:rStyle w:val="VerbatimChar"/>
        </w:rPr>
        <w:t xml:space="preserve">soldTo</w:t>
      </w:r>
      <w:r>
        <w:t xml:space="preserve"> </w:t>
      </w:r>
      <w:r>
        <w:t xml:space="preserve">(</w:t>
      </w:r>
      <w:r>
        <w:rPr>
          <w:rStyle w:val="VerbatimChar"/>
        </w:rPr>
        <w:t xml:space="preserve">SO</w:t>
      </w:r>
      <w:r>
        <w:t xml:space="preserve">) — none observed in real data yet.</w:t>
      </w:r>
    </w:p>
    <w:p>
      <w:r>
        <w:pict>
          <v:rect style="width:0;height:1.5pt" o:hralign="center" o:hrstd="t" o:hr="t"/>
        </w:pict>
      </w:r>
    </w:p>
    <w:bookmarkEnd w:id="44"/>
    <w:bookmarkStart w:id="45" w:name="Xb41eba3cc23a30c1aedd91995a6c4b91ad94d89"/>
    <w:p>
      <w:pPr>
        <w:pStyle w:val="Heading2"/>
      </w:pPr>
      <w:r>
        <w:t xml:space="preserve">🎯 Major finding: resolves the 856</w:t>
      </w:r>
      <w:r>
        <w:t xml:space="preserve"> </w:t>
      </w:r>
      <w:r>
        <w:t xml:space="preserve">“</w:t>
      </w:r>
      <w:r>
        <w:t xml:space="preserve">Pallet Blocks</w:t>
      </w:r>
      <w:r>
        <w:t xml:space="preserve">”</w:t>
      </w:r>
      <w:r>
        <w:t xml:space="preserve"> </w:t>
      </w:r>
      <w:r>
        <w:t xml:space="preserve">/</w:t>
      </w:r>
      <w:r>
        <w:t xml:space="preserve"> </w:t>
      </w:r>
      <w:r>
        <w:t xml:space="preserve">“</w:t>
      </w:r>
      <w:r>
        <w:t xml:space="preserve">Pallet Tier</w:t>
      </w:r>
      <w:r>
        <w:t xml:space="preserve">”</w:t>
      </w:r>
      <w:r>
        <w:t xml:space="preserve"> </w:t>
      </w:r>
      <w:r>
        <w:t xml:space="preserve">question from months ago</w:t>
      </w:r>
    </w:p>
    <w:p>
      <w:pPr>
        <w:pStyle w:val="FirstParagraph"/>
      </w:pPr>
      <w:r>
        <w:t xml:space="preserve">This schema’s</w:t>
      </w:r>
      <w:r>
        <w:t xml:space="preserve"> </w:t>
      </w:r>
      <w:r>
        <w:rPr>
          <w:rStyle w:val="VerbatimChar"/>
        </w:rPr>
        <w:t xml:space="preserve">lineItems.palletConfiguration</w:t>
      </w:r>
      <w:r>
        <w:t xml:space="preserve"> </w:t>
      </w:r>
      <w:r>
        <w:t xml:space="preserve">object gives the exact X12 element names your EDI consultant was asking about during the 856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Meaning</w:t>
            </w:r>
          </w:p>
        </w:tc>
        <w:tc>
          <w:tcPr/>
          <w:p>
            <w:pPr>
              <w:pStyle w:val="Compact"/>
              <w:jc w:val="left"/>
            </w:pPr>
            <w:r>
              <w:t xml:space="preserve">X12 source</w:t>
            </w:r>
          </w:p>
        </w:tc>
      </w:tr>
      <w:tr>
        <w:tc>
          <w:tcPr/>
          <w:p>
            <w:pPr>
              <w:pStyle w:val="Compact"/>
              <w:jc w:val="left"/>
            </w:pPr>
            <w:r>
              <w:rPr>
                <w:rStyle w:val="VerbatimChar"/>
              </w:rPr>
              <w:t xml:space="preserve">cartonsPerLayer</w:t>
            </w:r>
          </w:p>
        </w:tc>
        <w:tc>
          <w:tcPr/>
          <w:p>
            <w:pPr>
              <w:pStyle w:val="Compact"/>
              <w:jc w:val="left"/>
            </w:pPr>
            <w:r>
              <w:t xml:space="preserve">Number of cartons per layer on the pallet</w:t>
            </w:r>
          </w:p>
        </w:tc>
        <w:tc>
          <w:tcPr/>
          <w:p>
            <w:pPr>
              <w:pStyle w:val="Compact"/>
              <w:jc w:val="left"/>
            </w:pPr>
            <w:r>
              <w:rPr>
                <w:rStyle w:val="VerbatimChar"/>
              </w:rPr>
              <w:t xml:space="preserve">palletTypeAndLoadCharacteristics.palletBlocks</w:t>
            </w:r>
          </w:p>
        </w:tc>
      </w:tr>
      <w:tr>
        <w:tc>
          <w:tcPr/>
          <w:p>
            <w:pPr>
              <w:pStyle w:val="Compact"/>
              <w:jc w:val="left"/>
            </w:pPr>
            <w:r>
              <w:rPr>
                <w:rStyle w:val="VerbatimChar"/>
              </w:rPr>
              <w:t xml:space="preserve">layersPerPallet</w:t>
            </w:r>
          </w:p>
        </w:tc>
        <w:tc>
          <w:tcPr/>
          <w:p>
            <w:pPr>
              <w:pStyle w:val="Compact"/>
              <w:jc w:val="left"/>
            </w:pPr>
            <w:r>
              <w:t xml:space="preserve">Number of layers stacked on the pallet</w:t>
            </w:r>
          </w:p>
        </w:tc>
        <w:tc>
          <w:tcPr/>
          <w:p>
            <w:pPr>
              <w:pStyle w:val="Compact"/>
              <w:jc w:val="left"/>
            </w:pPr>
            <w:r>
              <w:rPr>
                <w:rStyle w:val="VerbatimChar"/>
              </w:rPr>
              <w:t xml:space="preserve">palletTypeAndLoadCharacteristics.palletTiers</w:t>
            </w:r>
          </w:p>
        </w:tc>
      </w:tr>
    </w:tbl>
    <w:p>
      <w:pPr>
        <w:pStyle w:val="BodyText"/>
      </w:pPr>
      <w:r>
        <w:rPr>
          <w:bCs/>
          <w:b/>
        </w:rPr>
        <w:t xml:space="preserve">“</w:t>
      </w:r>
      <w:r>
        <w:rPr>
          <w:bCs/>
          <w:b/>
        </w:rPr>
        <w:t xml:space="preserve">Pallet Blocks</w:t>
      </w:r>
      <w:r>
        <w:rPr>
          <w:bCs/>
          <w:b/>
        </w:rPr>
        <w:t xml:space="preserve">”</w:t>
      </w:r>
      <w:r>
        <w:rPr>
          <w:bCs/>
          <w:b/>
        </w:rPr>
        <w:t xml:space="preserve"> </w:t>
      </w:r>
      <w:r>
        <w:rPr>
          <w:bCs/>
          <w:b/>
        </w:rPr>
        <w:t xml:space="preserve">= cartons-per-layer.</w:t>
      </w:r>
      <w:r>
        <w:rPr>
          <w:bCs/>
          <w:b/>
        </w:rPr>
        <w:t xml:space="preserve"> </w:t>
      </w:r>
      <w:r>
        <w:rPr>
          <w:bCs/>
          <w:b/>
        </w:rPr>
        <w:t xml:space="preserve">“</w:t>
      </w:r>
      <w:r>
        <w:rPr>
          <w:bCs/>
          <w:b/>
        </w:rPr>
        <w:t xml:space="preserve">Pallet Tier</w:t>
      </w:r>
      <w:r>
        <w:rPr>
          <w:bCs/>
          <w:b/>
        </w:rPr>
        <w:t xml:space="preserve">”</w:t>
      </w:r>
      <w:r>
        <w:rPr>
          <w:bCs/>
          <w:b/>
        </w:rPr>
        <w:t xml:space="preserve"> </w:t>
      </w:r>
      <w:r>
        <w:rPr>
          <w:bCs/>
          <w:b/>
        </w:rPr>
        <w:t xml:space="preserve">= layers-per-pallet.</w:t>
      </w:r>
      <w:r>
        <w:t xml:space="preserve"> </w:t>
      </w:r>
      <w:r>
        <w:t xml:space="preserve">This came from the 850 schema, not 856’s — but it’s the same underlying X12 concept (</w:t>
      </w:r>
      <w:r>
        <w:rPr>
          <w:rStyle w:val="VerbatimChar"/>
        </w:rPr>
        <w:t xml:space="preserve">PO1_loop.palletTypeAndLoadCharacteristics</w:t>
      </w:r>
      <w:r>
        <w:t xml:space="preserve">), and resolves a question that was left open in a completely different part of this project.</w:t>
      </w:r>
    </w:p>
    <w:p>
      <w:r>
        <w:pict>
          <v:rect style="width:0;height:1.5pt" o:hralign="center" o:hrstd="t" o:hr="t"/>
        </w:pict>
      </w:r>
    </w:p>
    <w:bookmarkEnd w:id="45"/>
    <w:bookmarkStart w:id="46" w:name="X0d86fdf4706dd49f866527d87491dbe03c495fd"/>
    <w:p>
      <w:pPr>
        <w:pStyle w:val="Heading2"/>
      </w:pPr>
      <w:r>
        <w:t xml:space="preserve">Dates — three qualifiers already confirmed against real</w:t>
      </w:r>
      <w:r>
        <w:t xml:space="preserve"> </w:t>
      </w:r>
      <w:r>
        <w:rPr>
          <w:rStyle w:val="VerbatimChar"/>
        </w:rPr>
        <w:t xml:space="preserve">DTM</w:t>
      </w:r>
      <w:r>
        <w:t xml:space="preserve"> </w:t>
      </w:r>
      <w:r>
        <w:t xml:space="preserve">segments we’d previously collected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Real</w:t>
            </w:r>
            <w:r>
              <w:t xml:space="preserve"> </w:t>
            </w:r>
            <w:r>
              <w:rPr>
                <w:rStyle w:val="VerbatimChar"/>
              </w:rPr>
              <w:t xml:space="preserve">DTM</w:t>
            </w:r>
            <w:r>
              <w:t xml:space="preserve"> </w:t>
            </w:r>
            <w:r>
              <w:t xml:space="preserve">qualifier seen</w:t>
            </w:r>
          </w:p>
        </w:tc>
        <w:tc>
          <w:tcPr/>
          <w:p>
            <w:pPr>
              <w:pStyle w:val="Compact"/>
              <w:jc w:val="left"/>
            </w:pPr>
            <w:r>
              <w:t xml:space="preserve">Target field</w:t>
            </w:r>
          </w:p>
        </w:tc>
        <w:tc>
          <w:tcPr/>
          <w:p>
            <w:pPr>
              <w:pStyle w:val="Compact"/>
              <w:jc w:val="left"/>
            </w:pPr>
            <w:r>
              <w:t xml:space="preserve">Confirmed via</w:t>
            </w:r>
          </w:p>
        </w:tc>
      </w:tr>
      <w:tr>
        <w:tc>
          <w:tcPr/>
          <w:p>
            <w:pPr>
              <w:pStyle w:val="Compact"/>
              <w:jc w:val="left"/>
            </w:pPr>
            <w:r>
              <w:rPr>
                <w:rStyle w:val="VerbatimChar"/>
              </w:rPr>
              <w:t xml:space="preserve">DTM*002</w:t>
            </w:r>
          </w:p>
        </w:tc>
        <w:tc>
          <w:tcPr/>
          <w:p>
            <w:pPr>
              <w:pStyle w:val="Compact"/>
              <w:jc w:val="left"/>
            </w:pPr>
            <w:r>
              <w:rPr>
                <w:rStyle w:val="VerbatimChar"/>
              </w:rPr>
              <w:t xml:space="preserve">dates.requestedDeliveryDate</w:t>
            </w:r>
          </w:p>
        </w:tc>
        <w:tc>
          <w:tcPr/>
          <w:p>
            <w:pPr>
              <w:pStyle w:val="Compact"/>
              <w:jc w:val="left"/>
            </w:pPr>
            <w:r>
              <w:t xml:space="preserve">Exact qualifier match (002 is explicitly listed)</w:t>
            </w:r>
          </w:p>
        </w:tc>
      </w:tr>
      <w:tr>
        <w:tc>
          <w:tcPr/>
          <w:p>
            <w:pPr>
              <w:pStyle w:val="Compact"/>
              <w:jc w:val="left"/>
            </w:pPr>
            <w:r>
              <w:rPr>
                <w:rStyle w:val="VerbatimChar"/>
              </w:rPr>
              <w:t xml:space="preserve">DTM*010</w:t>
            </w:r>
          </w:p>
        </w:tc>
        <w:tc>
          <w:tcPr/>
          <w:p>
            <w:pPr>
              <w:pStyle w:val="Compact"/>
              <w:jc w:val="left"/>
            </w:pPr>
            <w:r>
              <w:rPr>
                <w:rStyle w:val="VerbatimChar"/>
              </w:rPr>
              <w:t xml:space="preserve">dates.requestedShipDate</w:t>
            </w:r>
          </w:p>
        </w:tc>
        <w:tc>
          <w:tcPr/>
          <w:p>
            <w:pPr>
              <w:pStyle w:val="Compact"/>
              <w:jc w:val="left"/>
            </w:pPr>
            <w:r>
              <w:t xml:space="preserve">Exact qualifier match (010 is explicitly listed)</w:t>
            </w:r>
          </w:p>
        </w:tc>
      </w:tr>
      <w:tr>
        <w:tc>
          <w:tcPr/>
          <w:p>
            <w:pPr>
              <w:pStyle w:val="Compact"/>
              <w:jc w:val="left"/>
            </w:pPr>
            <w:r>
              <w:rPr>
                <w:rStyle w:val="VerbatimChar"/>
              </w:rPr>
              <w:t xml:space="preserve">DTM*001</w:t>
            </w:r>
          </w:p>
        </w:tc>
        <w:tc>
          <w:tcPr/>
          <w:p>
            <w:pPr>
              <w:pStyle w:val="Compact"/>
              <w:jc w:val="left"/>
            </w:pPr>
            <w:r>
              <w:rPr>
                <w:rStyle w:val="VerbatimChar"/>
              </w:rPr>
              <w:t xml:space="preserve">dates.cancelAfterDate</w:t>
            </w:r>
          </w:p>
        </w:tc>
        <w:tc>
          <w:tcPr/>
          <w:p>
            <w:pPr>
              <w:pStyle w:val="Compact"/>
              <w:jc w:val="left"/>
            </w:pPr>
            <w:r>
              <w:t xml:space="preserve">Exact qualifier match</w:t>
            </w:r>
          </w:p>
        </w:tc>
      </w:tr>
    </w:tbl>
    <w:p>
      <w:pPr>
        <w:pStyle w:val="BodyText"/>
      </w:pPr>
      <w:r>
        <w:t xml:space="preserve">❓</w:t>
      </w:r>
      <w:r>
        <w:t xml:space="preserve"> </w:t>
      </w:r>
      <w:r>
        <w:rPr>
          <w:rStyle w:val="VerbatimChar"/>
          <w:bCs/>
          <w:b/>
        </w:rPr>
        <w:t xml:space="preserve">DTM*175</w:t>
      </w:r>
      <w:r>
        <w:t xml:space="preserve"> </w:t>
      </w:r>
      <w:r>
        <w:t xml:space="preserve">(seen in both the Umpqua/Walmart-direct and Costco/SPS raw EDI)</w:t>
      </w:r>
      <w:r>
        <w:t xml:space="preserve"> </w:t>
      </w:r>
      <w:r>
        <w:rPr>
          <w:bCs/>
          <w:b/>
        </w:rPr>
        <w:t xml:space="preserve">does not match any qualifier listed for any date field in this schema.</w:t>
      </w:r>
      <w:r>
        <w:t xml:space="preserve"> </w:t>
      </w:r>
      <w:r>
        <w:t xml:space="preserve">Per the schema’s own stated instruction elsewhere (</w:t>
      </w:r>
      <w:r>
        <w:t xml:space="preserve">“</w:t>
      </w:r>
      <w:r>
        <w:t xml:space="preserve">when a partner sends a qualifier whose semantics do not match any subfield description, emit a SCHEMA GAP rather than auto-routing it</w:t>
      </w:r>
      <w:r>
        <w:t xml:space="preserve">”</w:t>
      </w:r>
      <w:r>
        <w:t xml:space="preserve">), this should be treated as a genuine gap, not force-mapped to the closest-sounding field.</w:t>
      </w:r>
    </w:p>
    <w:p>
      <w:r>
        <w:pict>
          <v:rect style="width:0;height:1.5pt" o:hralign="center" o:hrstd="t" o:hr="t"/>
        </w:pict>
      </w:r>
    </w:p>
    <w:bookmarkEnd w:id="46"/>
    <w:bookmarkStart w:id="47" w:name="Xdb029b85c1823502a7e21e1b20a581986a511b8"/>
    <w:p>
      <w:pPr>
        <w:pStyle w:val="Heading2"/>
      </w:pPr>
      <w:r>
        <w:t xml:space="preserve">Allowances / Charges — routes by indicator value, not by source tag</w:t>
      </w:r>
    </w:p>
    <w:p>
      <w:pPr>
        <w:pStyle w:val="FirstParagraph"/>
      </w:pPr>
      <w:r>
        <w:rPr>
          <w:bCs/>
          <w:b/>
        </w:rPr>
        <w:t xml:space="preserve">Important correction to how we’d been thinking about this:</w:t>
      </w:r>
      <w:r>
        <w:t xml:space="preserve"> </w:t>
      </w:r>
      <w:r>
        <w:t xml:space="preserve">the schema routes based on the X12</w:t>
      </w:r>
      <w:r>
        <w:t xml:space="preserve"> </w:t>
      </w:r>
      <w:r>
        <w:rPr>
          <w:rStyle w:val="VerbatimChar"/>
        </w:rPr>
        <w:t xml:space="preserve">allowanceOrChargeIndicatorCode</w:t>
      </w:r>
      <w:r>
        <w:t xml:space="preserve"> </w:t>
      </w:r>
      <w:r>
        <w:t xml:space="preserve">value —</w:t>
      </w:r>
      <w:r>
        <w:t xml:space="preserve"> </w:t>
      </w:r>
      <w:r>
        <w:rPr>
          <w:rStyle w:val="VerbatimChar"/>
        </w:rPr>
        <w:t xml:space="preserve">A</w:t>
      </w:r>
      <w:r>
        <w:t xml:space="preserve"> </w:t>
      </w:r>
      <w:r>
        <w:t xml:space="preserve">→</w:t>
      </w:r>
      <w:r>
        <w:t xml:space="preserve"> </w:t>
      </w:r>
      <w:r>
        <w:rPr>
          <w:rStyle w:val="VerbatimChar"/>
        </w:rPr>
        <w:t xml:space="preserve">allowances[]</w:t>
      </w:r>
      <w:r>
        <w:t xml:space="preserve">,</w:t>
      </w:r>
      <w:r>
        <w:t xml:space="preserve"> </w:t>
      </w:r>
      <w:r>
        <w:rPr>
          <w:rStyle w:val="VerbatimChar"/>
        </w:rPr>
        <w:t xml:space="preserve">C</w:t>
      </w:r>
      <w:r>
        <w:t xml:space="preserve"> </w:t>
      </w:r>
      <w:r>
        <w:t xml:space="preserve">→</w:t>
      </w:r>
      <w:r>
        <w:t xml:space="preserve"> </w:t>
      </w:r>
      <w:r>
        <w:rPr>
          <w:rStyle w:val="VerbatimChar"/>
        </w:rPr>
        <w:t xml:space="preserve">charges[]</w:t>
      </w:r>
      <w:r>
        <w:t xml:space="preserve"> </w:t>
      </w:r>
      <w:r>
        <w:t xml:space="preserve">— not based on which flat-file tag (</w:t>
      </w:r>
      <w:r>
        <w:rPr>
          <w:rStyle w:val="VerbatimChar"/>
        </w:rPr>
        <w:t xml:space="preserve">HAL</w:t>
      </w:r>
      <w:r>
        <w:t xml:space="preserve"> </w:t>
      </w:r>
      <w:r>
        <w:t xml:space="preserve">vs</w:t>
      </w:r>
      <w:r>
        <w:t xml:space="preserve"> </w:t>
      </w:r>
      <w:r>
        <w:rPr>
          <w:rStyle w:val="VerbatimChar"/>
        </w:rPr>
        <w:t xml:space="preserve">LAL</w:t>
      </w:r>
      <w:r>
        <w:t xml:space="preserve">) the record came from. It’s a coincidence (confirmed, not assumed) that</w:t>
      </w:r>
      <w:r>
        <w:t xml:space="preserve"> </w:t>
      </w:r>
      <w:r>
        <w:rPr>
          <w:rStyle w:val="VerbatimChar"/>
        </w:rPr>
        <w:t xml:space="preserve">HAL</w:t>
      </w:r>
      <w:r>
        <w:t xml:space="preserve"> </w:t>
      </w:r>
      <w:r>
        <w:t xml:space="preserve">always carried</w:t>
      </w:r>
      <w:r>
        <w:t xml:space="preserve"> </w:t>
      </w:r>
      <w:r>
        <w:rPr>
          <w:rStyle w:val="VerbatimChar"/>
        </w:rPr>
        <w:t xml:space="preserve">A</w:t>
      </w:r>
      <w:r>
        <w:t xml:space="preserve"> </w:t>
      </w:r>
      <w:r>
        <w:t xml:space="preserve">and</w:t>
      </w:r>
      <w:r>
        <w:t xml:space="preserve"> </w:t>
      </w:r>
      <w:r>
        <w:rPr>
          <w:rStyle w:val="VerbatimChar"/>
        </w:rPr>
        <w:t xml:space="preserve">LAL</w:t>
      </w:r>
      <w:r>
        <w:t xml:space="preserve"> </w:t>
      </w:r>
      <w:r>
        <w:t xml:space="preserve">always carried</w:t>
      </w:r>
      <w:r>
        <w:t xml:space="preserve"> </w:t>
      </w:r>
      <w:r>
        <w:rPr>
          <w:rStyle w:val="VerbatimChar"/>
        </w:rPr>
        <w:t xml:space="preserve">C</w:t>
      </w:r>
      <w:r>
        <w:t xml:space="preserve"> </w:t>
      </w:r>
      <w:r>
        <w:t xml:space="preserve">in every real example found — but the schema’s actual rule is indicator-driven.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Confirmed source finding</w:t>
            </w:r>
          </w:p>
        </w:tc>
        <w:tc>
          <w:tcPr/>
          <w:p>
            <w:pPr>
              <w:pStyle w:val="Compact"/>
              <w:jc w:val="left"/>
            </w:pPr>
            <w:r>
              <w:t xml:space="preserve">Target</w:t>
            </w:r>
          </w:p>
        </w:tc>
        <w:tc>
          <w:tcPr/>
          <w:p>
            <w:pPr>
              <w:pStyle w:val="Compact"/>
              <w:jc w:val="left"/>
            </w:pPr>
            <w:r>
              <w:t xml:space="preserve">Status</w:t>
            </w:r>
          </w:p>
        </w:tc>
      </w:tr>
      <w:tr>
        <w:tc>
          <w:tcPr/>
          <w:p>
            <w:pPr>
              <w:pStyle w:val="Compact"/>
              <w:jc w:val="left"/>
            </w:pPr>
            <w:r>
              <w:rPr>
                <w:rStyle w:val="VerbatimChar"/>
              </w:rPr>
              <w:t xml:space="preserve">HAL</w:t>
            </w:r>
            <w:r>
              <w:t xml:space="preserve"> </w:t>
            </w:r>
            <w:r>
              <w:t xml:space="preserve">(code</w:t>
            </w:r>
            <w:r>
              <w:t xml:space="preserve"> </w:t>
            </w:r>
            <w:r>
              <w:rPr>
                <w:rStyle w:val="VerbatimChar"/>
              </w:rPr>
              <w:t xml:space="preserve">I410</w:t>
            </w:r>
            <w:r>
              <w:t xml:space="preserve">, indicator</w:t>
            </w:r>
            <w:r>
              <w:t xml:space="preserve"> </w:t>
            </w:r>
            <w:r>
              <w:rPr>
                <w:rStyle w:val="VerbatimChar"/>
              </w:rPr>
              <w:t xml:space="preserve">A</w:t>
            </w:r>
            <w:r>
              <w:t xml:space="preserve">)</w:t>
            </w:r>
          </w:p>
        </w:tc>
        <w:tc>
          <w:tcPr/>
          <w:p>
            <w:pPr>
              <w:pStyle w:val="Compact"/>
              <w:jc w:val="left"/>
            </w:pPr>
            <w:r>
              <w:rPr>
                <w:rStyle w:val="VerbatimChar"/>
              </w:rPr>
              <w:t xml:space="preserve">allowances[]</w:t>
            </w:r>
          </w:p>
        </w:tc>
        <w:tc>
          <w:tcPr/>
          <w:p>
            <w:pPr>
              <w:pStyle w:val="Compact"/>
              <w:jc w:val="left"/>
            </w:pPr>
            <w:r>
              <w:t xml:space="preserve">✅</w:t>
            </w:r>
          </w:p>
        </w:tc>
      </w:tr>
      <w:tr>
        <w:tc>
          <w:tcPr/>
          <w:p>
            <w:pPr>
              <w:pStyle w:val="Compact"/>
              <w:jc w:val="left"/>
            </w:pPr>
            <w:r>
              <w:rPr>
                <w:rStyle w:val="VerbatimChar"/>
              </w:rPr>
              <w:t xml:space="preserve">LAL</w:t>
            </w:r>
            <w:r>
              <w:t xml:space="preserve"> </w:t>
            </w:r>
            <w:r>
              <w:t xml:space="preserve">(code</w:t>
            </w:r>
            <w:r>
              <w:t xml:space="preserve"> </w:t>
            </w:r>
            <w:r>
              <w:rPr>
                <w:rStyle w:val="VerbatimChar"/>
              </w:rPr>
              <w:t xml:space="preserve">C110</w:t>
            </w:r>
            <w:r>
              <w:t xml:space="preserve">, indicator</w:t>
            </w:r>
            <w:r>
              <w:t xml:space="preserve"> </w:t>
            </w:r>
            <w:r>
              <w:rPr>
                <w:rStyle w:val="VerbatimChar"/>
              </w:rPr>
              <w:t xml:space="preserve">C</w:t>
            </w:r>
            <w:r>
              <w:t xml:space="preserve">)</w:t>
            </w:r>
          </w:p>
        </w:tc>
        <w:tc>
          <w:tcPr/>
          <w:p>
            <w:pPr>
              <w:pStyle w:val="Compact"/>
              <w:jc w:val="left"/>
            </w:pPr>
            <w:r>
              <w:rPr>
                <w:rStyle w:val="VerbatimChar"/>
              </w:rPr>
              <w:t xml:space="preserve">charges[]</w:t>
            </w:r>
          </w:p>
        </w:tc>
        <w:tc>
          <w:tcPr/>
          <w:p>
            <w:pPr>
              <w:pStyle w:val="Compact"/>
              <w:jc w:val="left"/>
            </w:pPr>
            <w:r>
              <w:t xml:space="preserve">✅</w:t>
            </w:r>
          </w:p>
        </w:tc>
      </w:tr>
    </w:tbl>
    <w:p>
      <w:r>
        <w:pict>
          <v:rect style="width:0;height:1.5pt" o:hralign="center" o:hrstd="t" o:hr="t"/>
        </w:pict>
      </w:r>
    </w:p>
    <w:bookmarkEnd w:id="47"/>
    <w:bookmarkStart w:id="48" w:name="X30b2214c79bea31ce2c60a78f14b24535107d04"/>
    <w:p>
      <w:pPr>
        <w:pStyle w:val="Heading2"/>
      </w:pPr>
      <w:r>
        <w:t xml:space="preserve">Line Items — product identifiers and pricing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Confirmed source finding</w:t>
            </w:r>
          </w:p>
        </w:tc>
        <w:tc>
          <w:tcPr/>
          <w:p>
            <w:pPr>
              <w:pStyle w:val="Compact"/>
              <w:jc w:val="left"/>
            </w:pPr>
            <w:r>
              <w:t xml:space="preserve">Target field</w:t>
            </w:r>
          </w:p>
        </w:tc>
        <w:tc>
          <w:tcPr/>
          <w:p>
            <w:pPr>
              <w:pStyle w:val="Compact"/>
              <w:jc w:val="left"/>
            </w:pPr>
            <w:r>
              <w:t xml:space="preserve">Status</w:t>
            </w:r>
          </w:p>
        </w:tc>
      </w:tr>
      <w:tr>
        <w:tc>
          <w:tcPr/>
          <w:p>
            <w:pPr>
              <w:pStyle w:val="Compact"/>
              <w:jc w:val="left"/>
            </w:pPr>
            <w:r>
              <w:rPr>
                <w:rStyle w:val="VerbatimChar"/>
              </w:rPr>
              <w:t xml:space="preserve">LDT</w:t>
            </w:r>
            <w:r>
              <w:t xml:space="preserve"> </w:t>
            </w:r>
            <w:r>
              <w:t xml:space="preserve">Field 2/3 (vendor/customer item number)</w:t>
            </w:r>
          </w:p>
        </w:tc>
        <w:tc>
          <w:tcPr/>
          <w:p>
            <w:pPr>
              <w:pStyle w:val="Compact"/>
              <w:jc w:val="left"/>
            </w:pPr>
            <w:r>
              <w:rPr>
                <w:rStyle w:val="VerbatimChar"/>
              </w:rPr>
              <w:t xml:space="preserve">productIds.vendorItemNumber</w:t>
            </w:r>
            <w:r>
              <w:t xml:space="preserve"> </w:t>
            </w:r>
            <w:r>
              <w:t xml:space="preserve">/</w:t>
            </w:r>
            <w:r>
              <w:t xml:space="preserve"> </w:t>
            </w:r>
            <w:r>
              <w:rPr>
                <w:rStyle w:val="VerbatimChar"/>
              </w:rPr>
              <w:t xml:space="preserve">productIds.buyerItemNumber</w:t>
            </w:r>
          </w:p>
        </w:tc>
        <w:tc>
          <w:tcPr/>
          <w:p>
            <w:pPr>
              <w:pStyle w:val="Compact"/>
              <w:jc w:val="left"/>
            </w:pPr>
            <w:r>
              <w:t xml:space="preserve">🟡 Position confirmed from source; exact target field depends on which number the value actually represents per account — not yet disambiguated</w:t>
            </w:r>
          </w:p>
        </w:tc>
      </w:tr>
      <w:tr>
        <w:tc>
          <w:tcPr/>
          <w:p>
            <w:pPr>
              <w:pStyle w:val="Compact"/>
              <w:jc w:val="left"/>
            </w:pPr>
            <w:r>
              <w:t xml:space="preserve">UPC values seen in fixed-width (</w:t>
            </w:r>
            <w:r>
              <w:rPr>
                <w:rStyle w:val="VerbatimChar"/>
              </w:rPr>
              <w:t xml:space="preserve">PRODUCERS_ORDERS</w:t>
            </w:r>
            <w:r>
              <w:t xml:space="preserve">) files</w:t>
            </w:r>
          </w:p>
        </w:tc>
        <w:tc>
          <w:tcPr/>
          <w:p>
            <w:pPr>
              <w:pStyle w:val="Compact"/>
              <w:jc w:val="left"/>
            </w:pPr>
            <w:r>
              <w:rPr>
                <w:rStyle w:val="VerbatimChar"/>
              </w:rPr>
              <w:t xml:space="preserve">productIds.gtin12</w:t>
            </w:r>
          </w:p>
        </w:tc>
        <w:tc>
          <w:tcPr/>
          <w:p>
            <w:pPr>
              <w:pStyle w:val="Compact"/>
              <w:jc w:val="left"/>
            </w:pPr>
            <w:r>
              <w:t xml:space="preserve">🟡 Reasonable given 12-digit length, consistent with prior GTIN handling in this project</w:t>
            </w:r>
          </w:p>
        </w:tc>
      </w:tr>
      <w:tr>
        <w:tc>
          <w:tcPr/>
          <w:p>
            <w:pPr>
              <w:pStyle w:val="Compact"/>
              <w:jc w:val="left"/>
            </w:pPr>
            <w:r>
              <w:rPr>
                <w:rStyle w:val="VerbatimChar"/>
              </w:rPr>
              <w:t xml:space="preserve">LDT</w:t>
            </w:r>
            <w:r>
              <w:t xml:space="preserve"> </w:t>
            </w:r>
            <w:r>
              <w:t xml:space="preserve">Field 12 —</w:t>
            </w:r>
            <w:r>
              <w:t xml:space="preserve"> </w:t>
            </w:r>
            <w:r>
              <w:rPr>
                <w:bCs/>
                <w:b/>
              </w:rPr>
              <w:t xml:space="preserve">quantity</w:t>
            </w:r>
          </w:p>
        </w:tc>
        <w:tc>
          <w:tcPr/>
          <w:p>
            <w:pPr>
              <w:pStyle w:val="Compact"/>
              <w:jc w:val="left"/>
            </w:pPr>
            <w:r>
              <w:rPr>
                <w:rStyle w:val="VerbatimChar"/>
              </w:rPr>
              <w:t xml:space="preserve">lineItems[].quantity.value</w:t>
            </w:r>
          </w:p>
        </w:tc>
        <w:tc>
          <w:tcPr/>
          <w:p>
            <w:pPr>
              <w:pStyle w:val="Compact"/>
              <w:jc w:val="left"/>
            </w:pPr>
            <w:r>
              <w:t xml:space="preserve">✅ Confirmed via the real Costco/SPS order cross-validation</w:t>
            </w:r>
          </w:p>
        </w:tc>
      </w:tr>
      <w:tr>
        <w:tc>
          <w:tcPr/>
          <w:p>
            <w:pPr>
              <w:pStyle w:val="Compact"/>
              <w:jc w:val="left"/>
            </w:pPr>
            <w:r>
              <w:rPr>
                <w:rStyle w:val="VerbatimChar"/>
              </w:rPr>
              <w:t xml:space="preserve">LDT</w:t>
            </w:r>
            <w:r>
              <w:t xml:space="preserve"> </w:t>
            </w:r>
            <w:r>
              <w:t xml:space="preserve">Field 19 —</w:t>
            </w:r>
            <w:r>
              <w:t xml:space="preserve"> </w:t>
            </w:r>
            <w:r>
              <w:rPr>
                <w:bCs/>
                <w:b/>
              </w:rPr>
              <w:t xml:space="preserve">unit price</w:t>
            </w:r>
          </w:p>
        </w:tc>
        <w:tc>
          <w:tcPr/>
          <w:p>
            <w:pPr>
              <w:pStyle w:val="Compact"/>
              <w:jc w:val="left"/>
            </w:pPr>
            <w:r>
              <w:rPr>
                <w:rStyle w:val="VerbatimChar"/>
              </w:rPr>
              <w:t xml:space="preserve">lineItems[].unitCostPrice</w:t>
            </w:r>
          </w:p>
        </w:tc>
        <w:tc>
          <w:tcPr/>
          <w:p>
            <w:pPr>
              <w:pStyle w:val="Compact"/>
              <w:jc w:val="left"/>
            </w:pPr>
            <w:r>
              <w:t xml:space="preserve">✅ Confirmed via the same cross-validation</w:t>
            </w:r>
          </w:p>
        </w:tc>
      </w:tr>
      <w:tr>
        <w:tc>
          <w:tcPr/>
          <w:p>
            <w:pPr>
              <w:pStyle w:val="Compact"/>
              <w:jc w:val="left"/>
            </w:pPr>
            <w:r>
              <w:rPr>
                <w:rStyle w:val="VerbatimChar"/>
              </w:rPr>
              <w:t xml:space="preserve">LDT</w:t>
            </w:r>
            <w:r>
              <w:t xml:space="preserve"> </w:t>
            </w:r>
            <w:r>
              <w:t xml:space="preserve">Field 5/25 (description fields)</w:t>
            </w:r>
          </w:p>
        </w:tc>
        <w:tc>
          <w:tcPr/>
          <w:p>
            <w:pPr>
              <w:pStyle w:val="Compact"/>
              <w:jc w:val="left"/>
            </w:pPr>
            <w:r>
              <w:rPr>
                <w:rStyle w:val="VerbatimChar"/>
              </w:rPr>
              <w:t xml:space="preserve">productAttributes.description</w:t>
            </w:r>
          </w:p>
        </w:tc>
        <w:tc>
          <w:tcPr/>
          <w:p>
            <w:pPr>
              <w:pStyle w:val="Compact"/>
              <w:jc w:val="left"/>
            </w:pPr>
            <w:r>
              <w:t xml:space="preserve">🟡 Schema notes this can require concatenating multiple source fragments for some partners — not yet checked against a real multi-fragment example</w:t>
            </w:r>
          </w:p>
        </w:tc>
      </w:tr>
    </w:tbl>
    <w:p>
      <w:r>
        <w:pict>
          <v:rect style="width:0;height:1.5pt" o:hralign="center" o:hrstd="t" o:hr="t"/>
        </w:pict>
      </w:r>
    </w:p>
    <w:bookmarkEnd w:id="48"/>
    <w:bookmarkStart w:id="49" w:name="still-open-genuine-gaps-not-yet-resolved"/>
    <w:p>
      <w:pPr>
        <w:pStyle w:val="Heading2"/>
      </w:pPr>
      <w:r>
        <w:t xml:space="preserve">Still open — genuine gaps, not yet resolved</w:t>
      </w:r>
    </w:p>
    <w:p>
      <w:pPr>
        <w:numPr>
          <w:ilvl w:val="0"/>
          <w:numId w:val="1006"/>
        </w:numPr>
        <w:pStyle w:val="Compact"/>
      </w:pPr>
      <w:r>
        <w:rPr>
          <w:rStyle w:val="VerbatimChar"/>
          <w:bCs/>
          <w:b/>
        </w:rPr>
        <w:t xml:space="preserve">references</w:t>
      </w:r>
      <w:r>
        <w:t xml:space="preserve"> </w:t>
      </w:r>
      <w:r>
        <w:t xml:space="preserve">— the schema explicitly warns:</w:t>
      </w:r>
      <w:r>
        <w:t xml:space="preserve"> </w:t>
      </w:r>
      <w:r>
        <w:rPr>
          <w:iCs/>
          <w:i/>
        </w:rPr>
        <w:t xml:space="preserve">“</w:t>
      </w:r>
      <w:r>
        <w:rPr>
          <w:iCs/>
          <w:i/>
        </w:rPr>
        <w:t xml:space="preserve">match by the field description… when a partner sends a qualifier whose semantics do not match any subfield description, emit a SCHEMA GAP rather than auto-routing it.</w:t>
      </w:r>
      <w:r>
        <w:rPr>
          <w:iCs/>
          <w:i/>
        </w:rPr>
        <w:t xml:space="preserve">”</w:t>
      </w:r>
      <w:r>
        <w:t xml:space="preserve"> </w:t>
      </w:r>
      <w:r>
        <w:t xml:space="preserve">Given how many different</w:t>
      </w:r>
      <w:r>
        <w:t xml:space="preserve"> </w:t>
      </w:r>
      <w:r>
        <w:rPr>
          <w:rStyle w:val="VerbatimChar"/>
        </w:rPr>
        <w:t xml:space="preserve">REF</w:t>
      </w:r>
      <w:r>
        <w:t xml:space="preserve"> </w:t>
      </w:r>
      <w:r>
        <w:t xml:space="preserve">qualifiers we’ve found across partners (</w:t>
      </w:r>
      <w:r>
        <w:rPr>
          <w:rStyle w:val="VerbatimChar"/>
        </w:rPr>
        <w:t xml:space="preserve">IA</w:t>
      </w:r>
      <w:r>
        <w:t xml:space="preserve">,</w:t>
      </w:r>
      <w:r>
        <w:t xml:space="preserve"> </w:t>
      </w:r>
      <w:r>
        <w:rPr>
          <w:rStyle w:val="VerbatimChar"/>
        </w:rPr>
        <w:t xml:space="preserve">ZZ</w:t>
      </w:r>
      <w:r>
        <w:t xml:space="preserve">,</w:t>
      </w:r>
      <w:r>
        <w:t xml:space="preserve"> </w:t>
      </w:r>
      <w:r>
        <w:rPr>
          <w:rStyle w:val="VerbatimChar"/>
        </w:rPr>
        <w:t xml:space="preserve">DP</w:t>
      </w:r>
      <w:r>
        <w:t xml:space="preserve">,</w:t>
      </w:r>
      <w:r>
        <w:t xml:space="preserve"> </w:t>
      </w:r>
      <w:r>
        <w:rPr>
          <w:rStyle w:val="VerbatimChar"/>
        </w:rPr>
        <w:t xml:space="preserve">19</w:t>
      </w:r>
      <w:r>
        <w:t xml:space="preserve">,</w:t>
      </w:r>
      <w:r>
        <w:t xml:space="preserve"> </w:t>
      </w:r>
      <w:r>
        <w:rPr>
          <w:rStyle w:val="VerbatimChar"/>
        </w:rPr>
        <w:t xml:space="preserve">YD</w:t>
      </w:r>
      <w:r>
        <w:t xml:space="preserve">,</w:t>
      </w:r>
      <w:r>
        <w:t xml:space="preserve"> </w:t>
      </w:r>
      <w:r>
        <w:rPr>
          <w:rStyle w:val="VerbatimChar"/>
        </w:rPr>
        <w:t xml:space="preserve">AN</w:t>
      </w:r>
      <w:r>
        <w:t xml:space="preserve">,</w:t>
      </w:r>
      <w:r>
        <w:t xml:space="preserve"> </w:t>
      </w:r>
      <w:r>
        <w:rPr>
          <w:rStyle w:val="VerbatimChar"/>
        </w:rPr>
        <w:t xml:space="preserve">L1</w:t>
      </w:r>
      <w:r>
        <w:t xml:space="preserve">,</w:t>
      </w:r>
      <w:r>
        <w:t xml:space="preserve"> </w:t>
      </w:r>
      <w:r>
        <w:rPr>
          <w:rStyle w:val="VerbatimChar"/>
        </w:rPr>
        <w:t xml:space="preserve">OL</w:t>
      </w:r>
      <w:r>
        <w:t xml:space="preserve">,</w:t>
      </w:r>
      <w:r>
        <w:t xml:space="preserve"> </w:t>
      </w:r>
      <w:r>
        <w:rPr>
          <w:rStyle w:val="VerbatimChar"/>
        </w:rPr>
        <w:t xml:space="preserve">VR</w:t>
      </w:r>
      <w:r>
        <w:t xml:space="preserve">,</w:t>
      </w:r>
      <w:r>
        <w:t xml:space="preserve"> </w:t>
      </w:r>
      <w:r>
        <w:rPr>
          <w:rStyle w:val="VerbatimChar"/>
        </w:rPr>
        <w:t xml:space="preserve">MR</w:t>
      </w:r>
      <w:r>
        <w:t xml:space="preserve">,</w:t>
      </w:r>
      <w:r>
        <w:t xml:space="preserve"> </w:t>
      </w:r>
      <w:r>
        <w:rPr>
          <w:rStyle w:val="VerbatimChar"/>
        </w:rPr>
        <w:t xml:space="preserve">PD</w:t>
      </w:r>
      <w:r>
        <w:t xml:space="preserve">), each needs individual confirmation against the schema’s reference subfields — not yet done.</w:t>
      </w:r>
    </w:p>
    <w:p>
      <w:pPr>
        <w:numPr>
          <w:ilvl w:val="0"/>
          <w:numId w:val="1006"/>
        </w:numPr>
        <w:pStyle w:val="Compact"/>
      </w:pPr>
      <w:r>
        <w:rPr>
          <w:rStyle w:val="VerbatimChar"/>
          <w:bCs/>
          <w:b/>
        </w:rPr>
        <w:t xml:space="preserve">termsOfSale</w:t>
      </w:r>
      <w:r>
        <w:t xml:space="preserve"> </w:t>
      </w:r>
      <w:r>
        <w:t xml:space="preserve">— rich structure confirmed in the schema (type, basisDate, discount terms, deferred payment), but not yet cross-checked against any real</w:t>
      </w:r>
      <w:r>
        <w:t xml:space="preserve"> </w:t>
      </w:r>
      <w:r>
        <w:rPr>
          <w:rStyle w:val="VerbatimChar"/>
        </w:rPr>
        <w:t xml:space="preserve">ITD</w:t>
      </w:r>
      <w:r>
        <w:t xml:space="preserve"> </w:t>
      </w:r>
      <w:r>
        <w:t xml:space="preserve">segment from our collected examples.</w:t>
      </w:r>
    </w:p>
    <w:p>
      <w:pPr>
        <w:numPr>
          <w:ilvl w:val="0"/>
          <w:numId w:val="1006"/>
        </w:numPr>
        <w:pStyle w:val="Compact"/>
      </w:pPr>
      <w:r>
        <w:rPr>
          <w:rStyle w:val="VerbatimChar"/>
          <w:bCs/>
          <w:b/>
        </w:rPr>
        <w:t xml:space="preserve">carrierDetails</w:t>
      </w:r>
      <w:r>
        <w:t xml:space="preserve"> </w:t>
      </w:r>
      <w:r>
        <w:t xml:space="preserve">— structure confirmed to exist, not yet mapped against real</w:t>
      </w:r>
      <w:r>
        <w:t xml:space="preserve"> </w:t>
      </w:r>
      <w:r>
        <w:rPr>
          <w:rStyle w:val="VerbatimChar"/>
        </w:rPr>
        <w:t xml:space="preserve">FOB</w:t>
      </w:r>
      <w:r>
        <w:t xml:space="preserve">/</w:t>
      </w:r>
      <w:r>
        <w:rPr>
          <w:rStyle w:val="VerbatimChar"/>
        </w:rPr>
        <w:t xml:space="preserve">TD5</w:t>
      </w:r>
      <w:r>
        <w:t xml:space="preserve"> </w:t>
      </w:r>
      <w:r>
        <w:t xml:space="preserve">segments collected (e.g. Costco’s</w:t>
      </w:r>
      <w:r>
        <w:t xml:space="preserve"> </w:t>
      </w:r>
      <w:r>
        <w:rPr>
          <w:rStyle w:val="VerbatimChar"/>
        </w:rPr>
        <w:t xml:space="preserve">FOB*PP*ZZ*NA</w:t>
      </w:r>
      <w:r>
        <w:t xml:space="preserve"> </w:t>
      </w:r>
      <w:r>
        <w:t xml:space="preserve">and</w:t>
      </w:r>
      <w:r>
        <w:t xml:space="preserve"> </w:t>
      </w:r>
      <w:r>
        <w:rPr>
          <w:rStyle w:val="VerbatimChar"/>
        </w:rPr>
        <w:t xml:space="preserve">TD5*****VENDORS CHOICE</w:t>
      </w:r>
      <w:r>
        <w:t xml:space="preserve">).</w:t>
      </w:r>
    </w:p>
    <w:p>
      <w:pPr>
        <w:numPr>
          <w:ilvl w:val="0"/>
          <w:numId w:val="1006"/>
        </w:numPr>
        <w:pStyle w:val="Compact"/>
      </w:pPr>
      <w:r>
        <w:rPr>
          <w:rStyle w:val="VerbatimChar"/>
          <w:bCs/>
          <w:b/>
        </w:rPr>
        <w:t xml:space="preserve">notes</w:t>
      </w:r>
      <w:r>
        <w:t xml:space="preserve"> </w:t>
      </w:r>
      <w:r>
        <w:t xml:space="preserve">— likely where</w:t>
      </w:r>
      <w:r>
        <w:t xml:space="preserve"> </w:t>
      </w:r>
      <w:r>
        <w:rPr>
          <w:rStyle w:val="VerbatimChar"/>
        </w:rPr>
        <w:t xml:space="preserve">HCM</w:t>
      </w:r>
      <w:r>
        <w:t xml:space="preserve"> </w:t>
      </w:r>
      <w:r>
        <w:t xml:space="preserve">(flat file) and</w:t>
      </w:r>
      <w:r>
        <w:t xml:space="preserve"> </w:t>
      </w:r>
      <w:r>
        <w:rPr>
          <w:rStyle w:val="VerbatimChar"/>
        </w:rPr>
        <w:t xml:space="preserve">N9</w:t>
      </w:r>
      <w:r>
        <w:t xml:space="preserve">/</w:t>
      </w:r>
      <w:r>
        <w:rPr>
          <w:rStyle w:val="VerbatimChar"/>
        </w:rPr>
        <w:t xml:space="preserve">MSG</w:t>
      </w:r>
      <w:r>
        <w:t xml:space="preserve"> </w:t>
      </w:r>
      <w:r>
        <w:t xml:space="preserve">(raw EDI) ultimately land, matching the exact-text cross-validation already confirmed — but the specific subfield structure within</w:t>
      </w:r>
      <w:r>
        <w:t xml:space="preserve"> </w:t>
      </w:r>
      <w:r>
        <w:rPr>
          <w:rStyle w:val="VerbatimChar"/>
        </w:rPr>
        <w:t xml:space="preserve">notes</w:t>
      </w:r>
      <w:r>
        <w:t xml:space="preserve"> </w:t>
      </w:r>
      <w:r>
        <w:t xml:space="preserve">hasn’t been checked yet.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74262BC10CF04588370EDDB9D86DA6" ma:contentTypeVersion="18" ma:contentTypeDescription="Create a new document." ma:contentTypeScope="" ma:versionID="92afc2ebda89197cfbfe021d17edca51">
  <xsd:schema xmlns:xsd="http://www.w3.org/2001/XMLSchema" xmlns:xs="http://www.w3.org/2001/XMLSchema" xmlns:p="http://schemas.microsoft.com/office/2006/metadata/properties" xmlns:ns2="9095f4ca-a791-4a83-a461-435fc35a7e53" xmlns:ns3="e106789f-6c09-4ae8-8044-0328ee823ff5" targetNamespace="http://schemas.microsoft.com/office/2006/metadata/properties" ma:root="true" ma:fieldsID="9c0c789e01ede29ffcba1d65c5c93878" ns2:_="" ns3:_="">
    <xsd:import namespace="9095f4ca-a791-4a83-a461-435fc35a7e53"/>
    <xsd:import namespace="e106789f-6c09-4ae8-8044-0328ee823f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OCR"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95f4ca-a791-4a83-a461-435fc35a7e5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5be117a-1603-4e0f-b880-0964d32819d6}" ma:internalName="TaxCatchAll" ma:showField="CatchAllData" ma:web="9095f4ca-a791-4a83-a461-435fc35a7e5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106789f-6c09-4ae8-8044-0328ee823f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6b12678-b344-4172-93e1-4cfb9ecb7a0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06789f-6c09-4ae8-8044-0328ee823ff5">
      <Terms xmlns="http://schemas.microsoft.com/office/infopath/2007/PartnerControls"/>
    </lcf76f155ced4ddcb4097134ff3c332f>
    <TaxCatchAll xmlns="9095f4ca-a791-4a83-a461-435fc35a7e53" xsi:nil="true"/>
  </documentManagement>
</p:properties>
</file>

<file path=customXml/itemProps1.xml><?xml version="1.0" encoding="utf-8"?>
<ds:datastoreItem xmlns:ds="http://schemas.openxmlformats.org/officeDocument/2006/customXml" ds:itemID="{73EE0BCB-CB8E-422D-90D8-009F8C191585}"/>
</file>

<file path=customXml/itemProps2.xml><?xml version="1.0" encoding="utf-8"?>
<ds:datastoreItem xmlns:ds="http://schemas.openxmlformats.org/officeDocument/2006/customXml" ds:itemID="{F507F7D2-9A56-4EB2-8F4A-26FAA730895C}"/>
</file>

<file path=customXml/itemProps3.xml><?xml version="1.0" encoding="utf-8"?>
<ds:datastoreItem xmlns:ds="http://schemas.openxmlformats.org/officeDocument/2006/customXml" ds:itemID="{B492F340-1ED2-4DD1-A50A-CFA1E0CFC43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2026-10-14T18:05:18Z</dcterms:created>
  <dcterms:modified xsi:type="dcterms:W3CDTF">2026-10-14T18:05:18Z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0x0101009074262BC10CF04588370EDDB9D86DA6</vt:lpwstr>
  </property>
</Properties>
</file>