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E-Commerce new Website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Logo: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040940" cy="3033337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0940" cy="3033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Color Concept: #202734, #36415A, #B7D894, #E0F8C7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810000" cy="381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Name: Muralla Tech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Concept: Tech &amp; Electronics E-Commerce Website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Title &amp; Headings: Syne or Plus Jakarta Sans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Subtitles &amp; Badges: Plus Jakarta Sans (Semi-Bold / Bold, All Caps with letter spacing)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Body Text &amp; Product Cards: Inter</w:t>
        <w:br w:type="textWrapping"/>
        <w:br w:type="textWrapping"/>
        <w:t xml:space="preserve">Design Concept: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2362200</wp:posOffset>
            </wp:positionH>
            <wp:positionV relativeFrom="paragraph">
              <wp:posOffset>438150</wp:posOffset>
            </wp:positionV>
            <wp:extent cx="1136926" cy="3090863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6926" cy="3090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E-Commerce Website Activity   Develop a simple E-commerce platform with transaction capability. Your website should:   Contain at least 30 unique products organized into logical categories (e.g., fashion, gadgets, beauty, etc.).   Include shopping cart, checkout, and payment simulation features to demonstrate end-to-end transactions.   Have a modern and creative interface — your design must be more appealing and interactive than leading platforms such as Shopee and Lazada.   Ensure security, functionality, and responsive.   General Requirements   Apply good UI/UX design principles (readability, contrast, layout balance, and accessibility).   Use modern web technologies such as HTML5, CSS3, JavaScript   The final output must reflect creativity, technical proficiency, and real-world application.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